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7BBA8A">
      <w:pPr>
        <w:spacing w:before="312" w:beforeLines="100" w:after="312" w:afterLines="100"/>
        <w:jc w:val="center"/>
        <w:rPr>
          <w:rFonts w:hint="eastAsia" w:ascii="方正小标宋简体" w:hAnsi="方正小标宋简体" w:eastAsia="方正小标宋简体" w:cs="方正小标宋简体"/>
          <w:spacing w:val="-20"/>
          <w:sz w:val="44"/>
          <w:szCs w:val="44"/>
          <w:lang w:val="en-US" w:eastAsia="zh-CN"/>
        </w:rPr>
      </w:pPr>
      <w:r>
        <w:rPr>
          <w:rFonts w:hint="eastAsia" w:ascii="方正小标宋简体" w:hAnsi="方正小标宋简体" w:eastAsia="方正小标宋简体" w:cs="方正小标宋简体"/>
          <w:spacing w:val="-20"/>
          <w:sz w:val="44"/>
          <w:szCs w:val="44"/>
          <w:lang w:val="en-US" w:eastAsia="zh-CN"/>
        </w:rPr>
        <w:t>关于印发《东至县2026年省级区域农机社会化</w:t>
      </w:r>
    </w:p>
    <w:p w14:paraId="3A781105">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简体" w:hAnsi="方正小标宋简体" w:eastAsia="方正小标宋简体" w:cs="方正小标宋简体"/>
          <w:spacing w:val="-20"/>
          <w:sz w:val="44"/>
          <w:szCs w:val="44"/>
          <w:lang w:val="en-US" w:eastAsia="zh-CN"/>
        </w:rPr>
      </w:pPr>
      <w:r>
        <w:rPr>
          <w:rFonts w:hint="eastAsia" w:ascii="方正小标宋简体" w:hAnsi="方正小标宋简体" w:eastAsia="方正小标宋简体" w:cs="方正小标宋简体"/>
          <w:spacing w:val="-20"/>
          <w:sz w:val="44"/>
          <w:szCs w:val="44"/>
          <w:lang w:val="en-US" w:eastAsia="zh-CN"/>
        </w:rPr>
        <w:t>服务中心建设实施方案》的通知</w:t>
      </w:r>
    </w:p>
    <w:p w14:paraId="34964A96">
      <w:pPr>
        <w:keepNext w:val="0"/>
        <w:keepLines w:val="0"/>
        <w:pageBreakBefore w:val="0"/>
        <w:widowControl w:val="0"/>
        <w:kinsoku/>
        <w:wordWrap/>
        <w:overflowPunct/>
        <w:topLinePunct w:val="0"/>
        <w:autoSpaceDE/>
        <w:autoSpaceDN/>
        <w:bidi w:val="0"/>
        <w:adjustRightInd/>
        <w:snapToGrid/>
        <w:spacing w:before="313" w:beforeLines="100" w:line="64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各乡镇农业农村综合服务中心：</w:t>
      </w:r>
    </w:p>
    <w:p w14:paraId="64BA5E70">
      <w:pPr>
        <w:keepNext w:val="0"/>
        <w:keepLines w:val="0"/>
        <w:pageBreakBefore w:val="0"/>
        <w:widowControl w:val="0"/>
        <w:kinsoku/>
        <w:wordWrap/>
        <w:overflowPunct/>
        <w:topLinePunct w:val="0"/>
        <w:autoSpaceDE/>
        <w:autoSpaceDN/>
        <w:bidi w:val="0"/>
        <w:adjustRightInd/>
        <w:snapToGrid/>
        <w:spacing w:line="6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贯彻落实《农业农村部关于加快培育区域农机服务中心的指导意见》(农机发〔2023〕5号)和《安徽省农业农村厅关于做好2025年度区域农机社会化服务中心建设工作的通知》(皖农机函〔2025〕83号)文件精神，围绕全方位夯实粮食安全根基，高质量服务农业生产，</w:t>
      </w:r>
      <w:r>
        <w:rPr>
          <w:rFonts w:eastAsia="仿宋_GB2312"/>
          <w:sz w:val="32"/>
          <w:szCs w:val="32"/>
        </w:rPr>
        <w:t>着力提升全</w:t>
      </w:r>
      <w:r>
        <w:rPr>
          <w:rFonts w:hint="eastAsia" w:eastAsia="仿宋_GB2312"/>
          <w:sz w:val="32"/>
          <w:szCs w:val="32"/>
          <w:lang w:eastAsia="zh-CN"/>
        </w:rPr>
        <w:t>县</w:t>
      </w:r>
      <w:r>
        <w:rPr>
          <w:rFonts w:eastAsia="仿宋_GB2312"/>
          <w:sz w:val="32"/>
          <w:szCs w:val="32"/>
        </w:rPr>
        <w:t>农机社会化服务和抗灾救灾应急能力</w:t>
      </w:r>
      <w:r>
        <w:rPr>
          <w:rFonts w:hint="eastAsia" w:eastAsia="仿宋_GB2312"/>
          <w:sz w:val="32"/>
          <w:szCs w:val="32"/>
          <w:lang w:eastAsia="zh-CN"/>
        </w:rPr>
        <w:t>，</w:t>
      </w:r>
      <w:r>
        <w:rPr>
          <w:rFonts w:hint="eastAsia" w:ascii="仿宋_GB2312" w:hAnsi="仿宋_GB2312" w:eastAsia="仿宋_GB2312" w:cs="仿宋_GB2312"/>
          <w:sz w:val="32"/>
          <w:szCs w:val="32"/>
          <w:lang w:val="en-US" w:eastAsia="zh-CN"/>
        </w:rPr>
        <w:t>充分发挥农机主力军作用，现将《东至县2026年省级区域农机社会化服务中心建设实施方案》和《东至县省级区域农机社会化服务中心建设项目遴选方案》印发给你们，请遵照执行。</w:t>
      </w:r>
    </w:p>
    <w:p w14:paraId="10C68219">
      <w:pPr>
        <w:keepNext w:val="0"/>
        <w:keepLines w:val="0"/>
        <w:pageBreakBefore w:val="0"/>
        <w:widowControl w:val="0"/>
        <w:kinsoku/>
        <w:wordWrap/>
        <w:overflowPunct/>
        <w:topLinePunct w:val="0"/>
        <w:autoSpaceDE/>
        <w:autoSpaceDN/>
        <w:bidi w:val="0"/>
        <w:adjustRightInd/>
        <w:snapToGrid/>
        <w:spacing w:line="240" w:lineRule="auto"/>
        <w:ind w:left="1598" w:leftChars="304" w:hanging="960" w:hangingChars="300"/>
        <w:jc w:val="both"/>
        <w:textAlignment w:val="auto"/>
        <w:rPr>
          <w:rFonts w:hint="eastAsia" w:ascii="仿宋_GB2312" w:hAnsi="仿宋_GB2312" w:eastAsia="仿宋_GB2312" w:cs="仿宋_GB2312"/>
          <w:sz w:val="32"/>
          <w:szCs w:val="32"/>
          <w:lang w:val="en-US" w:eastAsia="zh-CN"/>
        </w:rPr>
      </w:pPr>
    </w:p>
    <w:p w14:paraId="7B0DDF01">
      <w:pPr>
        <w:keepNext w:val="0"/>
        <w:keepLines w:val="0"/>
        <w:pageBreakBefore w:val="0"/>
        <w:widowControl w:val="0"/>
        <w:kinsoku/>
        <w:wordWrap/>
        <w:overflowPunct/>
        <w:topLinePunct w:val="0"/>
        <w:autoSpaceDE/>
        <w:autoSpaceDN/>
        <w:bidi w:val="0"/>
        <w:adjustRightInd/>
        <w:snapToGrid/>
        <w:spacing w:line="240" w:lineRule="auto"/>
        <w:ind w:firstLine="320" w:firstLineChars="1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附件：1、东至县2026年省级区域农机社会化服务中心建设实施方案；</w:t>
      </w:r>
    </w:p>
    <w:p w14:paraId="63DB6907">
      <w:pPr>
        <w:keepNext w:val="0"/>
        <w:keepLines w:val="0"/>
        <w:pageBreakBefore w:val="0"/>
        <w:widowControl w:val="0"/>
        <w:kinsoku/>
        <w:wordWrap/>
        <w:overflowPunct/>
        <w:topLinePunct w:val="0"/>
        <w:autoSpaceDE/>
        <w:autoSpaceDN/>
        <w:bidi w:val="0"/>
        <w:adjustRightInd/>
        <w:snapToGrid/>
        <w:spacing w:line="240" w:lineRule="auto"/>
        <w:ind w:firstLine="320" w:firstLineChars="1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2、东至县省级区域农机社会化服务中心建设项目遴选方案。</w:t>
      </w:r>
    </w:p>
    <w:p w14:paraId="557F335B">
      <w:pPr>
        <w:keepNext w:val="0"/>
        <w:keepLines w:val="0"/>
        <w:pageBreakBefore w:val="0"/>
        <w:widowControl w:val="0"/>
        <w:numPr>
          <w:ilvl w:val="0"/>
          <w:numId w:val="0"/>
        </w:numPr>
        <w:tabs>
          <w:tab w:val="left" w:pos="2811"/>
        </w:tabs>
        <w:kinsoku/>
        <w:wordWrap/>
        <w:overflowPunct/>
        <w:topLinePunct w:val="0"/>
        <w:autoSpaceDE/>
        <w:autoSpaceDN/>
        <w:bidi w:val="0"/>
        <w:adjustRightInd/>
        <w:snapToGrid/>
        <w:spacing w:before="157" w:beforeLines="50" w:after="157" w:afterLines="50" w:line="240" w:lineRule="auto"/>
        <w:ind w:firstLine="5440" w:firstLineChars="17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东至县农业农村局          </w:t>
      </w:r>
    </w:p>
    <w:p w14:paraId="7417699D">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2026年4月7日</w:t>
      </w:r>
    </w:p>
    <w:p w14:paraId="15BC46C2">
      <w:pPr>
        <w:pStyle w:val="2"/>
        <w:spacing w:line="500" w:lineRule="exact"/>
        <w:jc w:val="left"/>
        <w:rPr>
          <w:rFonts w:hint="eastAsia" w:ascii="黑体" w:hAnsi="黑体" w:eastAsia="黑体" w:cs="黑体"/>
          <w:b w:val="0"/>
          <w:bCs/>
          <w:sz w:val="32"/>
          <w:szCs w:val="32"/>
          <w:lang w:eastAsia="zh-CN"/>
        </w:rPr>
      </w:pPr>
    </w:p>
    <w:p w14:paraId="5B92F0AE">
      <w:pPr>
        <w:pStyle w:val="2"/>
        <w:spacing w:line="500" w:lineRule="exact"/>
        <w:jc w:val="left"/>
        <w:rPr>
          <w:rFonts w:hint="default"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cs="黑体"/>
          <w:b w:val="0"/>
          <w:bCs/>
          <w:sz w:val="32"/>
          <w:szCs w:val="32"/>
          <w:lang w:val="en-US" w:eastAsia="zh-CN"/>
        </w:rPr>
        <w:t>1：</w:t>
      </w:r>
    </w:p>
    <w:p w14:paraId="047FF2C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东至县2026年</w:t>
      </w:r>
      <w:r>
        <w:rPr>
          <w:rFonts w:hint="eastAsia" w:ascii="方正小标宋简体" w:hAnsi="方正小标宋简体" w:eastAsia="方正小标宋简体" w:cs="方正小标宋简体"/>
          <w:sz w:val="36"/>
          <w:szCs w:val="36"/>
        </w:rPr>
        <w:t>省级区域农机社会化服务</w:t>
      </w:r>
    </w:p>
    <w:p w14:paraId="7396F0D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sz w:val="36"/>
          <w:szCs w:val="36"/>
          <w:lang w:val="en-US" w:eastAsia="en-US"/>
        </w:rPr>
      </w:pPr>
      <w:r>
        <w:rPr>
          <w:rFonts w:hint="eastAsia" w:ascii="方正小标宋简体" w:hAnsi="方正小标宋简体" w:eastAsia="方正小标宋简体" w:cs="方正小标宋简体"/>
          <w:sz w:val="36"/>
          <w:szCs w:val="36"/>
        </w:rPr>
        <w:t>中心</w:t>
      </w:r>
      <w:r>
        <w:rPr>
          <w:rFonts w:hint="eastAsia" w:ascii="方正小标宋简体" w:hAnsi="方正小标宋简体" w:eastAsia="方正小标宋简体" w:cs="方正小标宋简体"/>
          <w:sz w:val="36"/>
          <w:szCs w:val="36"/>
          <w:lang w:val="en-US" w:eastAsia="en-US"/>
        </w:rPr>
        <w:t>建设实施方案</w:t>
      </w:r>
    </w:p>
    <w:p w14:paraId="7E577BFC">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en-US"/>
        </w:rPr>
      </w:pPr>
      <w:r>
        <w:rPr>
          <w:rFonts w:hint="eastAsia" w:ascii="仿宋_GB2312" w:hAnsi="仿宋_GB2312" w:eastAsia="仿宋_GB2312" w:cs="仿宋_GB2312"/>
          <w:sz w:val="32"/>
          <w:szCs w:val="32"/>
          <w:lang w:val="en-US" w:eastAsia="zh-CN"/>
        </w:rPr>
        <w:t>为</w:t>
      </w:r>
      <w:r>
        <w:rPr>
          <w:rFonts w:hint="eastAsia" w:ascii="仿宋_GB2312" w:hAnsi="仿宋_GB2312" w:eastAsia="仿宋_GB2312" w:cs="仿宋_GB2312"/>
          <w:sz w:val="32"/>
          <w:szCs w:val="32"/>
          <w:lang w:val="en-US" w:eastAsia="en-US"/>
        </w:rPr>
        <w:t>贯彻落实《农业农村部关于加快培育区域农机服务中心的指导意见》(农机发〔2023〕5号)</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lang w:val="en-US" w:eastAsia="en-US"/>
        </w:rPr>
        <w:t>《安徽省农业农村厅关于做好2025年度区域农机社会化服务中心建设工作的通知》(皖农机函〔2025〕83号)文件精神，</w:t>
      </w:r>
      <w:r>
        <w:rPr>
          <w:rFonts w:hint="eastAsia" w:ascii="仿宋_GB2312" w:hAnsi="仿宋_GB2312" w:eastAsia="仿宋_GB2312" w:cs="仿宋_GB2312"/>
          <w:sz w:val="32"/>
          <w:szCs w:val="32"/>
          <w:lang w:val="en-US" w:eastAsia="zh-CN"/>
        </w:rPr>
        <w:t>根据《安徽省区域农机社会化服务中心建设实施方案》要求，</w:t>
      </w:r>
      <w:r>
        <w:rPr>
          <w:rFonts w:hint="eastAsia" w:ascii="仿宋_GB2312" w:hAnsi="仿宋_GB2312" w:eastAsia="仿宋_GB2312" w:cs="仿宋_GB2312"/>
          <w:sz w:val="32"/>
          <w:szCs w:val="32"/>
          <w:lang w:val="en-US" w:eastAsia="en-US"/>
        </w:rPr>
        <w:t>围绕全方位夯实粮食安全根基，高质量服务农业生产和着力提升抗灾救灾能力，充分发挥农机主力军作用，结合我</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val="en-US" w:eastAsia="en-US"/>
        </w:rPr>
        <w:t>农业生产实际，制定本方案。</w:t>
      </w:r>
    </w:p>
    <w:p w14:paraId="75AD5A2B">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一、建设目标</w:t>
      </w:r>
    </w:p>
    <w:p w14:paraId="06AEF1D8">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2026年重点从全县已经建好</w:t>
      </w:r>
      <w:r>
        <w:rPr>
          <w:rFonts w:hint="eastAsia" w:ascii="仿宋_GB2312" w:eastAsia="仿宋_GB2312"/>
          <w:sz w:val="32"/>
          <w:szCs w:val="32"/>
        </w:rPr>
        <w:t>的水稻育</w:t>
      </w:r>
      <w:r>
        <w:rPr>
          <w:rFonts w:hint="eastAsia" w:ascii="仿宋_GB2312" w:eastAsia="仿宋_GB2312"/>
          <w:sz w:val="32"/>
          <w:szCs w:val="32"/>
          <w:lang w:val="en-US" w:eastAsia="zh-CN"/>
        </w:rPr>
        <w:t>插</w:t>
      </w:r>
      <w:r>
        <w:rPr>
          <w:rFonts w:hint="eastAsia" w:ascii="仿宋_GB2312" w:eastAsia="仿宋_GB2312"/>
          <w:sz w:val="32"/>
          <w:szCs w:val="32"/>
        </w:rPr>
        <w:t>秧中心、粮食烘干中心和</w:t>
      </w:r>
      <w:r>
        <w:rPr>
          <w:rFonts w:hint="eastAsia" w:ascii="仿宋_GB2312" w:eastAsia="仿宋_GB2312"/>
          <w:sz w:val="32"/>
          <w:szCs w:val="32"/>
          <w:lang w:val="en-US" w:eastAsia="zh-CN"/>
        </w:rPr>
        <w:t>全程机械化</w:t>
      </w:r>
      <w:r>
        <w:rPr>
          <w:rFonts w:hint="eastAsia" w:ascii="仿宋_GB2312" w:eastAsia="仿宋_GB2312"/>
          <w:sz w:val="32"/>
          <w:szCs w:val="32"/>
        </w:rPr>
        <w:t>综合农事服务中心</w:t>
      </w:r>
      <w:r>
        <w:rPr>
          <w:rFonts w:hint="eastAsia" w:ascii="仿宋_GB2312" w:hAnsi="仿宋_GB2312" w:eastAsia="仿宋_GB2312" w:cs="仿宋_GB2312"/>
          <w:sz w:val="32"/>
          <w:szCs w:val="32"/>
          <w:lang w:val="en-US" w:eastAsia="zh-CN"/>
        </w:rPr>
        <w:t>中遴选建设1个制度健全、功能完善、运行规范、指挥高效的省级区域农机社会化服务中心。</w:t>
      </w:r>
      <w:r>
        <w:rPr>
          <w:rFonts w:hint="eastAsia" w:ascii="仿宋_GB2312" w:hAnsi="仿宋_GB2312" w:eastAsia="仿宋_GB2312" w:cs="仿宋_GB2312"/>
          <w:color w:val="auto"/>
          <w:sz w:val="32"/>
          <w:szCs w:val="32"/>
          <w:lang w:val="en-US" w:eastAsia="zh-CN"/>
        </w:rPr>
        <w:t>具体实施中，实施主体原则上2026年新增投入不低于150万元,</w:t>
      </w:r>
      <w:r>
        <w:rPr>
          <w:rFonts w:hint="eastAsia" w:ascii="仿宋_GB2312" w:hAnsi="仿宋_GB2312" w:eastAsia="仿宋_GB2312" w:cs="仿宋_GB2312"/>
          <w:sz w:val="32"/>
          <w:szCs w:val="32"/>
          <w:lang w:val="en-US" w:eastAsia="zh-CN"/>
        </w:rPr>
        <w:t>切实提升我县农机社会化服务水平和应急防灾救灾能力，保障粮食生产安全。</w:t>
      </w:r>
    </w:p>
    <w:p w14:paraId="2D30F703">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二、建设内容</w:t>
      </w:r>
    </w:p>
    <w:p w14:paraId="426E096A">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省级区域农机社会化服务中心应具备与服务功能相适应的场所规模和基础设施，应设置全程机械化、育秧、烘干、加工、仓储等功能区块，分区明确、相对独立，能够满足业务需求。应配优、配齐、配强“平急两用”农机装备和加装北斗定位、作业监测等智能化装备，提高常态化农机作业和应急作业服务能力。</w:t>
      </w:r>
    </w:p>
    <w:p w14:paraId="2491C9D3">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sz w:val="32"/>
          <w:szCs w:val="32"/>
          <w:lang w:val="en-US" w:eastAsia="zh-CN"/>
        </w:rPr>
        <w:t>(一)完善基础设施。</w:t>
      </w:r>
      <w:r>
        <w:rPr>
          <w:rFonts w:hint="eastAsia" w:ascii="仿宋_GB2312" w:hAnsi="仿宋_GB2312" w:eastAsia="仿宋_GB2312" w:cs="仿宋_GB2312"/>
          <w:b w:val="0"/>
          <w:bCs w:val="0"/>
          <w:sz w:val="32"/>
          <w:szCs w:val="32"/>
          <w:lang w:val="en-US" w:eastAsia="zh-CN"/>
        </w:rPr>
        <w:t>省级</w:t>
      </w:r>
      <w:r>
        <w:rPr>
          <w:rFonts w:hint="eastAsia" w:ascii="仿宋_GB2312" w:hAnsi="仿宋_GB2312" w:eastAsia="仿宋_GB2312" w:cs="仿宋_GB2312"/>
          <w:sz w:val="32"/>
          <w:szCs w:val="32"/>
          <w:lang w:val="en-US" w:eastAsia="zh-CN"/>
        </w:rPr>
        <w:t>区域农机社会化服务中心选址应交通便利，临近主要公路或田间道路，便于农机转运和作业调度。同时符合国土空间规划和农业设施用地管理要求，靠近服务区域的农业主产区，服务半径覆盖周边主要乡镇。具备与服务功能相适应的场所规模，占地面积不小于8亩。应建有农机具存放及设施用房，库棚为钢架结构或砖混结构，地面硬化处理，配备通风、消防设施，面积不低于1000㎡</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color w:val="auto"/>
          <w:sz w:val="32"/>
          <w:szCs w:val="32"/>
          <w:lang w:val="en-US" w:eastAsia="zh-CN"/>
        </w:rPr>
        <w:t>建有能够满足业务需求的育秧、烘干、加工、仓储、维修车间和培训场地等基础设施。</w:t>
      </w:r>
    </w:p>
    <w:p w14:paraId="251B4DE4">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(二)优化农机装备。</w:t>
      </w:r>
      <w:r>
        <w:rPr>
          <w:rFonts w:hint="eastAsia" w:ascii="仿宋_GB2312" w:hAnsi="仿宋_GB2312" w:eastAsia="仿宋_GB2312" w:cs="仿宋_GB2312"/>
          <w:color w:val="auto"/>
          <w:sz w:val="32"/>
          <w:szCs w:val="32"/>
          <w:lang w:val="en-US" w:eastAsia="zh-CN"/>
        </w:rPr>
        <w:t>省级区域农机社会化服务中心应配备与当地农业生产需求相匹配的农业机械，应满足生产、应急作业需要，服务覆盖耕、种、管、收、烘、秸秆处理和农产品加工等作业环节，数量不少于 40 台（套）。其中插秧机械要达到10台(套)以上；</w:t>
      </w:r>
      <w:r>
        <w:rPr>
          <w:rFonts w:hint="eastAsia" w:ascii="仿宋_GB2312" w:eastAsia="仿宋_GB2312"/>
          <w:sz w:val="32"/>
          <w:szCs w:val="32"/>
        </w:rPr>
        <w:t>育秧流水线不少于2条</w:t>
      </w:r>
      <w:r>
        <w:rPr>
          <w:rFonts w:hint="eastAsia" w:ascii="仿宋_GB2312" w:eastAsia="仿宋_GB2312"/>
          <w:sz w:val="32"/>
          <w:szCs w:val="32"/>
          <w:lang w:eastAsia="zh-CN"/>
        </w:rPr>
        <w:t>；</w:t>
      </w:r>
      <w:r>
        <w:rPr>
          <w:rFonts w:hint="eastAsia" w:ascii="仿宋_GB2312" w:hAnsi="仿宋_GB2312" w:eastAsia="仿宋_GB2312" w:cs="仿宋_GB2312"/>
          <w:color w:val="auto"/>
          <w:sz w:val="32"/>
          <w:szCs w:val="32"/>
          <w:lang w:val="en-US" w:eastAsia="zh-CN"/>
        </w:rPr>
        <w:t>以循环式为核心设备的烘干机批处理量不低于150吨,</w:t>
      </w:r>
      <w:r>
        <w:rPr>
          <w:rFonts w:hint="eastAsia" w:ascii="仿宋_GB2312" w:hAnsi="仿宋_GB2312" w:eastAsia="仿宋_GB2312" w:cs="仿宋_GB2312"/>
          <w:sz w:val="32"/>
          <w:szCs w:val="32"/>
          <w:lang w:val="en-US" w:eastAsia="zh-CN"/>
        </w:rPr>
        <w:t>连续式</w:t>
      </w:r>
      <w:r>
        <w:rPr>
          <w:rFonts w:hint="eastAsia" w:ascii="仿宋_GB2312" w:hAnsi="仿宋_GB2312" w:eastAsia="仿宋_GB2312" w:cs="仿宋_GB2312"/>
          <w:color w:val="auto"/>
          <w:sz w:val="32"/>
          <w:szCs w:val="32"/>
          <w:lang w:val="en-US" w:eastAsia="zh-CN"/>
        </w:rPr>
        <w:t>为核心设备的</w:t>
      </w:r>
      <w:r>
        <w:rPr>
          <w:rFonts w:hint="eastAsia" w:ascii="仿宋_GB2312" w:hAnsi="仿宋_GB2312" w:eastAsia="仿宋_GB2312" w:cs="仿宋_GB2312"/>
          <w:sz w:val="32"/>
          <w:szCs w:val="32"/>
          <w:lang w:val="en-US" w:eastAsia="zh-CN"/>
        </w:rPr>
        <w:t>烘干塔批处理量不低于600吨，</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仓储容量不低于5000吨；</w:t>
      </w:r>
      <w:r>
        <w:rPr>
          <w:rFonts w:hint="eastAsia" w:ascii="仿宋_GB2312" w:hAnsi="仿宋_GB2312" w:eastAsia="仿宋_GB2312" w:cs="仿宋_GB2312"/>
          <w:color w:val="auto"/>
          <w:sz w:val="32"/>
          <w:szCs w:val="32"/>
          <w:lang w:val="en-US" w:eastAsia="zh-CN"/>
        </w:rPr>
        <w:t>因地制宜合理配置拖拉机、联合收割机、烘干机、播种机、植保无人机、农用水泵、铲车等抢收抢种“平急两用”的应急救灾机具15台套以上。同时拖拉机、种植机械、收获机械、植保机械等主要机具应安装信息化作业监测终端，实现远程监控和指挥调度。</w:t>
      </w:r>
    </w:p>
    <w:p w14:paraId="698D7F96">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(三)扩大服务面积。</w:t>
      </w:r>
      <w:r>
        <w:rPr>
          <w:rFonts w:hint="eastAsia" w:ascii="仿宋_GB2312" w:hAnsi="仿宋_GB2312" w:eastAsia="仿宋_GB2312" w:cs="仿宋_GB2312"/>
          <w:color w:val="auto"/>
          <w:sz w:val="32"/>
          <w:szCs w:val="32"/>
          <w:lang w:val="en-US" w:eastAsia="zh-CN"/>
        </w:rPr>
        <w:t>省级区域农机社会化服务中心可根据实际生产和农业应急救灾需要，为农户和农业经营主体提供机械化作业服务、集中育苗（秧）服务、烘干服务、农资配送和农产品回收加工服务，全年</w:t>
      </w:r>
      <w:r>
        <w:rPr>
          <w:rFonts w:hint="eastAsia" w:ascii="仿宋_GB2312" w:eastAsia="仿宋_GB2312"/>
          <w:sz w:val="32"/>
          <w:szCs w:val="32"/>
        </w:rPr>
        <w:t>农机服务总作业面积</w:t>
      </w:r>
      <w:r>
        <w:rPr>
          <w:rFonts w:hint="eastAsia" w:ascii="仿宋_GB2312" w:hAnsi="仿宋_GB2312" w:eastAsia="仿宋_GB2312" w:cs="仿宋_GB2312"/>
          <w:color w:val="auto"/>
          <w:sz w:val="32"/>
          <w:szCs w:val="32"/>
          <w:lang w:val="en-US" w:eastAsia="zh-CN"/>
        </w:rPr>
        <w:t>累计不小于3万亩。其中开展水稻机械化育插秧等“短板”作业环节的服务面积不少于1万亩。</w:t>
      </w:r>
    </w:p>
    <w:p w14:paraId="36E83386">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(四)强化安全生产。</w:t>
      </w:r>
      <w:r>
        <w:rPr>
          <w:rFonts w:hint="eastAsia" w:ascii="仿宋_GB2312" w:hAnsi="仿宋_GB2312" w:eastAsia="仿宋_GB2312" w:cs="仿宋_GB2312"/>
          <w:color w:val="auto"/>
          <w:sz w:val="32"/>
          <w:szCs w:val="32"/>
          <w:lang w:val="en-US" w:eastAsia="zh-CN"/>
        </w:rPr>
        <w:t>应建立设备操作、安全管理、学习培训等制度，完善安全和消防设备，定期组织开展安全教育和培训。管理人员应具备农业机械化相关专业知识与服务经验，熟悉农业政策和市场运营；农机（驾驶）操作人员应持有农机驾驶证或操作证，熟练掌握农业机械操作技术；维修人员应取得相应职业技能等级证书，熟悉农机装备的维修技术。应定期对农机装备进行安全检验和维护，遵守安全作业规范，落实安全措施，确保安全生产。</w:t>
      </w:r>
    </w:p>
    <w:p w14:paraId="4C1D9916">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三、建设要求</w:t>
      </w:r>
    </w:p>
    <w:p w14:paraId="66ACAA64">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(一)建设工期。</w:t>
      </w:r>
      <w:r>
        <w:rPr>
          <w:rFonts w:hint="eastAsia" w:ascii="仿宋_GB2312" w:hAnsi="仿宋_GB2312" w:eastAsia="仿宋_GB2312" w:cs="仿宋_GB2312"/>
          <w:color w:val="auto"/>
          <w:sz w:val="32"/>
          <w:szCs w:val="32"/>
          <w:lang w:val="en-US" w:eastAsia="zh-CN"/>
        </w:rPr>
        <w:t>省级区域农机社会化服务中心项目建设工期于2026年11月15日前完工。</w:t>
      </w:r>
    </w:p>
    <w:p w14:paraId="5CAEC963">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(二)组织验收。</w:t>
      </w:r>
      <w:r>
        <w:rPr>
          <w:rFonts w:hint="eastAsia" w:ascii="仿宋_GB2312" w:hAnsi="仿宋_GB2312" w:eastAsia="仿宋_GB2312" w:cs="仿宋_GB2312"/>
          <w:color w:val="auto"/>
          <w:sz w:val="32"/>
          <w:szCs w:val="32"/>
          <w:lang w:val="en-US" w:eastAsia="zh-CN"/>
        </w:rPr>
        <w:t>省级区域农机服务中心承建单位提出验收申请后，由县农业农村局、县财政局联合进行验收。验收主要内容为方案中建设内容,对验收合格的省级区域农机社会化服务中心出具验收合格意见书。</w:t>
      </w:r>
    </w:p>
    <w:p w14:paraId="2697C9C2">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四、建设资金</w:t>
      </w:r>
    </w:p>
    <w:p w14:paraId="1A30C5D8">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省级区域农机社会化服务中心建设项目按照“建前遴选、建成验收、先建后补”的原则进行。根据《安徽省财政厅关于下达2026年省财政现代农业发展资金预算的通知》皖财农〔2025〕1482 号文件实施要求，对验收合格的建设主体给予50万元资金奖补。</w:t>
      </w:r>
    </w:p>
    <w:p w14:paraId="27C29241">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五、服务功能保障</w:t>
      </w:r>
    </w:p>
    <w:p w14:paraId="2FCA086C">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省级区域农机社会化服务中心必须具备“平战结合”服务功能，平时开展社会化服务，受灾时能够开展应急救灾作业服务。</w:t>
      </w:r>
    </w:p>
    <w:p w14:paraId="20363F93">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(一)常态化服务。</w:t>
      </w:r>
      <w:r>
        <w:rPr>
          <w:rFonts w:hint="eastAsia" w:ascii="仿宋_GB2312" w:hAnsi="仿宋_GB2312" w:eastAsia="仿宋_GB2312" w:cs="仿宋_GB2312"/>
          <w:color w:val="auto"/>
          <w:sz w:val="32"/>
          <w:szCs w:val="32"/>
          <w:lang w:val="en-US" w:eastAsia="zh-CN"/>
        </w:rPr>
        <w:t>推行“以平养战”机制，平时为各类农业生产经营主体提供高质量农机作业、开展农业生产托管等社会化服务。要把服务小农户放在突出位置，特别是为“小散偏”地块及时提供机械化生产服务，着力解决当地农民迫切需要和农业生产关键短板环节机械化问题。在为所在区域乡镇开展农机社会化服务的基础上积极开展跨区作业服务。</w:t>
      </w:r>
    </w:p>
    <w:p w14:paraId="07B1C05F">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(二)应急救灾服务。</w:t>
      </w:r>
      <w:r>
        <w:rPr>
          <w:rFonts w:hint="eastAsia" w:ascii="仿宋_GB2312" w:hAnsi="仿宋_GB2312" w:eastAsia="仿宋_GB2312" w:cs="仿宋_GB2312"/>
          <w:color w:val="auto"/>
          <w:sz w:val="32"/>
          <w:szCs w:val="32"/>
          <w:lang w:val="en-US" w:eastAsia="zh-CN"/>
        </w:rPr>
        <w:t>省级区域农机社会化服务中心应建立健全应急响应机制，明确应急处置流程、责任分工，确保应急响应及时。应建立“平急两用”农机服务队伍，储备应急维修工具和物资，遭遇突发异常气候、特殊事件时服从调度，参与救灾抢险工作。发生灾害时，优先服从各级农业农村主管部门调度，及时开展应急救灾。同时根据不同作物、不同环节、不同灾种应急救灾需要，及时开展干旱抢浇、农田水抢排、倒伏作物抢收、湿粮抢烘、灾后抢种等本地农机救灾作业及应急救灾跨区支援服务。</w:t>
      </w:r>
    </w:p>
    <w:p w14:paraId="06ADF49C">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p>
    <w:p w14:paraId="5CD7972E">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p>
    <w:p w14:paraId="0949B714">
      <w:pPr>
        <w:spacing w:line="600" w:lineRule="exact"/>
        <w:ind w:firstLine="360" w:firstLineChars="100"/>
        <w:jc w:val="both"/>
        <w:rPr>
          <w:rFonts w:hint="eastAsia" w:ascii="方正小标宋简体" w:eastAsia="方正小标宋简体"/>
          <w:sz w:val="36"/>
          <w:szCs w:val="36"/>
          <w:lang w:val="en-US" w:eastAsia="zh-CN"/>
        </w:rPr>
      </w:pPr>
    </w:p>
    <w:p w14:paraId="32643491">
      <w:pPr>
        <w:spacing w:line="600" w:lineRule="exact"/>
        <w:ind w:firstLine="360" w:firstLineChars="100"/>
        <w:jc w:val="both"/>
        <w:rPr>
          <w:rFonts w:hint="eastAsia" w:ascii="方正小标宋简体" w:eastAsia="方正小标宋简体"/>
          <w:sz w:val="36"/>
          <w:szCs w:val="36"/>
          <w:lang w:val="en-US" w:eastAsia="zh-CN"/>
        </w:rPr>
      </w:pPr>
    </w:p>
    <w:p w14:paraId="70340E91">
      <w:pPr>
        <w:spacing w:line="600" w:lineRule="exact"/>
        <w:ind w:firstLine="360" w:firstLineChars="100"/>
        <w:jc w:val="both"/>
        <w:rPr>
          <w:rFonts w:hint="eastAsia" w:ascii="方正小标宋简体" w:eastAsia="方正小标宋简体"/>
          <w:sz w:val="36"/>
          <w:szCs w:val="36"/>
          <w:lang w:val="en-US" w:eastAsia="zh-CN"/>
        </w:rPr>
      </w:pPr>
    </w:p>
    <w:p w14:paraId="7E211945">
      <w:pPr>
        <w:spacing w:line="600" w:lineRule="exact"/>
        <w:ind w:firstLine="360" w:firstLineChars="100"/>
        <w:jc w:val="both"/>
        <w:rPr>
          <w:rFonts w:hint="eastAsia" w:ascii="方正小标宋简体" w:eastAsia="方正小标宋简体"/>
          <w:sz w:val="36"/>
          <w:szCs w:val="36"/>
          <w:lang w:val="en-US" w:eastAsia="zh-CN"/>
        </w:rPr>
      </w:pPr>
    </w:p>
    <w:p w14:paraId="1F0134FC">
      <w:pPr>
        <w:spacing w:line="600" w:lineRule="exact"/>
        <w:ind w:firstLine="360" w:firstLineChars="100"/>
        <w:jc w:val="both"/>
        <w:rPr>
          <w:rFonts w:hint="eastAsia" w:ascii="方正小标宋简体" w:eastAsia="方正小标宋简体"/>
          <w:sz w:val="36"/>
          <w:szCs w:val="36"/>
          <w:lang w:val="en-US" w:eastAsia="zh-CN"/>
        </w:rPr>
      </w:pPr>
    </w:p>
    <w:p w14:paraId="4B80104B">
      <w:pPr>
        <w:spacing w:line="600" w:lineRule="exact"/>
        <w:ind w:firstLine="360" w:firstLineChars="100"/>
        <w:jc w:val="both"/>
        <w:rPr>
          <w:rFonts w:hint="eastAsia" w:ascii="方正小标宋简体" w:eastAsia="方正小标宋简体"/>
          <w:sz w:val="36"/>
          <w:szCs w:val="36"/>
          <w:lang w:val="en-US" w:eastAsia="zh-CN"/>
        </w:rPr>
      </w:pPr>
    </w:p>
    <w:p w14:paraId="4EAABECC">
      <w:pPr>
        <w:spacing w:line="600" w:lineRule="exact"/>
        <w:ind w:firstLine="360" w:firstLineChars="100"/>
        <w:jc w:val="both"/>
        <w:rPr>
          <w:rFonts w:hint="eastAsia" w:ascii="方正小标宋简体" w:eastAsia="方正小标宋简体"/>
          <w:sz w:val="36"/>
          <w:szCs w:val="36"/>
          <w:lang w:val="en-US" w:eastAsia="zh-CN"/>
        </w:rPr>
      </w:pPr>
    </w:p>
    <w:p w14:paraId="281E007A">
      <w:pPr>
        <w:spacing w:line="600" w:lineRule="exact"/>
        <w:ind w:firstLine="360" w:firstLineChars="100"/>
        <w:jc w:val="both"/>
        <w:rPr>
          <w:rFonts w:hint="eastAsia" w:ascii="方正小标宋简体" w:eastAsia="方正小标宋简体"/>
          <w:sz w:val="36"/>
          <w:szCs w:val="36"/>
          <w:lang w:val="en-US" w:eastAsia="zh-CN"/>
        </w:rPr>
      </w:pPr>
    </w:p>
    <w:p w14:paraId="03C2D98D">
      <w:pPr>
        <w:spacing w:line="600" w:lineRule="exact"/>
        <w:ind w:firstLine="360" w:firstLineChars="100"/>
        <w:jc w:val="both"/>
        <w:rPr>
          <w:rFonts w:hint="eastAsia" w:ascii="方正小标宋简体" w:eastAsia="方正小标宋简体"/>
          <w:sz w:val="36"/>
          <w:szCs w:val="36"/>
          <w:lang w:val="en-US" w:eastAsia="zh-CN"/>
        </w:rPr>
      </w:pPr>
    </w:p>
    <w:p w14:paraId="1ABED916">
      <w:pPr>
        <w:spacing w:line="600" w:lineRule="exact"/>
        <w:ind w:firstLine="360" w:firstLineChars="100"/>
        <w:jc w:val="both"/>
        <w:rPr>
          <w:rFonts w:hint="eastAsia" w:ascii="方正小标宋简体" w:eastAsia="方正小标宋简体"/>
          <w:sz w:val="36"/>
          <w:szCs w:val="36"/>
          <w:lang w:val="en-US" w:eastAsia="zh-CN"/>
        </w:rPr>
      </w:pPr>
    </w:p>
    <w:p w14:paraId="6AF464B5">
      <w:pPr>
        <w:spacing w:line="600" w:lineRule="exact"/>
        <w:ind w:firstLine="360" w:firstLineChars="100"/>
        <w:jc w:val="both"/>
        <w:rPr>
          <w:rFonts w:hint="eastAsia" w:ascii="方正小标宋简体" w:eastAsia="方正小标宋简体"/>
          <w:sz w:val="36"/>
          <w:szCs w:val="36"/>
          <w:lang w:val="en-US" w:eastAsia="zh-CN"/>
        </w:rPr>
      </w:pPr>
    </w:p>
    <w:p w14:paraId="53EC6AB8">
      <w:pPr>
        <w:spacing w:line="600" w:lineRule="exact"/>
        <w:ind w:firstLine="360" w:firstLineChars="100"/>
        <w:jc w:val="both"/>
        <w:rPr>
          <w:rFonts w:hint="eastAsia" w:ascii="方正小标宋简体" w:eastAsia="方正小标宋简体"/>
          <w:sz w:val="36"/>
          <w:szCs w:val="36"/>
          <w:lang w:val="en-US" w:eastAsia="zh-CN"/>
        </w:rPr>
      </w:pPr>
    </w:p>
    <w:p w14:paraId="0C849C73">
      <w:pPr>
        <w:spacing w:line="600" w:lineRule="exact"/>
        <w:ind w:firstLine="360" w:firstLineChars="100"/>
        <w:jc w:val="both"/>
        <w:rPr>
          <w:rFonts w:hint="eastAsia" w:ascii="方正小标宋简体" w:eastAsia="方正小标宋简体"/>
          <w:sz w:val="36"/>
          <w:szCs w:val="36"/>
          <w:lang w:val="en-US" w:eastAsia="zh-CN"/>
        </w:rPr>
      </w:pPr>
    </w:p>
    <w:p w14:paraId="00639C33">
      <w:pPr>
        <w:spacing w:line="600" w:lineRule="exact"/>
        <w:ind w:firstLine="360" w:firstLineChars="100"/>
        <w:jc w:val="both"/>
        <w:rPr>
          <w:rFonts w:hint="eastAsia" w:ascii="方正小标宋简体" w:eastAsia="方正小标宋简体"/>
          <w:sz w:val="36"/>
          <w:szCs w:val="36"/>
          <w:lang w:val="en-US" w:eastAsia="zh-CN"/>
        </w:rPr>
      </w:pPr>
    </w:p>
    <w:p w14:paraId="5C30E622">
      <w:pPr>
        <w:spacing w:line="600" w:lineRule="exact"/>
        <w:ind w:firstLine="360" w:firstLineChars="100"/>
        <w:jc w:val="both"/>
        <w:rPr>
          <w:rFonts w:hint="eastAsia" w:ascii="方正小标宋简体" w:eastAsia="方正小标宋简体"/>
          <w:sz w:val="36"/>
          <w:szCs w:val="36"/>
          <w:lang w:val="en-US" w:eastAsia="zh-CN"/>
        </w:rPr>
      </w:pPr>
    </w:p>
    <w:p w14:paraId="7AC74084">
      <w:pPr>
        <w:spacing w:line="600" w:lineRule="exact"/>
        <w:ind w:firstLine="360" w:firstLineChars="100"/>
        <w:jc w:val="both"/>
        <w:rPr>
          <w:rFonts w:hint="eastAsia" w:ascii="方正小标宋简体" w:eastAsia="方正小标宋简体"/>
          <w:sz w:val="36"/>
          <w:szCs w:val="36"/>
          <w:lang w:val="en-US" w:eastAsia="zh-CN"/>
        </w:rPr>
      </w:pPr>
    </w:p>
    <w:p w14:paraId="7C5B51BB">
      <w:pPr>
        <w:spacing w:line="600" w:lineRule="exact"/>
        <w:ind w:firstLine="360" w:firstLineChars="100"/>
        <w:jc w:val="both"/>
        <w:rPr>
          <w:rFonts w:hint="eastAsia" w:ascii="方正小标宋简体" w:eastAsia="方正小标宋简体"/>
          <w:sz w:val="36"/>
          <w:szCs w:val="36"/>
          <w:lang w:val="en-US" w:eastAsia="zh-CN"/>
        </w:rPr>
      </w:pPr>
    </w:p>
    <w:p w14:paraId="10A3A55B">
      <w:pPr>
        <w:spacing w:line="600" w:lineRule="exact"/>
        <w:ind w:firstLine="360" w:firstLineChars="100"/>
        <w:jc w:val="both"/>
        <w:rPr>
          <w:rFonts w:hint="eastAsia" w:ascii="方正小标宋简体" w:eastAsia="方正小标宋简体"/>
          <w:sz w:val="36"/>
          <w:szCs w:val="36"/>
          <w:lang w:val="en-US" w:eastAsia="zh-CN"/>
        </w:rPr>
      </w:pPr>
    </w:p>
    <w:p w14:paraId="0D6E3953">
      <w:pPr>
        <w:spacing w:line="600" w:lineRule="exact"/>
        <w:ind w:firstLine="360" w:firstLineChars="100"/>
        <w:jc w:val="both"/>
        <w:rPr>
          <w:rFonts w:hint="eastAsia" w:ascii="方正小标宋简体" w:eastAsia="方正小标宋简体"/>
          <w:sz w:val="36"/>
          <w:szCs w:val="36"/>
          <w:lang w:val="en-US" w:eastAsia="zh-CN"/>
        </w:rPr>
      </w:pPr>
    </w:p>
    <w:p w14:paraId="5B4ECFB0">
      <w:pPr>
        <w:spacing w:line="600" w:lineRule="exact"/>
        <w:jc w:val="both"/>
        <w:rPr>
          <w:rFonts w:hint="eastAsia" w:ascii="方正小标宋简体" w:eastAsia="方正小标宋简体"/>
          <w:sz w:val="36"/>
          <w:szCs w:val="36"/>
          <w:lang w:val="en-US" w:eastAsia="zh-CN"/>
        </w:rPr>
      </w:pPr>
      <w:r>
        <w:rPr>
          <w:rFonts w:hint="eastAsia" w:ascii="方正小标宋简体" w:eastAsia="方正小标宋简体"/>
          <w:sz w:val="36"/>
          <w:szCs w:val="36"/>
          <w:lang w:val="en-US" w:eastAsia="zh-CN"/>
        </w:rPr>
        <w:t>附件2：</w:t>
      </w:r>
    </w:p>
    <w:p w14:paraId="47DFCE38">
      <w:pPr>
        <w:spacing w:line="600" w:lineRule="exact"/>
        <w:ind w:firstLine="720" w:firstLineChars="200"/>
        <w:jc w:val="both"/>
        <w:rPr>
          <w:rFonts w:hint="eastAsia" w:ascii="方正小标宋简体" w:eastAsia="方正小标宋简体"/>
          <w:sz w:val="36"/>
          <w:szCs w:val="36"/>
          <w:lang w:val="en-US" w:eastAsia="zh-CN"/>
        </w:rPr>
      </w:pPr>
      <w:r>
        <w:rPr>
          <w:rFonts w:hint="eastAsia" w:ascii="方正小标宋简体" w:eastAsia="方正小标宋简体"/>
          <w:sz w:val="36"/>
          <w:szCs w:val="36"/>
          <w:lang w:val="en-US" w:eastAsia="zh-CN"/>
        </w:rPr>
        <w:t>东至县</w:t>
      </w:r>
      <w:r>
        <w:rPr>
          <w:rFonts w:hint="eastAsia" w:ascii="方正小标宋简体" w:eastAsia="方正小标宋简体"/>
          <w:sz w:val="36"/>
          <w:szCs w:val="36"/>
        </w:rPr>
        <w:t>省级区域农机社会化服务中心</w:t>
      </w:r>
      <w:r>
        <w:rPr>
          <w:rFonts w:hint="eastAsia" w:ascii="方正小标宋简体" w:eastAsia="方正小标宋简体"/>
          <w:sz w:val="36"/>
          <w:szCs w:val="36"/>
          <w:lang w:val="en-US" w:eastAsia="zh-CN"/>
        </w:rPr>
        <w:t>建设项目</w:t>
      </w:r>
    </w:p>
    <w:p w14:paraId="75B82CA7">
      <w:pPr>
        <w:spacing w:line="600" w:lineRule="exact"/>
        <w:ind w:firstLine="3240" w:firstLineChars="900"/>
        <w:jc w:val="both"/>
        <w:rPr>
          <w:rFonts w:hint="eastAsia" w:ascii="方正小标宋简体" w:eastAsia="方正小标宋简体"/>
          <w:sz w:val="36"/>
          <w:szCs w:val="36"/>
          <w:lang w:eastAsia="zh-CN"/>
        </w:rPr>
      </w:pPr>
      <w:r>
        <w:rPr>
          <w:rFonts w:hint="eastAsia" w:ascii="方正小标宋简体" w:eastAsia="方正小标宋简体"/>
          <w:sz w:val="36"/>
          <w:szCs w:val="36"/>
        </w:rPr>
        <w:t>遴选</w:t>
      </w:r>
      <w:r>
        <w:rPr>
          <w:rFonts w:hint="eastAsia" w:ascii="方正小标宋简体" w:eastAsia="方正小标宋简体"/>
          <w:sz w:val="36"/>
          <w:szCs w:val="36"/>
          <w:lang w:val="en-US" w:eastAsia="zh-CN"/>
        </w:rPr>
        <w:t>方案</w:t>
      </w:r>
    </w:p>
    <w:p w14:paraId="137C9124">
      <w:pPr>
        <w:ind w:firstLine="640" w:firstLineChars="200"/>
        <w:rPr>
          <w:rFonts w:hint="eastAsia" w:ascii="仿宋_GB2312" w:eastAsia="仿宋_GB2312"/>
          <w:sz w:val="32"/>
          <w:szCs w:val="32"/>
        </w:rPr>
      </w:pPr>
    </w:p>
    <w:p w14:paraId="7D0A402C">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农业机械化是加快推进农业农村现代化的关键抓手和基础支撑，区域性农机社会化服务中心是提升农业机械组织化、专业化、集约化、规模化的重要形式，是农业生产抗灾救灾的主力军。按照《农业农村部关于加快培育区域农机服务中心的指导意见》(农机发〔2023〕5号)和《安徽省农业农村厅关于做好2025年度区域农机社会化服务中心建设工作的通知》(皖农机函〔2025〕83号)文件要求，现结合我县农业生产实际，特制定本遴选方案。</w:t>
      </w:r>
    </w:p>
    <w:p w14:paraId="4A9015D7">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一、申报条件</w:t>
      </w:r>
    </w:p>
    <w:p w14:paraId="5F3A770C">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（一）基本条件。</w:t>
      </w:r>
    </w:p>
    <w:p w14:paraId="42FECA83">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1、依法设立。建设主体应为省内依法登记注册的村集体经济组织、农业企业、农民（农机）专业合作社、家庭农场等农业生产经营组织，且依法登记注册时间满2年以上。</w:t>
      </w:r>
    </w:p>
    <w:p w14:paraId="64F367FF">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运行规范。应有固定场所，农业基础设施用地应符合规定或场地租赁期持续稳定。建设主体应开设独立的银行账号，按规定开展会计核算，建有完善的内部管理、设备操作、作业安全、学习培训等相关规章制度。</w:t>
      </w:r>
    </w:p>
    <w:p w14:paraId="53B83EE9">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遵纪守法。建设或运营主体应具备农机作业及农业生产服务从业经验，具备良好社会信用，无违法违规行为发生。应严格遵守国家法律法规，诚信经营，在全国企业信用信息公示系统中，未列入经营异常名录。</w:t>
      </w:r>
    </w:p>
    <w:p w14:paraId="69401E95">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（二）选址布局。</w:t>
      </w:r>
    </w:p>
    <w:p w14:paraId="7F639948">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省级</w:t>
      </w:r>
      <w:r>
        <w:rPr>
          <w:rFonts w:hint="default" w:ascii="仿宋_GB2312" w:hAnsi="仿宋_GB2312" w:eastAsia="仿宋_GB2312" w:cs="仿宋_GB2312"/>
          <w:color w:val="auto"/>
          <w:sz w:val="32"/>
          <w:szCs w:val="32"/>
          <w:lang w:val="en-US" w:eastAsia="zh-CN"/>
        </w:rPr>
        <w:t>区域农机</w:t>
      </w:r>
      <w:r>
        <w:rPr>
          <w:rFonts w:hint="eastAsia" w:ascii="仿宋_GB2312" w:hAnsi="仿宋_GB2312" w:eastAsia="仿宋_GB2312" w:cs="仿宋_GB2312"/>
          <w:color w:val="auto"/>
          <w:sz w:val="32"/>
          <w:szCs w:val="32"/>
          <w:lang w:val="en-US" w:eastAsia="zh-CN"/>
        </w:rPr>
        <w:t>社会化</w:t>
      </w:r>
      <w:r>
        <w:rPr>
          <w:rFonts w:hint="default" w:ascii="仿宋_GB2312" w:hAnsi="仿宋_GB2312" w:eastAsia="仿宋_GB2312" w:cs="仿宋_GB2312"/>
          <w:color w:val="auto"/>
          <w:sz w:val="32"/>
          <w:szCs w:val="32"/>
          <w:lang w:val="en-US" w:eastAsia="zh-CN"/>
        </w:rPr>
        <w:t>服务中心选址应具备以下条件：</w:t>
      </w:r>
      <w:r>
        <w:rPr>
          <w:rFonts w:hint="eastAsia" w:ascii="仿宋_GB2312" w:hAnsi="仿宋_GB2312" w:eastAsia="仿宋_GB2312" w:cs="仿宋_GB2312"/>
          <w:color w:val="auto"/>
          <w:sz w:val="32"/>
          <w:szCs w:val="32"/>
          <w:lang w:val="en-US" w:eastAsia="zh-CN"/>
        </w:rPr>
        <w:t>一是</w:t>
      </w:r>
      <w:r>
        <w:rPr>
          <w:rFonts w:hint="default" w:ascii="仿宋_GB2312" w:hAnsi="仿宋_GB2312" w:eastAsia="仿宋_GB2312" w:cs="仿宋_GB2312"/>
          <w:color w:val="auto"/>
          <w:sz w:val="32"/>
          <w:szCs w:val="32"/>
          <w:lang w:val="en-US" w:eastAsia="zh-CN"/>
        </w:rPr>
        <w:t>交通便利，临近主要公路或田间道路，便于农机转运和作业调度；</w:t>
      </w:r>
      <w:r>
        <w:rPr>
          <w:rFonts w:hint="eastAsia" w:ascii="仿宋_GB2312" w:hAnsi="仿宋_GB2312" w:eastAsia="仿宋_GB2312" w:cs="仿宋_GB2312"/>
          <w:color w:val="auto"/>
          <w:sz w:val="32"/>
          <w:szCs w:val="32"/>
          <w:lang w:val="en-US" w:eastAsia="zh-CN"/>
        </w:rPr>
        <w:t>二是</w:t>
      </w:r>
      <w:r>
        <w:rPr>
          <w:rFonts w:hint="default" w:ascii="仿宋_GB2312" w:hAnsi="仿宋_GB2312" w:eastAsia="仿宋_GB2312" w:cs="仿宋_GB2312"/>
          <w:color w:val="auto"/>
          <w:sz w:val="32"/>
          <w:szCs w:val="32"/>
          <w:lang w:val="en-US" w:eastAsia="zh-CN"/>
        </w:rPr>
        <w:t>地势平坦，地质条件稳定，避开低洼易涝区和生态保护区；</w:t>
      </w:r>
      <w:r>
        <w:rPr>
          <w:rFonts w:hint="eastAsia" w:ascii="仿宋_GB2312" w:hAnsi="仿宋_GB2312" w:eastAsia="仿宋_GB2312" w:cs="仿宋_GB2312"/>
          <w:color w:val="auto"/>
          <w:sz w:val="32"/>
          <w:szCs w:val="32"/>
          <w:lang w:val="en-US" w:eastAsia="zh-CN"/>
        </w:rPr>
        <w:t>三是</w:t>
      </w:r>
      <w:r>
        <w:rPr>
          <w:rFonts w:hint="default" w:ascii="仿宋_GB2312" w:hAnsi="仿宋_GB2312" w:eastAsia="仿宋_GB2312" w:cs="仿宋_GB2312"/>
          <w:color w:val="auto"/>
          <w:sz w:val="32"/>
          <w:szCs w:val="32"/>
          <w:lang w:val="en-US" w:eastAsia="zh-CN"/>
        </w:rPr>
        <w:t>靠近服务区域的农业主产区，服务半径覆盖周边主要乡镇；</w:t>
      </w:r>
      <w:r>
        <w:rPr>
          <w:rFonts w:hint="eastAsia" w:ascii="仿宋_GB2312" w:hAnsi="仿宋_GB2312" w:eastAsia="仿宋_GB2312" w:cs="仿宋_GB2312"/>
          <w:color w:val="auto"/>
          <w:sz w:val="32"/>
          <w:szCs w:val="32"/>
          <w:lang w:val="en-US" w:eastAsia="zh-CN"/>
        </w:rPr>
        <w:t>四是</w:t>
      </w:r>
      <w:r>
        <w:rPr>
          <w:rFonts w:hint="default" w:ascii="仿宋_GB2312" w:hAnsi="仿宋_GB2312" w:eastAsia="仿宋_GB2312" w:cs="仿宋_GB2312"/>
          <w:color w:val="auto"/>
          <w:sz w:val="32"/>
          <w:szCs w:val="32"/>
          <w:lang w:val="en-US" w:eastAsia="zh-CN"/>
        </w:rPr>
        <w:t>符合国土空间规划和农业设施用地管理要求。</w:t>
      </w:r>
    </w:p>
    <w:p w14:paraId="502B727B">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（三）基础设施。</w:t>
      </w:r>
    </w:p>
    <w:p w14:paraId="3978B540">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1、应有固定场所，农业基础设施用地应符合规定或场地租赁期持续稳定。具备与服务功能相适应的场所规模，占地面积不小于8亩；</w:t>
      </w:r>
    </w:p>
    <w:p w14:paraId="6BCCE168">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2、应建有农机具存放及设施用房，机库棚面积不低于1000㎡，并符合农机具库棚建设的相关要求；</w:t>
      </w:r>
    </w:p>
    <w:p w14:paraId="6649E1B0">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3、应建有维修车间</w:t>
      </w:r>
      <w:bookmarkStart w:id="0" w:name="OLE_LINK10"/>
      <w:r>
        <w:rPr>
          <w:rFonts w:hint="eastAsia" w:ascii="仿宋_GB2312" w:hAnsi="仿宋_GB2312" w:eastAsia="仿宋_GB2312" w:cs="仿宋_GB2312"/>
          <w:color w:val="auto"/>
          <w:sz w:val="32"/>
          <w:szCs w:val="32"/>
          <w:lang w:val="en-US" w:eastAsia="zh-CN"/>
        </w:rPr>
        <w:t>，并配备电焊机、气泵、切割机</w:t>
      </w:r>
      <w:bookmarkEnd w:id="0"/>
      <w:r>
        <w:rPr>
          <w:rFonts w:hint="eastAsia" w:ascii="仿宋_GB2312" w:hAnsi="仿宋_GB2312" w:eastAsia="仿宋_GB2312" w:cs="仿宋_GB2312"/>
          <w:color w:val="auto"/>
          <w:sz w:val="32"/>
          <w:szCs w:val="32"/>
          <w:lang w:val="en-US" w:eastAsia="zh-CN"/>
        </w:rPr>
        <w:t>及必须的农业机械维修设备；</w:t>
      </w:r>
    </w:p>
    <w:p w14:paraId="4F5879ED">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4、应建有烘干中心，能提供统一的粮油烘干服务。烘干中心应设有烘前处理区、烘干作业区和烘后暂存区并满足以下要求：</w:t>
      </w:r>
    </w:p>
    <w:p w14:paraId="38987D8E">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烘前处理区包括地磅、露天晒场、原粮处理运输区等；</w:t>
      </w:r>
    </w:p>
    <w:p w14:paraId="6F43D277">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烘干作业区包括循环式烘干机房或连续式烘干塔主体，以及配电房、热风炉、燃料库、工具房、除尘间（循环式）等生产服务用房；烘干能力应满足循环式烘干机批处理量不小于150吨，连续式烘干塔批处理量不小于600 吨。</w:t>
      </w:r>
    </w:p>
    <w:p w14:paraId="592249E3">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烘后暂存区包括存放库房等，</w:t>
      </w:r>
      <w:bookmarkStart w:id="1" w:name="OLE_LINK17"/>
      <w:r>
        <w:rPr>
          <w:rFonts w:hint="eastAsia" w:ascii="仿宋_GB2312" w:hAnsi="仿宋_GB2312" w:eastAsia="仿宋_GB2312" w:cs="仿宋_GB2312"/>
          <w:color w:val="auto"/>
          <w:sz w:val="32"/>
          <w:szCs w:val="32"/>
          <w:lang w:val="en-US" w:eastAsia="zh-CN"/>
        </w:rPr>
        <w:t>存放库房应为封闭式砖混、砖木或钢结构，</w:t>
      </w:r>
      <w:bookmarkEnd w:id="1"/>
      <w:r>
        <w:rPr>
          <w:rFonts w:hint="eastAsia" w:ascii="仿宋_GB2312" w:hAnsi="仿宋_GB2312" w:eastAsia="仿宋_GB2312" w:cs="仿宋_GB2312"/>
          <w:color w:val="auto"/>
          <w:sz w:val="32"/>
          <w:szCs w:val="32"/>
          <w:lang w:val="en-US" w:eastAsia="zh-CN"/>
        </w:rPr>
        <w:t>采光、通风条件良好，同时具备防火、除尘功能且仓储容量不低于5000吨。</w:t>
      </w:r>
    </w:p>
    <w:p w14:paraId="20C02199">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5、应建有育秧播种车间和标准化育秧大棚，播种车间面积不低于300㎡，标准化育秧大棚面积不低于3000㎡。</w:t>
      </w:r>
    </w:p>
    <w:p w14:paraId="14EB6B62">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6、应建有标准化培训教室，添置必备的电脑、投影仪和培训桌椅等培训设施设备。</w:t>
      </w:r>
    </w:p>
    <w:p w14:paraId="3E19B58C">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7、应建有独立的</w:t>
      </w:r>
      <w:r>
        <w:rPr>
          <w:rFonts w:hint="default" w:ascii="仿宋_GB2312" w:hAnsi="仿宋_GB2312" w:eastAsia="仿宋_GB2312" w:cs="仿宋_GB2312"/>
          <w:color w:val="auto"/>
          <w:sz w:val="32"/>
          <w:szCs w:val="32"/>
          <w:lang w:val="en-US" w:eastAsia="zh-CN"/>
        </w:rPr>
        <w:t>农资</w:t>
      </w:r>
      <w:r>
        <w:rPr>
          <w:rFonts w:hint="eastAsia" w:ascii="仿宋_GB2312" w:hAnsi="仿宋_GB2312" w:eastAsia="仿宋_GB2312" w:cs="仿宋_GB2312"/>
          <w:color w:val="auto"/>
          <w:sz w:val="32"/>
          <w:szCs w:val="32"/>
          <w:lang w:val="en-US" w:eastAsia="zh-CN"/>
        </w:rPr>
        <w:t>存放区</w:t>
      </w:r>
      <w:r>
        <w:rPr>
          <w:rFonts w:hint="default" w:ascii="仿宋_GB2312" w:hAnsi="仿宋_GB2312" w:eastAsia="仿宋_GB2312" w:cs="仿宋_GB2312"/>
          <w:color w:val="auto"/>
          <w:sz w:val="32"/>
          <w:szCs w:val="32"/>
          <w:lang w:val="en-US" w:eastAsia="zh-CN"/>
        </w:rPr>
        <w:t>，可</w:t>
      </w:r>
      <w:r>
        <w:rPr>
          <w:rFonts w:hint="eastAsia" w:ascii="仿宋_GB2312" w:hAnsi="仿宋_GB2312" w:eastAsia="仿宋_GB2312" w:cs="仿宋_GB2312"/>
          <w:color w:val="auto"/>
          <w:sz w:val="32"/>
          <w:szCs w:val="32"/>
          <w:lang w:val="en-US" w:eastAsia="zh-CN"/>
        </w:rPr>
        <w:t>为小农户和农业经营组织</w:t>
      </w:r>
      <w:r>
        <w:rPr>
          <w:rFonts w:hint="default" w:ascii="仿宋_GB2312" w:hAnsi="仿宋_GB2312" w:eastAsia="仿宋_GB2312" w:cs="仿宋_GB2312"/>
          <w:color w:val="auto"/>
          <w:sz w:val="32"/>
          <w:szCs w:val="32"/>
          <w:lang w:val="en-US" w:eastAsia="zh-CN"/>
        </w:rPr>
        <w:t>提供农资产品配送和回收利用服务</w:t>
      </w:r>
      <w:r>
        <w:rPr>
          <w:rFonts w:hint="eastAsia" w:ascii="仿宋_GB2312" w:hAnsi="仿宋_GB2312" w:eastAsia="仿宋_GB2312" w:cs="仿宋_GB2312"/>
          <w:color w:val="auto"/>
          <w:sz w:val="32"/>
          <w:szCs w:val="32"/>
          <w:lang w:val="en-US" w:eastAsia="zh-CN"/>
        </w:rPr>
        <w:t>。</w:t>
      </w:r>
    </w:p>
    <w:p w14:paraId="549D2D80">
      <w:pPr>
        <w:keepNext w:val="0"/>
        <w:keepLines w:val="0"/>
        <w:pageBreakBefore w:val="0"/>
        <w:widowControl/>
        <w:kinsoku w:val="0"/>
        <w:wordWrap/>
        <w:overflowPunct/>
        <w:topLinePunct w:val="0"/>
        <w:autoSpaceDE w:val="0"/>
        <w:autoSpaceDN w:val="0"/>
        <w:bidi w:val="0"/>
        <w:adjustRightInd w:val="0"/>
        <w:snapToGrid w:val="0"/>
        <w:spacing w:line="600" w:lineRule="exact"/>
        <w:ind w:firstLine="321" w:firstLineChars="100"/>
        <w:textAlignment w:val="baseline"/>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（四）农业机械装备。</w:t>
      </w:r>
    </w:p>
    <w:p w14:paraId="130547BB">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省级区域农机社会化服务中心应配备与当地农业生产需求相匹配的农业机械，应满足生产、应急作业需要，服务覆盖耕、种、管、收、烘、秸秆处理和农产品加工等作业环节，数量不少于 40 台（套）。其中插秧机械要达到10台(套)以上；育秧流水线不少于2条；因地制宜合理配置拖拉机、联合收割机、烘干机、播种机、植保无人机、农用水泵、铲车等抢收抢种“平急两用”的应急救灾机具达15台套以上。同时拖拉机、种植机械、收获机械、植保机械等主要机具应安装信息化作业监测终端，实现远程监控和指挥调度。</w:t>
      </w:r>
    </w:p>
    <w:p w14:paraId="5B25EE6A">
      <w:pPr>
        <w:keepNext w:val="0"/>
        <w:keepLines w:val="0"/>
        <w:pageBreakBefore w:val="0"/>
        <w:widowControl/>
        <w:kinsoku w:val="0"/>
        <w:wordWrap/>
        <w:overflowPunct/>
        <w:topLinePunct w:val="0"/>
        <w:autoSpaceDE w:val="0"/>
        <w:autoSpaceDN w:val="0"/>
        <w:bidi w:val="0"/>
        <w:adjustRightInd w:val="0"/>
        <w:snapToGrid w:val="0"/>
        <w:spacing w:line="600" w:lineRule="exact"/>
        <w:ind w:firstLine="321" w:firstLineChars="100"/>
        <w:textAlignment w:val="baseline"/>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（五）服务能力。</w:t>
      </w:r>
    </w:p>
    <w:p w14:paraId="362CF002">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省级区域农机社会化服务中心可根据实际生产和农业应急救灾需要，为农户和农业经营主体提供机械化作业服务、集中育苗（秧）服务、烘干服务、农资配送和农产品回收加工服务，全年农机服务总作业面积累计不小于3万亩。其中开展水稻机械化育插秧等“短板”作业环节的服务面积不少于1万亩。省级区域农机社会化服务中心必须具备“平战结合”服务功能，平时开展社会化服务，受灾时能够开展应急救灾作业服务。应建立“平急两用”农机服务队伍，储备应急维修工具和物资，遭遇突发异常气候、特殊事件时优先服从各级农业农村主管部门调度，及时开展应急救灾。</w:t>
      </w:r>
    </w:p>
    <w:p w14:paraId="6F215470">
      <w:pPr>
        <w:keepNext w:val="0"/>
        <w:keepLines w:val="0"/>
        <w:pageBreakBefore w:val="0"/>
        <w:widowControl/>
        <w:kinsoku w:val="0"/>
        <w:wordWrap/>
        <w:overflowPunct/>
        <w:topLinePunct w:val="0"/>
        <w:autoSpaceDE w:val="0"/>
        <w:autoSpaceDN w:val="0"/>
        <w:bidi w:val="0"/>
        <w:adjustRightInd w:val="0"/>
        <w:snapToGrid w:val="0"/>
        <w:spacing w:line="600" w:lineRule="exact"/>
        <w:ind w:firstLine="321" w:firstLineChars="100"/>
        <w:textAlignment w:val="baseline"/>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（六）安全生产。</w:t>
      </w:r>
    </w:p>
    <w:p w14:paraId="559FB789">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应建立设备操作、安全管理、学习培训等制度，完善安全和消防设备，定期组织开展安全教育和培训。管理人员应具备农业机械化相关专业知识与服务经验，熟悉农业政策和市场运营；农机（驾驶）操作人员应持有农机驾驶证或操作证，熟练掌握农业机械操作技术；维修人员应取得相应职业技能等级证书，熟悉农机装备的维修技术。应严格遵守安全作业规范，落实安全措施，确保安全生产。近三年，未发生农机安全事故。</w:t>
      </w:r>
    </w:p>
    <w:p w14:paraId="2EBDDB32">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二、遴选程序</w:t>
      </w:r>
    </w:p>
    <w:p w14:paraId="38263C55">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省级区域农机社会化服务中心建设项目按照“建前遴选、建成验收、先建后补”的原则进行。</w:t>
      </w:r>
    </w:p>
    <w:p w14:paraId="26A838BA">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（一）发布公告。</w:t>
      </w:r>
      <w:r>
        <w:rPr>
          <w:rFonts w:hint="eastAsia" w:ascii="仿宋_GB2312" w:hAnsi="仿宋_GB2312" w:eastAsia="仿宋_GB2312" w:cs="仿宋_GB2312"/>
          <w:color w:val="auto"/>
          <w:sz w:val="32"/>
          <w:szCs w:val="32"/>
          <w:lang w:val="en-US" w:eastAsia="zh-CN"/>
        </w:rPr>
        <w:t>县农业农村局发布省级区域农机社会化服务中心实施方案和遴选方案，公开条件、程序和要求。</w:t>
      </w:r>
    </w:p>
    <w:p w14:paraId="5D1EB1C1">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（二）组织</w:t>
      </w:r>
      <w:r>
        <w:rPr>
          <w:rFonts w:hint="default" w:ascii="仿宋_GB2312" w:hAnsi="仿宋_GB2312" w:eastAsia="仿宋_GB2312" w:cs="仿宋_GB2312"/>
          <w:b/>
          <w:bCs/>
          <w:color w:val="auto"/>
          <w:sz w:val="32"/>
          <w:szCs w:val="32"/>
          <w:lang w:val="en-US" w:eastAsia="zh-CN"/>
        </w:rPr>
        <w:t>申报。</w:t>
      </w:r>
      <w:r>
        <w:rPr>
          <w:rFonts w:hint="default" w:ascii="仿宋_GB2312" w:hAnsi="仿宋_GB2312" w:eastAsia="仿宋_GB2312" w:cs="仿宋_GB2312"/>
          <w:color w:val="auto"/>
          <w:sz w:val="32"/>
          <w:szCs w:val="32"/>
          <w:lang w:val="en-US" w:eastAsia="zh-CN"/>
        </w:rPr>
        <w:t>本方案下发后，各乡镇要及时引导</w:t>
      </w:r>
      <w:r>
        <w:rPr>
          <w:rFonts w:hint="eastAsia" w:ascii="仿宋_GB2312" w:hAnsi="仿宋_GB2312" w:eastAsia="仿宋_GB2312" w:cs="仿宋_GB2312"/>
          <w:color w:val="auto"/>
          <w:sz w:val="32"/>
          <w:szCs w:val="32"/>
          <w:lang w:val="en-US" w:eastAsia="zh-CN"/>
        </w:rPr>
        <w:t>农业生产经营组织</w:t>
      </w:r>
      <w:r>
        <w:rPr>
          <w:rFonts w:hint="default" w:ascii="仿宋_GB2312" w:hAnsi="仿宋_GB2312" w:eastAsia="仿宋_GB2312" w:cs="仿宋_GB2312"/>
          <w:color w:val="auto"/>
          <w:sz w:val="32"/>
          <w:szCs w:val="32"/>
          <w:lang w:val="en-US" w:eastAsia="zh-CN"/>
        </w:rPr>
        <w:t>申报。自愿参与</w:t>
      </w:r>
      <w:r>
        <w:rPr>
          <w:rFonts w:hint="eastAsia" w:ascii="仿宋_GB2312" w:hAnsi="仿宋_GB2312" w:eastAsia="仿宋_GB2312" w:cs="仿宋_GB2312"/>
          <w:color w:val="auto"/>
          <w:sz w:val="32"/>
          <w:szCs w:val="32"/>
          <w:lang w:val="en-US" w:eastAsia="zh-CN"/>
        </w:rPr>
        <w:t>申报</w:t>
      </w:r>
      <w:r>
        <w:rPr>
          <w:rFonts w:hint="default" w:ascii="仿宋_GB2312" w:hAnsi="仿宋_GB2312" w:eastAsia="仿宋_GB2312" w:cs="仿宋_GB2312"/>
          <w:color w:val="auto"/>
          <w:sz w:val="32"/>
          <w:szCs w:val="32"/>
          <w:lang w:val="en-US" w:eastAsia="zh-CN"/>
        </w:rPr>
        <w:t>的实施主体应在规定时间内向</w:t>
      </w:r>
      <w:r>
        <w:rPr>
          <w:rFonts w:hint="eastAsia" w:ascii="仿宋_GB2312" w:hAnsi="仿宋_GB2312" w:eastAsia="仿宋_GB2312" w:cs="仿宋_GB2312"/>
          <w:color w:val="auto"/>
          <w:sz w:val="32"/>
          <w:szCs w:val="32"/>
          <w:lang w:val="en-US" w:eastAsia="zh-CN"/>
        </w:rPr>
        <w:t>所在乡镇</w:t>
      </w:r>
      <w:r>
        <w:rPr>
          <w:rFonts w:hint="default" w:ascii="仿宋_GB2312" w:hAnsi="仿宋_GB2312" w:eastAsia="仿宋_GB2312" w:cs="仿宋_GB2312"/>
          <w:color w:val="auto"/>
          <w:sz w:val="32"/>
          <w:szCs w:val="32"/>
          <w:lang w:val="en-US" w:eastAsia="zh-CN"/>
        </w:rPr>
        <w:t>提交《2026年度省级区域农机社会化服务中心建设项目推荐表》，并提交营业执照、法人身份证复印件以及申报条件中的相关材料。</w:t>
      </w:r>
      <w:r>
        <w:rPr>
          <w:rFonts w:hint="eastAsia" w:ascii="仿宋_GB2312" w:hAnsi="仿宋_GB2312" w:eastAsia="仿宋_GB2312" w:cs="仿宋_GB2312"/>
          <w:color w:val="auto"/>
          <w:sz w:val="32"/>
          <w:szCs w:val="32"/>
          <w:lang w:val="en-US" w:eastAsia="zh-CN"/>
        </w:rPr>
        <w:t>申报主体</w:t>
      </w:r>
      <w:r>
        <w:rPr>
          <w:rFonts w:hint="default" w:ascii="仿宋_GB2312" w:hAnsi="仿宋_GB2312" w:eastAsia="仿宋_GB2312" w:cs="仿宋_GB2312"/>
          <w:color w:val="auto"/>
          <w:sz w:val="32"/>
          <w:szCs w:val="32"/>
          <w:lang w:val="en-US" w:eastAsia="zh-CN"/>
        </w:rPr>
        <w:t>对申请材料的真实性、完整性和有效性负责，并承担法律责任。</w:t>
      </w:r>
      <w:r>
        <w:rPr>
          <w:rFonts w:hint="eastAsia" w:ascii="仿宋_GB2312" w:hAnsi="仿宋_GB2312" w:eastAsia="仿宋_GB2312" w:cs="仿宋_GB2312"/>
          <w:color w:val="auto"/>
          <w:sz w:val="32"/>
          <w:szCs w:val="32"/>
          <w:lang w:val="en-US" w:eastAsia="zh-CN"/>
        </w:rPr>
        <w:t>申请受理截止时间为2026年4月24日，</w:t>
      </w:r>
      <w:r>
        <w:rPr>
          <w:rFonts w:hint="default" w:ascii="仿宋_GB2312" w:hAnsi="仿宋_GB2312" w:eastAsia="仿宋_GB2312" w:cs="仿宋_GB2312"/>
          <w:color w:val="auto"/>
          <w:sz w:val="32"/>
          <w:szCs w:val="32"/>
          <w:lang w:val="en-US" w:eastAsia="zh-CN"/>
        </w:rPr>
        <w:t>逾期视为自动放弃。</w:t>
      </w:r>
    </w:p>
    <w:p w14:paraId="4E4574D5">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（三）</w:t>
      </w:r>
      <w:r>
        <w:rPr>
          <w:rFonts w:hint="default" w:ascii="仿宋_GB2312" w:hAnsi="仿宋_GB2312" w:eastAsia="仿宋_GB2312" w:cs="仿宋_GB2312"/>
          <w:b/>
          <w:bCs/>
          <w:color w:val="auto"/>
          <w:sz w:val="32"/>
          <w:szCs w:val="32"/>
          <w:lang w:val="en-US" w:eastAsia="zh-CN"/>
        </w:rPr>
        <w:t>确定主体。</w:t>
      </w:r>
      <w:r>
        <w:rPr>
          <w:rFonts w:hint="default" w:ascii="仿宋_GB2312" w:hAnsi="仿宋_GB2312" w:eastAsia="仿宋_GB2312" w:cs="仿宋_GB2312"/>
          <w:color w:val="auto"/>
          <w:sz w:val="32"/>
          <w:szCs w:val="32"/>
          <w:lang w:val="en-US" w:eastAsia="zh-CN"/>
        </w:rPr>
        <w:t>县农业农村部门按照本</w:t>
      </w:r>
      <w:r>
        <w:rPr>
          <w:rFonts w:hint="eastAsia" w:ascii="仿宋_GB2312" w:hAnsi="仿宋_GB2312" w:eastAsia="仿宋_GB2312" w:cs="仿宋_GB2312"/>
          <w:color w:val="auto"/>
          <w:sz w:val="32"/>
          <w:szCs w:val="32"/>
          <w:lang w:val="en-US" w:eastAsia="zh-CN"/>
        </w:rPr>
        <w:t>遴选</w:t>
      </w:r>
      <w:r>
        <w:rPr>
          <w:rFonts w:hint="default" w:ascii="仿宋_GB2312" w:hAnsi="仿宋_GB2312" w:eastAsia="仿宋_GB2312" w:cs="仿宋_GB2312"/>
          <w:color w:val="auto"/>
          <w:sz w:val="32"/>
          <w:szCs w:val="32"/>
          <w:lang w:val="en-US" w:eastAsia="zh-CN"/>
        </w:rPr>
        <w:t>方案要求，</w:t>
      </w:r>
      <w:r>
        <w:rPr>
          <w:rFonts w:hint="eastAsia" w:ascii="仿宋_GB2312" w:hAnsi="仿宋_GB2312" w:eastAsia="仿宋_GB2312" w:cs="仿宋_GB2312"/>
          <w:color w:val="auto"/>
          <w:sz w:val="32"/>
          <w:szCs w:val="32"/>
          <w:lang w:val="en-US" w:eastAsia="zh-CN"/>
        </w:rPr>
        <w:t>对各乡镇推荐的实施主体，组织农机农艺技术专家进行公平、公开、公正评审</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并</w:t>
      </w:r>
      <w:r>
        <w:rPr>
          <w:rFonts w:hint="default" w:ascii="仿宋_GB2312" w:hAnsi="仿宋_GB2312" w:eastAsia="仿宋_GB2312" w:cs="仿宋_GB2312"/>
          <w:color w:val="auto"/>
          <w:sz w:val="32"/>
          <w:szCs w:val="32"/>
          <w:lang w:val="en-US" w:eastAsia="zh-CN"/>
        </w:rPr>
        <w:t>对申报主体的申请条件、申请建设内容等情况进行现场核验。</w:t>
      </w:r>
      <w:r>
        <w:rPr>
          <w:rFonts w:hint="eastAsia" w:ascii="仿宋_GB2312" w:hAnsi="仿宋_GB2312" w:eastAsia="仿宋_GB2312" w:cs="仿宋_GB2312"/>
          <w:color w:val="auto"/>
          <w:sz w:val="32"/>
          <w:szCs w:val="32"/>
          <w:lang w:val="en-US" w:eastAsia="zh-CN"/>
        </w:rPr>
        <w:t>重点从全县已经建好的水稻育插秧中心、粮食烘干中心和全程机械化综合农事服务中心中</w:t>
      </w:r>
      <w:r>
        <w:rPr>
          <w:rFonts w:hint="default" w:ascii="仿宋_GB2312" w:hAnsi="仿宋_GB2312" w:eastAsia="仿宋_GB2312" w:cs="仿宋_GB2312"/>
          <w:color w:val="auto"/>
          <w:sz w:val="32"/>
          <w:szCs w:val="32"/>
          <w:lang w:val="en-US" w:eastAsia="zh-CN"/>
        </w:rPr>
        <w:t>择优确定</w:t>
      </w:r>
      <w:r>
        <w:rPr>
          <w:rFonts w:hint="eastAsia" w:ascii="仿宋_GB2312" w:hAnsi="仿宋_GB2312" w:eastAsia="仿宋_GB2312" w:cs="仿宋_GB2312"/>
          <w:color w:val="auto"/>
          <w:sz w:val="32"/>
          <w:szCs w:val="32"/>
          <w:lang w:val="en-US" w:eastAsia="zh-CN"/>
        </w:rPr>
        <w:t>1名农业生产经营组织作为该项目建设实施主体</w:t>
      </w:r>
      <w:r>
        <w:rPr>
          <w:rFonts w:hint="default" w:ascii="仿宋_GB2312" w:hAnsi="仿宋_GB2312" w:eastAsia="仿宋_GB2312" w:cs="仿宋_GB2312"/>
          <w:color w:val="auto"/>
          <w:sz w:val="32"/>
          <w:szCs w:val="32"/>
          <w:lang w:val="en-US" w:eastAsia="zh-CN"/>
        </w:rPr>
        <w:t>。</w:t>
      </w:r>
    </w:p>
    <w:p w14:paraId="725B9416">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（四）</w:t>
      </w:r>
      <w:r>
        <w:rPr>
          <w:rFonts w:hint="default" w:ascii="仿宋_GB2312" w:hAnsi="仿宋_GB2312" w:eastAsia="仿宋_GB2312" w:cs="仿宋_GB2312"/>
          <w:b/>
          <w:bCs/>
          <w:color w:val="auto"/>
          <w:sz w:val="32"/>
          <w:szCs w:val="32"/>
          <w:lang w:val="en-US" w:eastAsia="zh-CN"/>
        </w:rPr>
        <w:t>审核公示。</w:t>
      </w:r>
      <w:r>
        <w:rPr>
          <w:rFonts w:hint="default" w:ascii="仿宋_GB2312" w:hAnsi="仿宋_GB2312" w:eastAsia="仿宋_GB2312" w:cs="仿宋_GB2312"/>
          <w:color w:val="auto"/>
          <w:sz w:val="32"/>
          <w:szCs w:val="32"/>
          <w:lang w:val="en-US" w:eastAsia="zh-CN"/>
        </w:rPr>
        <w:t>县农业农村部门对拟确定的</w:t>
      </w:r>
      <w:r>
        <w:rPr>
          <w:rFonts w:hint="eastAsia" w:ascii="仿宋_GB2312" w:hAnsi="仿宋_GB2312" w:eastAsia="仿宋_GB2312" w:cs="仿宋_GB2312"/>
          <w:color w:val="auto"/>
          <w:sz w:val="32"/>
          <w:szCs w:val="32"/>
          <w:lang w:val="en-US" w:eastAsia="zh-CN"/>
        </w:rPr>
        <w:t>项目</w:t>
      </w:r>
      <w:r>
        <w:rPr>
          <w:rFonts w:hint="default" w:ascii="仿宋_GB2312" w:hAnsi="仿宋_GB2312" w:eastAsia="仿宋_GB2312" w:cs="仿宋_GB2312"/>
          <w:color w:val="auto"/>
          <w:sz w:val="32"/>
          <w:szCs w:val="32"/>
          <w:lang w:val="en-US" w:eastAsia="zh-CN"/>
        </w:rPr>
        <w:t>实施主体，在县政府网站，并同时在实施主体所在乡镇政府、村民委员会信息公开栏内公示5个工作日，接受社会和群众监督。</w:t>
      </w:r>
    </w:p>
    <w:p w14:paraId="58D13B8E">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b/>
          <w:bCs/>
          <w:color w:val="auto"/>
          <w:sz w:val="32"/>
          <w:szCs w:val="32"/>
          <w:lang w:val="en-US" w:eastAsia="zh-CN"/>
        </w:rPr>
        <w:t>（</w:t>
      </w:r>
      <w:r>
        <w:rPr>
          <w:rFonts w:hint="eastAsia" w:ascii="仿宋_GB2312" w:hAnsi="仿宋_GB2312" w:eastAsia="仿宋_GB2312" w:cs="仿宋_GB2312"/>
          <w:b/>
          <w:bCs/>
          <w:color w:val="auto"/>
          <w:sz w:val="32"/>
          <w:szCs w:val="32"/>
          <w:lang w:val="en-US" w:eastAsia="zh-CN"/>
        </w:rPr>
        <w:t>五</w:t>
      </w:r>
      <w:r>
        <w:rPr>
          <w:rFonts w:hint="default" w:ascii="仿宋_GB2312" w:hAnsi="仿宋_GB2312" w:eastAsia="仿宋_GB2312" w:cs="仿宋_GB2312"/>
          <w:b/>
          <w:bCs/>
          <w:color w:val="auto"/>
          <w:sz w:val="32"/>
          <w:szCs w:val="32"/>
          <w:lang w:val="en-US" w:eastAsia="zh-CN"/>
        </w:rPr>
        <w:t>）自主建设。</w:t>
      </w:r>
      <w:r>
        <w:rPr>
          <w:rFonts w:hint="default" w:ascii="仿宋_GB2312" w:hAnsi="仿宋_GB2312" w:eastAsia="仿宋_GB2312" w:cs="仿宋_GB2312"/>
          <w:color w:val="auto"/>
          <w:sz w:val="32"/>
          <w:szCs w:val="32"/>
          <w:lang w:val="en-US" w:eastAsia="zh-CN"/>
        </w:rPr>
        <w:t>被确定的实施主体按照实施方案要求，精心组织谋划，</w:t>
      </w:r>
      <w:r>
        <w:rPr>
          <w:rFonts w:hint="eastAsia" w:ascii="仿宋_GB2312" w:hAnsi="仿宋_GB2312" w:eastAsia="仿宋_GB2312" w:cs="仿宋_GB2312"/>
          <w:color w:val="auto"/>
          <w:sz w:val="32"/>
          <w:szCs w:val="32"/>
          <w:lang w:val="en-US" w:eastAsia="zh-CN"/>
        </w:rPr>
        <w:t>自主开展</w:t>
      </w:r>
      <w:r>
        <w:rPr>
          <w:rFonts w:hint="default" w:ascii="仿宋_GB2312" w:hAnsi="仿宋_GB2312" w:eastAsia="仿宋_GB2312" w:cs="仿宋_GB2312"/>
          <w:color w:val="auto"/>
          <w:sz w:val="32"/>
          <w:szCs w:val="32"/>
          <w:lang w:val="en-US" w:eastAsia="zh-CN"/>
        </w:rPr>
        <w:t>项目</w:t>
      </w:r>
      <w:r>
        <w:rPr>
          <w:rFonts w:hint="eastAsia" w:ascii="仿宋_GB2312" w:hAnsi="仿宋_GB2312" w:eastAsia="仿宋_GB2312" w:cs="仿宋_GB2312"/>
          <w:color w:val="auto"/>
          <w:sz w:val="32"/>
          <w:szCs w:val="32"/>
          <w:lang w:val="en-US" w:eastAsia="zh-CN"/>
        </w:rPr>
        <w:t>建设，</w:t>
      </w:r>
      <w:r>
        <w:rPr>
          <w:rFonts w:hint="default" w:ascii="仿宋_GB2312" w:hAnsi="仿宋_GB2312" w:eastAsia="仿宋_GB2312" w:cs="仿宋_GB2312"/>
          <w:color w:val="auto"/>
          <w:sz w:val="32"/>
          <w:szCs w:val="32"/>
          <w:lang w:val="en-US" w:eastAsia="zh-CN"/>
        </w:rPr>
        <w:t>同时承担</w:t>
      </w:r>
      <w:r>
        <w:rPr>
          <w:rFonts w:hint="eastAsia" w:ascii="仿宋_GB2312" w:hAnsi="仿宋_GB2312" w:eastAsia="仿宋_GB2312" w:cs="仿宋_GB2312"/>
          <w:color w:val="auto"/>
          <w:sz w:val="32"/>
          <w:szCs w:val="32"/>
          <w:lang w:val="en-US" w:eastAsia="zh-CN"/>
        </w:rPr>
        <w:t>项目</w:t>
      </w:r>
      <w:r>
        <w:rPr>
          <w:rFonts w:hint="default" w:ascii="仿宋_GB2312" w:hAnsi="仿宋_GB2312" w:eastAsia="仿宋_GB2312" w:cs="仿宋_GB2312"/>
          <w:color w:val="auto"/>
          <w:sz w:val="32"/>
          <w:szCs w:val="32"/>
          <w:lang w:val="en-US" w:eastAsia="zh-CN"/>
        </w:rPr>
        <w:t>安全建设运营的主体责任。实施主体要加强档案管理，对照项目</w:t>
      </w:r>
      <w:r>
        <w:rPr>
          <w:rFonts w:hint="eastAsia" w:ascii="仿宋_GB2312" w:hAnsi="仿宋_GB2312" w:eastAsia="仿宋_GB2312" w:cs="仿宋_GB2312"/>
          <w:color w:val="auto"/>
          <w:sz w:val="32"/>
          <w:szCs w:val="32"/>
          <w:lang w:val="en-US" w:eastAsia="zh-CN"/>
        </w:rPr>
        <w:t>实施</w:t>
      </w:r>
      <w:r>
        <w:rPr>
          <w:rFonts w:hint="default" w:ascii="仿宋_GB2312" w:hAnsi="仿宋_GB2312" w:eastAsia="仿宋_GB2312" w:cs="仿宋_GB2312"/>
          <w:color w:val="auto"/>
          <w:sz w:val="32"/>
          <w:szCs w:val="32"/>
          <w:lang w:val="en-US" w:eastAsia="zh-CN"/>
        </w:rPr>
        <w:t>要求，留存购买农机装备</w:t>
      </w:r>
      <w:r>
        <w:rPr>
          <w:rFonts w:hint="eastAsia" w:ascii="仿宋_GB2312" w:hAnsi="仿宋_GB2312" w:eastAsia="仿宋_GB2312" w:cs="仿宋_GB2312"/>
          <w:color w:val="auto"/>
          <w:sz w:val="32"/>
          <w:szCs w:val="32"/>
          <w:lang w:val="en-US" w:eastAsia="zh-CN"/>
        </w:rPr>
        <w:t>、基础设施建设</w:t>
      </w:r>
      <w:r>
        <w:rPr>
          <w:rFonts w:hint="default" w:ascii="仿宋_GB2312" w:hAnsi="仿宋_GB2312" w:eastAsia="仿宋_GB2312" w:cs="仿宋_GB2312"/>
          <w:color w:val="auto"/>
          <w:sz w:val="32"/>
          <w:szCs w:val="32"/>
          <w:lang w:val="en-US" w:eastAsia="zh-CN"/>
        </w:rPr>
        <w:t>的发票清单</w:t>
      </w:r>
      <w:r>
        <w:rPr>
          <w:rFonts w:hint="eastAsia" w:ascii="仿宋_GB2312" w:hAnsi="仿宋_GB2312" w:eastAsia="仿宋_GB2312" w:cs="仿宋_GB2312"/>
          <w:color w:val="auto"/>
          <w:sz w:val="32"/>
          <w:szCs w:val="32"/>
          <w:lang w:val="en-US" w:eastAsia="zh-CN"/>
        </w:rPr>
        <w:t>和建设</w:t>
      </w:r>
      <w:r>
        <w:rPr>
          <w:rFonts w:hint="default" w:ascii="仿宋_GB2312" w:hAnsi="仿宋_GB2312" w:eastAsia="仿宋_GB2312" w:cs="仿宋_GB2312"/>
          <w:color w:val="auto"/>
          <w:sz w:val="32"/>
          <w:szCs w:val="32"/>
          <w:lang w:val="en-US" w:eastAsia="zh-CN"/>
        </w:rPr>
        <w:t>合同等</w:t>
      </w:r>
      <w:r>
        <w:rPr>
          <w:rFonts w:hint="eastAsia" w:ascii="仿宋_GB2312" w:hAnsi="仿宋_GB2312" w:eastAsia="仿宋_GB2312" w:cs="仿宋_GB2312"/>
          <w:color w:val="auto"/>
          <w:sz w:val="32"/>
          <w:szCs w:val="32"/>
          <w:lang w:val="en-US" w:eastAsia="zh-CN"/>
        </w:rPr>
        <w:t>相</w:t>
      </w:r>
      <w:r>
        <w:rPr>
          <w:rFonts w:hint="default" w:ascii="仿宋_GB2312" w:hAnsi="仿宋_GB2312" w:eastAsia="仿宋_GB2312" w:cs="仿宋_GB2312"/>
          <w:color w:val="auto"/>
          <w:sz w:val="32"/>
          <w:szCs w:val="32"/>
          <w:lang w:val="en-US" w:eastAsia="zh-CN"/>
        </w:rPr>
        <w:t>关资料，</w:t>
      </w:r>
      <w:r>
        <w:rPr>
          <w:rFonts w:hint="eastAsia" w:ascii="仿宋_GB2312" w:hAnsi="仿宋_GB2312" w:eastAsia="仿宋_GB2312" w:cs="仿宋_GB2312"/>
          <w:color w:val="auto"/>
          <w:sz w:val="32"/>
          <w:szCs w:val="32"/>
          <w:lang w:val="en-US" w:eastAsia="zh-CN"/>
        </w:rPr>
        <w:t>以及建前、建中和建后等项目建设过程中的影像资料，</w:t>
      </w:r>
      <w:r>
        <w:rPr>
          <w:rFonts w:hint="default" w:ascii="仿宋_GB2312" w:hAnsi="仿宋_GB2312" w:eastAsia="仿宋_GB2312" w:cs="仿宋_GB2312"/>
          <w:color w:val="auto"/>
          <w:sz w:val="32"/>
          <w:szCs w:val="32"/>
          <w:lang w:val="en-US" w:eastAsia="zh-CN"/>
        </w:rPr>
        <w:t>以备后续审核验收。</w:t>
      </w:r>
    </w:p>
    <w:p w14:paraId="66B64682">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color w:val="auto"/>
          <w:sz w:val="32"/>
          <w:szCs w:val="32"/>
          <w:lang w:val="en-US" w:eastAsia="zh-CN"/>
        </w:rPr>
      </w:pPr>
    </w:p>
    <w:p w14:paraId="0111CDC4">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p>
    <w:p w14:paraId="5FD7839C">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p>
    <w:p w14:paraId="4EC053D3">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附件：东至县2026年度省级区域农机社会化服务中心推荐表。</w:t>
      </w:r>
    </w:p>
    <w:p w14:paraId="5F49A2F7">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p>
    <w:p w14:paraId="5A29E395">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p>
    <w:p w14:paraId="58FF90B0">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p>
    <w:p w14:paraId="454571D2">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p>
    <w:p w14:paraId="34385639">
      <w:pPr>
        <w:keepNext w:val="0"/>
        <w:keepLines w:val="0"/>
        <w:pageBreakBefore w:val="0"/>
        <w:widowControl/>
        <w:kinsoku w:val="0"/>
        <w:wordWrap/>
        <w:overflowPunct/>
        <w:topLinePunct w:val="0"/>
        <w:autoSpaceDE w:val="0"/>
        <w:autoSpaceDN w:val="0"/>
        <w:bidi w:val="0"/>
        <w:adjustRightInd w:val="0"/>
        <w:snapToGrid w:val="0"/>
        <w:spacing w:line="600" w:lineRule="exact"/>
        <w:ind w:firstLine="4800" w:firstLineChars="1500"/>
        <w:textAlignment w:val="baseline"/>
        <w:rPr>
          <w:rFonts w:hint="eastAsia" w:ascii="仿宋_GB2312" w:hAnsi="仿宋_GB2312" w:eastAsia="仿宋_GB2312" w:cs="仿宋_GB2312"/>
          <w:color w:val="auto"/>
          <w:sz w:val="32"/>
          <w:szCs w:val="32"/>
          <w:lang w:val="en-US" w:eastAsia="zh-CN"/>
        </w:rPr>
        <w:sectPr>
          <w:headerReference r:id="rId5" w:type="default"/>
          <w:headerReference r:id="rId6" w:type="even"/>
          <w:footerReference r:id="rId7" w:type="even"/>
          <w:pgSz w:w="11906" w:h="16838"/>
          <w:pgMar w:top="1440" w:right="1800" w:bottom="1440" w:left="1800" w:header="851" w:footer="992" w:gutter="0"/>
          <w:cols w:space="720" w:num="1"/>
          <w:docGrid w:type="lines" w:linePitch="312" w:charSpace="0"/>
        </w:sectPr>
      </w:pPr>
      <w:r>
        <w:rPr>
          <w:rFonts w:hint="eastAsia" w:ascii="仿宋_GB2312" w:hAnsi="仿宋_GB2312" w:eastAsia="仿宋_GB2312" w:cs="仿宋_GB2312"/>
          <w:color w:val="auto"/>
          <w:sz w:val="32"/>
          <w:szCs w:val="32"/>
          <w:lang w:val="en-US" w:eastAsia="zh-CN"/>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6835140</wp:posOffset>
                </wp:positionV>
                <wp:extent cx="800100" cy="297815"/>
                <wp:effectExtent l="4445" t="4445" r="18415" b="17780"/>
                <wp:wrapNone/>
                <wp:docPr id="4" name="文本框 4"/>
                <wp:cNvGraphicFramePr/>
                <a:graphic xmlns:a="http://schemas.openxmlformats.org/drawingml/2006/main">
                  <a:graphicData uri="http://schemas.microsoft.com/office/word/2010/wordprocessingShape">
                    <wps:wsp>
                      <wps:cNvSpPr txBox="1"/>
                      <wps:spPr>
                        <a:xfrm>
                          <a:off x="0" y="0"/>
                          <a:ext cx="800100" cy="29781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2487D898">
                            <w:pPr>
                              <w:rPr>
                                <w:rFonts w:hint="eastAsia"/>
                                <w:sz w:val="24"/>
                              </w:rPr>
                            </w:pPr>
                            <w:r>
                              <w:rPr>
                                <w:rFonts w:hint="eastAsia"/>
                                <w:sz w:val="24"/>
                              </w:rPr>
                              <w:t>— 4 —</w:t>
                            </w:r>
                          </w:p>
                        </w:txbxContent>
                      </wps:txbx>
                      <wps:bodyPr upright="1"/>
                    </wps:wsp>
                  </a:graphicData>
                </a:graphic>
              </wp:anchor>
            </w:drawing>
          </mc:Choice>
          <mc:Fallback>
            <w:pict>
              <v:shape id="_x0000_s1026" o:spid="_x0000_s1026" o:spt="202" type="#_x0000_t202" style="position:absolute;left:0pt;margin-left:0pt;margin-top:538.2pt;height:23.45pt;width:63pt;z-index:251660288;mso-width-relative:page;mso-height-relative:page;" fillcolor="#FFFFFF" filled="t" stroked="t" coordsize="21600,21600" o:gfxdata="UEsDBAoAAAAAAIdO4kAAAAAAAAAAAAAAAAAEAAAAZHJzL1BLAwQUAAAACACHTuJAiX5ZWNcAAAAK&#10;AQAADwAAAGRycy9kb3ducmV2LnhtbE2PQU/DMAyF70j8h8hIXBBLmqGCStMJTSDOG1y4ZY3XVjRO&#10;22Trxq/HO8HNfs96/l65OvleHHGKXSAD2UKBQKqD66gx8Pnxdv8EIiZLzvaB0MAZI6yq66vSFi7M&#10;tMHjNjWCQygW1kCb0lBIGesWvY2LMCCxtw+Tt4nXqZFusjOH+15qpXLpbUf8obUDrlusv7cHbyDM&#10;r2cfcFT67uvHv69fxs1ej8bc3mTqGUTCU/o7hgs+o0PFTLtwIBdFb4CLJFbVY/4A4uLrnKUdD5le&#10;LkFWpfxfofoFUEsDBBQAAAAIAIdO4kBy6kh6BQIAADUEAAAOAAAAZHJzL2Uyb0RvYy54bWytU82O&#10;0zAQviPxDpbvNGm1hW7UdKWllAsCpIUHcG0nseQ/edwmfQF4A05cuPNcfY4dO90uu1x62BycsWf8&#10;zXzfjJc3g9FkLwMoZ2s6nZSUSMudULat6fdvmzcLSiAyK5h2Vtb0IIHerF6/Wva+kjPXOS1kIAhi&#10;oep9TbsYfVUUwDtpGEyclxadjQuGRdyGthCB9YhudDEry7dF74LwwXEJgKfr0UlPiOESQNc0isu1&#10;4zsjbRxRg9QsIiXolAe6ytU2jeTxS9OAjETXFJnGvGIStLdpLVZLVrWB+U7xUwnskhKecTJMWUx6&#10;hlqzyMguqP+gjOLBgWvihDtTjESyIshiWj7T5q5jXmYuKDX4s+jwcrD88/5rIErU9IoSyww2/Pjr&#10;5/H33+OfH+QqydN7qDDqzmNcHG7dgEPzcA54mFgPTTDpj3wI+lHcw1lcOUTC8XBRIkH0cHTNrt8t&#10;pvOEUjxe9gHiR+kMSUZNA/YuS8r2nyCOoQ8hKRc4rcRGaZ03od2+14HsGfZ5k78T+pMwbUlf0+v5&#10;bI51MBzeBocGTeNRALBtzvfkBlwGnApbM+jGAjJCys8qo6IM2eokEx+sIPHgUWSLb4umYowUlGiJ&#10;TzFZOTIypS+JRO20RQlTh8ZOJCsO2wFhkrl14oBd2/mg2g4lzX3L4ThNWfvT5Kdx/XefQR9f++o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iX5ZWNcAAAAKAQAADwAAAAAAAAABACAAAAAiAAAAZHJz&#10;L2Rvd25yZXYueG1sUEsBAhQAFAAAAAgAh07iQHLqSHoFAgAANQQAAA4AAAAAAAAAAQAgAAAAJgEA&#10;AGRycy9lMm9Eb2MueG1sUEsFBgAAAAAGAAYAWQEAAJ0FAAAAAA==&#10;">
                <v:fill on="t" focussize="0,0"/>
                <v:stroke color="#FFFFFF" joinstyle="miter"/>
                <v:imagedata o:title=""/>
                <o:lock v:ext="edit" aspectratio="f"/>
                <v:textbox>
                  <w:txbxContent>
                    <w:p w14:paraId="2487D898">
                      <w:pPr>
                        <w:rPr>
                          <w:rFonts w:hint="eastAsia"/>
                          <w:sz w:val="24"/>
                        </w:rPr>
                      </w:pPr>
                      <w:r>
                        <w:rPr>
                          <w:rFonts w:hint="eastAsia"/>
                          <w:sz w:val="24"/>
                        </w:rPr>
                        <w:t>— 4 —</w:t>
                      </w:r>
                    </w:p>
                  </w:txbxContent>
                </v:textbox>
              </v:shape>
            </w:pict>
          </mc:Fallback>
        </mc:AlternateContent>
      </w:r>
      <w:r>
        <w:rPr>
          <w:rFonts w:hint="eastAsia" w:ascii="仿宋_GB2312" w:hAnsi="仿宋_GB2312" w:eastAsia="仿宋_GB2312" w:cs="仿宋_GB2312"/>
          <w:color w:val="auto"/>
          <w:sz w:val="32"/>
          <w:szCs w:val="32"/>
          <w:lang w:val="en-US" w:eastAsia="zh-CN"/>
        </w:rPr>
        <mc:AlternateContent>
          <mc:Choice Requires="wps">
            <w:drawing>
              <wp:anchor distT="0" distB="0" distL="114300" distR="114300" simplePos="0" relativeHeight="251659264" behindDoc="0" locked="0" layoutInCell="1" allowOverlap="1">
                <wp:simplePos x="0" y="0"/>
                <wp:positionH relativeFrom="column">
                  <wp:posOffset>1276350</wp:posOffset>
                </wp:positionH>
                <wp:positionV relativeFrom="paragraph">
                  <wp:posOffset>9587865</wp:posOffset>
                </wp:positionV>
                <wp:extent cx="800100" cy="297815"/>
                <wp:effectExtent l="4445" t="4445" r="18415" b="17780"/>
                <wp:wrapNone/>
                <wp:docPr id="1" name="文本框 1"/>
                <wp:cNvGraphicFramePr/>
                <a:graphic xmlns:a="http://schemas.openxmlformats.org/drawingml/2006/main">
                  <a:graphicData uri="http://schemas.microsoft.com/office/word/2010/wordprocessingShape">
                    <wps:wsp>
                      <wps:cNvSpPr txBox="1"/>
                      <wps:spPr>
                        <a:xfrm>
                          <a:off x="0" y="0"/>
                          <a:ext cx="800100" cy="29781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69AB66BB">
                            <w:pPr>
                              <w:rPr>
                                <w:sz w:val="24"/>
                              </w:rPr>
                            </w:pPr>
                            <w:r>
                              <w:rPr>
                                <w:rFonts w:hint="eastAsia"/>
                                <w:sz w:val="24"/>
                              </w:rPr>
                              <w:t>—</w:t>
                            </w:r>
                            <w:r>
                              <w:rPr>
                                <w:sz w:val="24"/>
                              </w:rPr>
                              <w:t xml:space="preserve"> 2 </w:t>
                            </w:r>
                            <w:r>
                              <w:rPr>
                                <w:rFonts w:hint="eastAsia"/>
                                <w:sz w:val="24"/>
                              </w:rPr>
                              <w:t>—</w:t>
                            </w:r>
                          </w:p>
                        </w:txbxContent>
                      </wps:txbx>
                      <wps:bodyPr upright="1"/>
                    </wps:wsp>
                  </a:graphicData>
                </a:graphic>
              </wp:anchor>
            </w:drawing>
          </mc:Choice>
          <mc:Fallback>
            <w:pict>
              <v:shape id="_x0000_s1026" o:spid="_x0000_s1026" o:spt="202" type="#_x0000_t202" style="position:absolute;left:0pt;margin-left:100.5pt;margin-top:754.95pt;height:23.45pt;width:63pt;z-index:251659264;mso-width-relative:page;mso-height-relative:page;" fillcolor="#FFFFFF" filled="t" stroked="t" coordsize="21600,21600" o:gfxdata="UEsDBAoAAAAAAIdO4kAAAAAAAAAAAAAAAAAEAAAAZHJzL1BLAwQUAAAACACHTuJA2KX5m9oAAAAN&#10;AQAADwAAAGRycy9kb3ducmV2LnhtbE2PwW7CMBBE75X6D9ZW6qUCO6mgEOKgCrXqGdpLbyZekqjx&#10;OokNgX59l1M57sxo9k2+PrtWnHAIjScNyVSBQCq9bajS8PX5PlmACNGQNa0n1HDBAOvi/i43mfUj&#10;bfG0i5XgEgqZ0VDH2GVShrJGZ8LUd0jsHfzgTORzqKQdzMjlrpWpUnPpTEP8oTYdbmosf3ZHp8GP&#10;bxfnsVfp0/ev+9i89ttD2mv9+JCoFYiI5/gfhis+o0PBTHt/JBtEqyFVCW+JbMzUcgmCI8/pC0v7&#10;qzSbL0AWubxdUfwBUEsDBBQAAAAIAIdO4kC8TyHzAwIAADUEAAAOAAAAZHJzL2Uyb0RvYy54bWyt&#10;U82O0zAQviPxDpbvNGmlQjdquhKUckGAtPAAru0klvwnj9ukLwBvwIkLd56rz8HYCV1299LD5uCM&#10;PZ+/mflmvL4djCZHGUA5W9P5rKREWu6Esm1Nv33dvVpRApFZwbSzsqYnCfR28/LFuveVXLjOaSED&#10;QRILVe9r2sXoq6IA3knDYOa8tOhsXDAs4ja0hQisR3aji0VZvi56F4QPjksAPN2OTjoxhmsIXdMo&#10;LreOH4y0cWQNUrOIJUGnPNBNzrZpJI+fmwZkJLqmWGnMKwZBe5/WYrNmVRuY7xSfUmDXpPCoJsOU&#10;xaAXqi2LjByCekJlFA8OXBNn3JliLCQrglXMy0fa3HXMy1wLSg3+Ijo8Hy3/dPwSiBI4CZRYZrDh&#10;558/zr/+nH9/J/MkT++hQtSdR1wc3rohQadzwMNU9dAEk/5YD0E/inu6iCuHSDgerkosED0cXYub&#10;N6v5MrEU95d9gPhBOkOSUdOAvcuSsuNHiCP0HyTFAqeV2Cmt8ya0+3c6kCPDPu/yN7E/gGlL+pre&#10;LBdLzIPh8DY4NGgajwKAbXO8BzfgOuKU2JZBNyaQGVJ8VhkVZchWJ5l4bwWJJ48iW3xbNCVjpKBE&#10;S3yKycrIyJS+BonaaYsSpg6NnUhWHPYD0iRz78QJu3bwQbUdSpr7luE4TVn7afLTuP6/z6T3r33z&#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il+ZvaAAAADQEAAA8AAAAAAAAAAQAgAAAAIgAAAGRy&#10;cy9kb3ducmV2LnhtbFBLAQIUABQAAAAIAIdO4kC8TyHzAwIAADUEAAAOAAAAAAAAAAEAIAAAACkB&#10;AABkcnMvZTJvRG9jLnhtbFBLBQYAAAAABgAGAFkBAACeBQAAAAA=&#10;">
                <v:fill on="t" focussize="0,0"/>
                <v:stroke color="#FFFFFF" joinstyle="miter"/>
                <v:imagedata o:title=""/>
                <o:lock v:ext="edit" aspectratio="f"/>
                <v:textbox>
                  <w:txbxContent>
                    <w:p w14:paraId="69AB66BB">
                      <w:pPr>
                        <w:rPr>
                          <w:sz w:val="24"/>
                        </w:rPr>
                      </w:pPr>
                      <w:r>
                        <w:rPr>
                          <w:rFonts w:hint="eastAsia"/>
                          <w:sz w:val="24"/>
                        </w:rPr>
                        <w:t>—</w:t>
                      </w:r>
                      <w:r>
                        <w:rPr>
                          <w:sz w:val="24"/>
                        </w:rPr>
                        <w:t xml:space="preserve"> 2 </w:t>
                      </w:r>
                      <w:r>
                        <w:rPr>
                          <w:rFonts w:hint="eastAsia"/>
                          <w:sz w:val="24"/>
                        </w:rPr>
                        <w:t>—</w:t>
                      </w:r>
                    </w:p>
                  </w:txbxContent>
                </v:textbox>
              </v:shape>
            </w:pict>
          </mc:Fallback>
        </mc:AlternateContent>
      </w:r>
    </w:p>
    <w:p w14:paraId="770E753C">
      <w:pPr>
        <w:spacing w:line="600" w:lineRule="exact"/>
        <w:rPr>
          <w:rFonts w:hint="eastAsia" w:ascii="宋体" w:hAnsi="宋体" w:eastAsia="宋体" w:cs="宋体"/>
          <w:b/>
          <w:bCs/>
          <w:sz w:val="36"/>
          <w:szCs w:val="36"/>
        </w:rPr>
      </w:pPr>
      <w:r>
        <w:rPr>
          <w:rFonts w:hint="eastAsia" w:ascii="宋体" w:hAnsi="宋体" w:eastAsia="宋体" w:cs="宋体"/>
          <w:b/>
          <w:bCs/>
          <w:sz w:val="36"/>
          <w:szCs w:val="36"/>
        </w:rPr>
        <w:t>附</w:t>
      </w:r>
      <w:r>
        <w:rPr>
          <w:rFonts w:hint="eastAsia" w:ascii="宋体" w:hAnsi="宋体" w:eastAsia="宋体" w:cs="宋体"/>
          <w:b/>
          <w:bCs/>
          <w:sz w:val="36"/>
          <w:szCs w:val="36"/>
          <w:lang w:val="en-US" w:eastAsia="zh-CN"/>
        </w:rPr>
        <w:t>表</w:t>
      </w:r>
      <w:r>
        <w:rPr>
          <w:rFonts w:hint="eastAsia" w:ascii="宋体" w:hAnsi="宋体" w:eastAsia="宋体" w:cs="宋体"/>
          <w:b/>
          <w:bCs/>
          <w:sz w:val="36"/>
          <w:szCs w:val="36"/>
        </w:rPr>
        <w:t>：</w:t>
      </w:r>
      <w:r>
        <w:rPr>
          <w:rFonts w:hint="eastAsia" w:ascii="宋体" w:hAnsi="宋体" w:eastAsia="宋体" w:cs="宋体"/>
          <w:b/>
          <w:bCs/>
          <w:kern w:val="0"/>
          <w:sz w:val="36"/>
          <w:szCs w:val="36"/>
        </w:rPr>
        <mc:AlternateContent>
          <mc:Choice Requires="wps">
            <w:drawing>
              <wp:anchor distT="0" distB="0" distL="114300" distR="114300" simplePos="0" relativeHeight="251661312" behindDoc="0" locked="0" layoutInCell="1" allowOverlap="1">
                <wp:simplePos x="0" y="0"/>
                <wp:positionH relativeFrom="column">
                  <wp:posOffset>5391150</wp:posOffset>
                </wp:positionH>
                <wp:positionV relativeFrom="paragraph">
                  <wp:posOffset>9587865</wp:posOffset>
                </wp:positionV>
                <wp:extent cx="800100" cy="297815"/>
                <wp:effectExtent l="4445" t="4445" r="18415" b="17780"/>
                <wp:wrapNone/>
                <wp:docPr id="3" name="文本框 3"/>
                <wp:cNvGraphicFramePr/>
                <a:graphic xmlns:a="http://schemas.openxmlformats.org/drawingml/2006/main">
                  <a:graphicData uri="http://schemas.microsoft.com/office/word/2010/wordprocessingShape">
                    <wps:wsp>
                      <wps:cNvSpPr txBox="1"/>
                      <wps:spPr>
                        <a:xfrm>
                          <a:off x="0" y="0"/>
                          <a:ext cx="800100" cy="29781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6A797EF4">
                            <w:pPr>
                              <w:rPr>
                                <w:sz w:val="24"/>
                              </w:rPr>
                            </w:pPr>
                            <w:r>
                              <w:rPr>
                                <w:rFonts w:hint="eastAsia"/>
                                <w:sz w:val="24"/>
                              </w:rPr>
                              <w:t>—</w:t>
                            </w:r>
                            <w:r>
                              <w:rPr>
                                <w:sz w:val="24"/>
                              </w:rPr>
                              <w:t xml:space="preserve"> 3 </w:t>
                            </w:r>
                            <w:r>
                              <w:rPr>
                                <w:rFonts w:hint="eastAsia"/>
                                <w:sz w:val="24"/>
                              </w:rPr>
                              <w:t>—</w:t>
                            </w:r>
                          </w:p>
                        </w:txbxContent>
                      </wps:txbx>
                      <wps:bodyPr upright="1"/>
                    </wps:wsp>
                  </a:graphicData>
                </a:graphic>
              </wp:anchor>
            </w:drawing>
          </mc:Choice>
          <mc:Fallback>
            <w:pict>
              <v:shape id="_x0000_s1026" o:spid="_x0000_s1026" o:spt="202" type="#_x0000_t202" style="position:absolute;left:0pt;margin-left:424.5pt;margin-top:754.95pt;height:23.45pt;width:63pt;z-index:251661312;mso-width-relative:page;mso-height-relative:page;" fillcolor="#FFFFFF" filled="t" stroked="t" coordsize="21600,21600" o:gfxdata="UEsDBAoAAAAAAIdO4kAAAAAAAAAAAAAAAAAEAAAAZHJzL1BLAwQUAAAACACHTuJAv3NvedoAAAAN&#10;AQAADwAAAGRycy9kb3ducmV2LnhtbE2PwU7DMBBE70j8g7VIXFBrNyIlSeNUqAJxbuHCzU22SUS8&#10;TmK3afl6tid63JnR7Jt8fbadOOHoW0caFnMFAql0VUu1hq/P91kCwgdDlekcoYYLelgX93e5ySo3&#10;0RZPu1ALLiGfGQ1NCH0mpS8btMbPXY/E3sGN1gQ+x1pWo5m43HYyUmoprWmJPzSmx02D5c/uaDW4&#10;6e1iHQ4qevr+tR+b12F7iAatHx8WagUi4Dn8h+GKz+hQMNPeHanyotOQPKe8JbARqzQFwZH0JWZp&#10;f5XiZQKyyOXtiuIPUEsDBBQAAAAIAIdO4kCvWmEVBQIAADUEAAAOAAAAZHJzL2Uyb0RvYy54bWyt&#10;U82O0zAQviPxDpbvNGlXhW7UdKWllAsCpIUHcG0nseQ/edwmfQF4A05cuPNcfY4dO90uu1x62Byc&#10;sWf8zXzfjJc3g9FkLwMoZ2s6nZSUSMudULat6fdvmzcLSiAyK5h2Vtb0IIHerF6/Wva+kjPXOS1k&#10;IAhioep9TbsYfVUUwDtpGEyclxadjQuGRdyGthCB9YhudDEry7dF74LwwXEJgKfr0UlPiOESQNc0&#10;isu14zsjbRxRg9QsIiXolAe6ytU2jeTxS9OAjETXFJnGvGIStLdpLVZLVrWB+U7xUwnskhKecTJM&#10;WUx6hlqzyMguqP+gjOLBgWvihDtTjESyIshiWj7T5q5jXmYuKDX4s+jwcrD88/5rIErU9IoSyww2&#10;/Pjr5/H33+OfH+QqydN7qDDqzmNcHG7dgEPzcA54mFgPTTDpj3wI+lHcw1lcOUTC8XBRIkH0cHTN&#10;rt8tpvOEUjxe9gHiR+kMSUZNA/YuS8r2nyCOoQ8hKRc4rcRGaZ03od2+14HsGfZ5k78T+pMwbUlf&#10;0+v5bI51MBzeBocGTeNRALBtzvfkBlwGnApbM+jGAjJCys8qo6IM2eokEx+sIPHgUWSLb4umYowU&#10;lGiJTzFZOTIypS+JRO20RQlTh8ZOJCsO2wFhkrl14oBd2/mg2g4lzX3L4ThNWfvT5Kdx/XefQR9f&#10;++o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3NvedoAAAANAQAADwAAAAAAAAABACAAAAAiAAAA&#10;ZHJzL2Rvd25yZXYueG1sUEsBAhQAFAAAAAgAh07iQK9aYRUFAgAANQQAAA4AAAAAAAAAAQAgAAAA&#10;KQEAAGRycy9lMm9Eb2MueG1sUEsFBgAAAAAGAAYAWQEAAKAFAAAAAA==&#10;">
                <v:fill on="t" focussize="0,0"/>
                <v:stroke color="#FFFFFF" joinstyle="miter"/>
                <v:imagedata o:title=""/>
                <o:lock v:ext="edit" aspectratio="f"/>
                <v:textbox>
                  <w:txbxContent>
                    <w:p w14:paraId="6A797EF4">
                      <w:pPr>
                        <w:rPr>
                          <w:sz w:val="24"/>
                        </w:rPr>
                      </w:pPr>
                      <w:r>
                        <w:rPr>
                          <w:rFonts w:hint="eastAsia"/>
                          <w:sz w:val="24"/>
                        </w:rPr>
                        <w:t>—</w:t>
                      </w:r>
                      <w:r>
                        <w:rPr>
                          <w:sz w:val="24"/>
                        </w:rPr>
                        <w:t xml:space="preserve"> 3 </w:t>
                      </w:r>
                      <w:r>
                        <w:rPr>
                          <w:rFonts w:hint="eastAsia"/>
                          <w:sz w:val="24"/>
                        </w:rPr>
                        <w:t>—</w:t>
                      </w:r>
                    </w:p>
                  </w:txbxContent>
                </v:textbox>
              </v:shape>
            </w:pict>
          </mc:Fallback>
        </mc:AlternateContent>
      </w:r>
    </w:p>
    <w:p w14:paraId="2A62C7E8">
      <w:pPr>
        <w:spacing w:line="600" w:lineRule="exact"/>
        <w:ind w:firstLine="2168" w:firstLineChars="600"/>
        <w:jc w:val="both"/>
        <w:rPr>
          <w:rFonts w:hint="eastAsia" w:ascii="宋体" w:hAnsi="宋体" w:eastAsia="宋体" w:cs="宋体"/>
          <w:b/>
          <w:bCs/>
          <w:sz w:val="36"/>
          <w:szCs w:val="36"/>
        </w:rPr>
      </w:pPr>
      <w:r>
        <w:rPr>
          <w:rFonts w:hint="eastAsia" w:ascii="宋体" w:hAnsi="宋体" w:eastAsia="宋体" w:cs="宋体"/>
          <w:b/>
          <w:bCs/>
          <w:sz w:val="36"/>
          <w:szCs w:val="36"/>
          <w:lang w:val="en-US" w:eastAsia="zh-CN"/>
        </w:rPr>
        <w:t>东至县</w:t>
      </w: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6</w:t>
      </w:r>
      <w:r>
        <w:rPr>
          <w:rFonts w:hint="eastAsia" w:ascii="宋体" w:hAnsi="宋体" w:eastAsia="宋体" w:cs="宋体"/>
          <w:b/>
          <w:bCs/>
          <w:sz w:val="36"/>
          <w:szCs w:val="36"/>
        </w:rPr>
        <w:t>年度省级区域农机社会化服务中心</w:t>
      </w:r>
      <w:r>
        <w:rPr>
          <w:rFonts w:hint="eastAsia" w:ascii="宋体" w:hAnsi="宋体" w:eastAsia="宋体" w:cs="宋体"/>
          <w:b/>
          <w:bCs/>
          <w:sz w:val="36"/>
          <w:szCs w:val="36"/>
          <w:lang w:val="en-US" w:eastAsia="zh-CN"/>
        </w:rPr>
        <w:t>建设项目</w:t>
      </w:r>
      <w:r>
        <w:rPr>
          <w:rFonts w:hint="eastAsia" w:ascii="宋体" w:hAnsi="宋体" w:eastAsia="宋体" w:cs="宋体"/>
          <w:b/>
          <w:bCs/>
          <w:sz w:val="36"/>
          <w:szCs w:val="36"/>
        </w:rPr>
        <w:t>推荐表</w:t>
      </w:r>
    </w:p>
    <w:p w14:paraId="7942ECE9">
      <w:pPr>
        <w:spacing w:line="600" w:lineRule="exact"/>
        <w:jc w:val="center"/>
        <w:rPr>
          <w:rFonts w:eastAsia="方正小标宋简体"/>
          <w:sz w:val="44"/>
          <w:szCs w:val="44"/>
        </w:rPr>
      </w:pPr>
    </w:p>
    <w:tbl>
      <w:tblPr>
        <w:tblStyle w:val="7"/>
        <w:tblW w:w="146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53"/>
        <w:gridCol w:w="1506"/>
        <w:gridCol w:w="897"/>
        <w:gridCol w:w="455"/>
        <w:gridCol w:w="637"/>
        <w:gridCol w:w="1092"/>
        <w:gridCol w:w="1072"/>
        <w:gridCol w:w="1128"/>
        <w:gridCol w:w="747"/>
        <w:gridCol w:w="249"/>
        <w:gridCol w:w="1176"/>
        <w:gridCol w:w="1664"/>
        <w:gridCol w:w="1236"/>
        <w:gridCol w:w="1008"/>
      </w:tblGrid>
      <w:tr w14:paraId="5B51E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818" w:type="dxa"/>
            <w:gridSpan w:val="2"/>
            <w:noWrap w:val="0"/>
            <w:vAlign w:val="center"/>
          </w:tcPr>
          <w:p w14:paraId="34D176F5">
            <w:pPr>
              <w:spacing w:line="320" w:lineRule="exact"/>
              <w:jc w:val="center"/>
              <w:rPr>
                <w:rFonts w:hint="default" w:ascii="黑体" w:hAnsi="黑体" w:eastAsia="黑体"/>
                <w:szCs w:val="21"/>
                <w:lang w:val="en-US" w:eastAsia="zh-CN"/>
              </w:rPr>
            </w:pPr>
            <w:r>
              <w:rPr>
                <w:rFonts w:hint="eastAsia" w:ascii="黑体" w:hAnsi="黑体" w:eastAsia="黑体"/>
                <w:szCs w:val="21"/>
                <w:lang w:val="en-US" w:eastAsia="zh-CN"/>
              </w:rPr>
              <w:t>所在区域</w:t>
            </w:r>
          </w:p>
        </w:tc>
        <w:tc>
          <w:tcPr>
            <w:tcW w:w="12867" w:type="dxa"/>
            <w:gridSpan w:val="13"/>
            <w:noWrap w:val="0"/>
            <w:vAlign w:val="center"/>
          </w:tcPr>
          <w:p w14:paraId="33759C3A">
            <w:pPr>
              <w:spacing w:line="320" w:lineRule="exact"/>
              <w:jc w:val="center"/>
              <w:rPr>
                <w:rFonts w:ascii="黑体" w:hAnsi="黑体" w:eastAsia="黑体"/>
                <w:szCs w:val="21"/>
              </w:rPr>
            </w:pPr>
            <w:r>
              <w:rPr>
                <w:rFonts w:ascii="黑体" w:hAnsi="黑体" w:eastAsia="黑体"/>
                <w:szCs w:val="21"/>
              </w:rPr>
              <w:t>主体情况</w:t>
            </w:r>
          </w:p>
        </w:tc>
      </w:tr>
      <w:tr w14:paraId="4CD2C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trPr>
        <w:tc>
          <w:tcPr>
            <w:tcW w:w="865" w:type="dxa"/>
            <w:noWrap w:val="0"/>
            <w:vAlign w:val="center"/>
          </w:tcPr>
          <w:p w14:paraId="4A1DD169">
            <w:pPr>
              <w:spacing w:line="320" w:lineRule="exact"/>
              <w:jc w:val="center"/>
              <w:rPr>
                <w:rFonts w:hint="eastAsia" w:ascii="黑体" w:hAnsi="黑体" w:eastAsia="黑体"/>
                <w:szCs w:val="21"/>
                <w:lang w:eastAsia="zh-CN"/>
              </w:rPr>
            </w:pPr>
            <w:r>
              <w:rPr>
                <w:rFonts w:hint="eastAsia" w:ascii="黑体" w:hAnsi="黑体" w:eastAsia="黑体"/>
                <w:szCs w:val="21"/>
                <w:lang w:val="en-US" w:eastAsia="zh-CN"/>
              </w:rPr>
              <w:t>乡镇</w:t>
            </w:r>
          </w:p>
        </w:tc>
        <w:tc>
          <w:tcPr>
            <w:tcW w:w="953" w:type="dxa"/>
            <w:noWrap w:val="0"/>
            <w:vAlign w:val="center"/>
          </w:tcPr>
          <w:p w14:paraId="33DA837B">
            <w:pPr>
              <w:spacing w:line="320" w:lineRule="exact"/>
              <w:jc w:val="center"/>
              <w:rPr>
                <w:rFonts w:hint="eastAsia" w:ascii="黑体" w:hAnsi="黑体" w:eastAsia="黑体"/>
                <w:szCs w:val="21"/>
                <w:lang w:eastAsia="zh-CN"/>
              </w:rPr>
            </w:pPr>
            <w:r>
              <w:rPr>
                <w:rFonts w:hint="eastAsia" w:ascii="黑体" w:hAnsi="黑体" w:eastAsia="黑体"/>
                <w:szCs w:val="21"/>
                <w:lang w:val="en-US" w:eastAsia="zh-CN"/>
              </w:rPr>
              <w:t>村（居）</w:t>
            </w:r>
          </w:p>
        </w:tc>
        <w:tc>
          <w:tcPr>
            <w:tcW w:w="1506" w:type="dxa"/>
            <w:noWrap w:val="0"/>
            <w:vAlign w:val="center"/>
          </w:tcPr>
          <w:p w14:paraId="550EEC28">
            <w:pPr>
              <w:spacing w:line="320" w:lineRule="exact"/>
              <w:jc w:val="center"/>
              <w:rPr>
                <w:rFonts w:ascii="黑体" w:hAnsi="黑体" w:eastAsia="黑体"/>
                <w:szCs w:val="21"/>
              </w:rPr>
            </w:pPr>
            <w:r>
              <w:rPr>
                <w:rFonts w:ascii="黑体" w:hAnsi="黑体" w:eastAsia="黑体"/>
                <w:szCs w:val="21"/>
              </w:rPr>
              <w:t>服务中心名称</w:t>
            </w:r>
          </w:p>
        </w:tc>
        <w:tc>
          <w:tcPr>
            <w:tcW w:w="897" w:type="dxa"/>
            <w:noWrap w:val="0"/>
            <w:vAlign w:val="center"/>
          </w:tcPr>
          <w:p w14:paraId="505494C0">
            <w:pPr>
              <w:spacing w:line="320" w:lineRule="exact"/>
              <w:jc w:val="center"/>
              <w:rPr>
                <w:rFonts w:ascii="黑体" w:hAnsi="黑体" w:eastAsia="黑体"/>
                <w:szCs w:val="21"/>
              </w:rPr>
            </w:pPr>
            <w:r>
              <w:rPr>
                <w:rFonts w:ascii="黑体" w:hAnsi="黑体" w:eastAsia="黑体"/>
                <w:szCs w:val="21"/>
              </w:rPr>
              <w:t>联系人</w:t>
            </w:r>
          </w:p>
        </w:tc>
        <w:tc>
          <w:tcPr>
            <w:tcW w:w="1092" w:type="dxa"/>
            <w:gridSpan w:val="2"/>
            <w:noWrap w:val="0"/>
            <w:vAlign w:val="center"/>
          </w:tcPr>
          <w:p w14:paraId="2BC65890">
            <w:pPr>
              <w:spacing w:line="320" w:lineRule="exact"/>
              <w:jc w:val="center"/>
              <w:rPr>
                <w:rFonts w:ascii="黑体" w:hAnsi="黑体" w:eastAsia="黑体"/>
                <w:szCs w:val="21"/>
              </w:rPr>
            </w:pPr>
            <w:r>
              <w:rPr>
                <w:rFonts w:ascii="黑体" w:hAnsi="黑体" w:eastAsia="黑体"/>
                <w:szCs w:val="21"/>
              </w:rPr>
              <w:t>联系方式</w:t>
            </w:r>
          </w:p>
        </w:tc>
        <w:tc>
          <w:tcPr>
            <w:tcW w:w="1092" w:type="dxa"/>
            <w:noWrap w:val="0"/>
            <w:vAlign w:val="center"/>
          </w:tcPr>
          <w:p w14:paraId="04D8A53B">
            <w:pPr>
              <w:spacing w:line="320" w:lineRule="exact"/>
              <w:jc w:val="center"/>
              <w:rPr>
                <w:rFonts w:ascii="黑体" w:hAnsi="黑体" w:eastAsia="黑体"/>
                <w:szCs w:val="21"/>
              </w:rPr>
            </w:pPr>
            <w:r>
              <w:rPr>
                <w:rFonts w:hint="eastAsia" w:ascii="黑体" w:hAnsi="黑体" w:eastAsia="黑体"/>
                <w:szCs w:val="21"/>
                <w:lang w:val="en-US" w:eastAsia="zh-CN"/>
              </w:rPr>
              <w:t>总</w:t>
            </w:r>
            <w:r>
              <w:rPr>
                <w:rFonts w:ascii="黑体" w:hAnsi="黑体" w:eastAsia="黑体"/>
                <w:szCs w:val="21"/>
              </w:rPr>
              <w:t>占地面积（亩）</w:t>
            </w:r>
          </w:p>
        </w:tc>
        <w:tc>
          <w:tcPr>
            <w:tcW w:w="1072" w:type="dxa"/>
            <w:noWrap w:val="0"/>
            <w:vAlign w:val="center"/>
          </w:tcPr>
          <w:p w14:paraId="2BBF9AB5">
            <w:pPr>
              <w:spacing w:line="320" w:lineRule="exact"/>
              <w:jc w:val="center"/>
              <w:rPr>
                <w:rFonts w:ascii="黑体" w:hAnsi="黑体" w:eastAsia="黑体"/>
                <w:szCs w:val="21"/>
              </w:rPr>
            </w:pPr>
            <w:r>
              <w:rPr>
                <w:rFonts w:hint="eastAsia" w:ascii="黑体" w:hAnsi="黑体" w:eastAsia="黑体"/>
                <w:szCs w:val="21"/>
                <w:lang w:val="en-US" w:eastAsia="zh-CN"/>
              </w:rPr>
              <w:t>机</w:t>
            </w:r>
            <w:r>
              <w:rPr>
                <w:rFonts w:ascii="黑体" w:hAnsi="黑体" w:eastAsia="黑体"/>
                <w:szCs w:val="21"/>
              </w:rPr>
              <w:t>库棚面积（㎡）</w:t>
            </w:r>
          </w:p>
        </w:tc>
        <w:tc>
          <w:tcPr>
            <w:tcW w:w="1128" w:type="dxa"/>
            <w:noWrap w:val="0"/>
            <w:vAlign w:val="center"/>
          </w:tcPr>
          <w:p w14:paraId="690551CC">
            <w:pPr>
              <w:spacing w:line="320" w:lineRule="exact"/>
              <w:jc w:val="center"/>
              <w:rPr>
                <w:rFonts w:ascii="黑体" w:hAnsi="黑体" w:eastAsia="黑体"/>
                <w:szCs w:val="21"/>
              </w:rPr>
            </w:pPr>
            <w:r>
              <w:rPr>
                <w:rFonts w:hint="eastAsia" w:ascii="黑体" w:hAnsi="黑体" w:eastAsia="黑体"/>
                <w:szCs w:val="21"/>
                <w:lang w:val="en-US" w:eastAsia="zh-CN"/>
              </w:rPr>
              <w:t>大中型</w:t>
            </w:r>
            <w:r>
              <w:rPr>
                <w:rFonts w:ascii="黑体" w:hAnsi="黑体" w:eastAsia="黑体"/>
                <w:szCs w:val="21"/>
              </w:rPr>
              <w:t>机具保有量</w:t>
            </w:r>
            <w:r>
              <w:rPr>
                <w:rFonts w:hint="eastAsia" w:ascii="黑体" w:hAnsi="黑体" w:eastAsia="黑体"/>
                <w:b/>
                <w:bCs/>
                <w:szCs w:val="21"/>
              </w:rPr>
              <w:t>/</w:t>
            </w:r>
            <w:r>
              <w:rPr>
                <w:rFonts w:hint="eastAsia" w:ascii="黑体" w:hAnsi="黑体" w:eastAsia="黑体" w:cs="Times New Roman"/>
                <w:szCs w:val="21"/>
                <w:lang w:val="en-US" w:eastAsia="zh-CN"/>
              </w:rPr>
              <w:t>育插秧机械保有量</w:t>
            </w:r>
            <w:r>
              <w:rPr>
                <w:rFonts w:ascii="黑体" w:hAnsi="黑体" w:eastAsia="黑体" w:cs="Times New Roman"/>
                <w:szCs w:val="21"/>
              </w:rPr>
              <w:t>(台）</w:t>
            </w:r>
          </w:p>
        </w:tc>
        <w:tc>
          <w:tcPr>
            <w:tcW w:w="996" w:type="dxa"/>
            <w:gridSpan w:val="2"/>
            <w:noWrap w:val="0"/>
            <w:vAlign w:val="center"/>
          </w:tcPr>
          <w:p w14:paraId="68E84CEA">
            <w:pPr>
              <w:spacing w:line="320" w:lineRule="exact"/>
              <w:jc w:val="center"/>
              <w:rPr>
                <w:rFonts w:hint="default" w:ascii="黑体" w:hAnsi="黑体" w:eastAsia="黑体"/>
                <w:szCs w:val="21"/>
                <w:lang w:val="en-US" w:eastAsia="zh-CN"/>
              </w:rPr>
            </w:pPr>
            <w:r>
              <w:rPr>
                <w:rFonts w:hint="eastAsia" w:ascii="黑体" w:hAnsi="黑体" w:eastAsia="黑体"/>
                <w:szCs w:val="21"/>
                <w:lang w:val="en-US" w:eastAsia="zh-CN"/>
              </w:rPr>
              <w:t>烘干形式及批处理量（吨）</w:t>
            </w:r>
          </w:p>
        </w:tc>
        <w:tc>
          <w:tcPr>
            <w:tcW w:w="1176" w:type="dxa"/>
            <w:noWrap w:val="0"/>
            <w:vAlign w:val="center"/>
          </w:tcPr>
          <w:p w14:paraId="46575551">
            <w:pPr>
              <w:spacing w:line="320" w:lineRule="exact"/>
              <w:jc w:val="center"/>
              <w:rPr>
                <w:rFonts w:hint="default" w:ascii="黑体" w:hAnsi="黑体" w:eastAsia="黑体"/>
                <w:szCs w:val="21"/>
                <w:lang w:val="en-US" w:eastAsia="zh-CN"/>
              </w:rPr>
            </w:pPr>
            <w:r>
              <w:rPr>
                <w:rFonts w:hint="eastAsia" w:ascii="黑体" w:hAnsi="黑体" w:eastAsia="黑体"/>
                <w:szCs w:val="21"/>
                <w:lang w:val="en-US" w:eastAsia="zh-CN"/>
              </w:rPr>
              <w:t>烘干仓储容量（吨）</w:t>
            </w:r>
          </w:p>
        </w:tc>
        <w:tc>
          <w:tcPr>
            <w:tcW w:w="1664" w:type="dxa"/>
            <w:noWrap w:val="0"/>
            <w:vAlign w:val="center"/>
          </w:tcPr>
          <w:p w14:paraId="3F082D7D">
            <w:pPr>
              <w:spacing w:line="320" w:lineRule="exact"/>
              <w:jc w:val="center"/>
              <w:rPr>
                <w:rFonts w:ascii="黑体" w:hAnsi="黑体" w:eastAsia="黑体"/>
                <w:szCs w:val="21"/>
              </w:rPr>
            </w:pPr>
            <w:r>
              <w:rPr>
                <w:rFonts w:ascii="黑体" w:hAnsi="黑体" w:eastAsia="黑体"/>
                <w:szCs w:val="21"/>
              </w:rPr>
              <w:t>社会化服务作业面积</w:t>
            </w:r>
            <w:r>
              <w:rPr>
                <w:rFonts w:hint="eastAsia" w:ascii="黑体" w:hAnsi="黑体" w:eastAsia="黑体"/>
                <w:b/>
                <w:bCs/>
                <w:szCs w:val="21"/>
              </w:rPr>
              <w:t>/</w:t>
            </w:r>
            <w:r>
              <w:rPr>
                <w:rFonts w:hint="eastAsia" w:ascii="黑体" w:hAnsi="黑体" w:eastAsia="黑体"/>
                <w:szCs w:val="21"/>
                <w:lang w:val="en-US" w:eastAsia="zh-CN"/>
              </w:rPr>
              <w:t>水稻机械化育插秧服务面积</w:t>
            </w:r>
            <w:r>
              <w:rPr>
                <w:rFonts w:ascii="黑体" w:hAnsi="黑体" w:eastAsia="黑体"/>
                <w:szCs w:val="21"/>
              </w:rPr>
              <w:t>（万亩）</w:t>
            </w:r>
          </w:p>
        </w:tc>
        <w:tc>
          <w:tcPr>
            <w:tcW w:w="1236" w:type="dxa"/>
            <w:noWrap w:val="0"/>
            <w:vAlign w:val="center"/>
          </w:tcPr>
          <w:p w14:paraId="774E65A2">
            <w:pPr>
              <w:spacing w:line="320" w:lineRule="exact"/>
              <w:jc w:val="both"/>
              <w:rPr>
                <w:rFonts w:ascii="黑体" w:hAnsi="黑体" w:eastAsia="黑体"/>
                <w:szCs w:val="21"/>
              </w:rPr>
            </w:pPr>
            <w:r>
              <w:rPr>
                <w:rFonts w:hint="eastAsia" w:ascii="黑体" w:hAnsi="黑体" w:eastAsia="黑体"/>
                <w:szCs w:val="21"/>
                <w:lang w:val="en-US" w:eastAsia="zh-CN"/>
              </w:rPr>
              <w:t>“平急两用”的应急救灾机具数量（台）</w:t>
            </w:r>
          </w:p>
        </w:tc>
        <w:tc>
          <w:tcPr>
            <w:tcW w:w="1008" w:type="dxa"/>
            <w:noWrap w:val="0"/>
            <w:vAlign w:val="center"/>
          </w:tcPr>
          <w:p w14:paraId="43EDFE22">
            <w:pPr>
              <w:spacing w:line="320" w:lineRule="exact"/>
              <w:jc w:val="center"/>
              <w:rPr>
                <w:rFonts w:ascii="黑体" w:hAnsi="黑体" w:eastAsia="黑体"/>
                <w:szCs w:val="21"/>
              </w:rPr>
            </w:pPr>
            <w:r>
              <w:rPr>
                <w:rFonts w:ascii="黑体" w:hAnsi="黑体" w:eastAsia="黑体"/>
                <w:szCs w:val="21"/>
              </w:rPr>
              <w:t>带动小农户数量（个）</w:t>
            </w:r>
          </w:p>
        </w:tc>
      </w:tr>
      <w:tr w14:paraId="6E489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65" w:type="dxa"/>
            <w:noWrap w:val="0"/>
            <w:vAlign w:val="center"/>
          </w:tcPr>
          <w:p w14:paraId="7A5BA95F">
            <w:pPr>
              <w:spacing w:line="320" w:lineRule="exact"/>
              <w:jc w:val="center"/>
              <w:rPr>
                <w:szCs w:val="21"/>
              </w:rPr>
            </w:pPr>
          </w:p>
        </w:tc>
        <w:tc>
          <w:tcPr>
            <w:tcW w:w="953" w:type="dxa"/>
            <w:noWrap w:val="0"/>
            <w:vAlign w:val="center"/>
          </w:tcPr>
          <w:p w14:paraId="01A3ADA5">
            <w:pPr>
              <w:spacing w:line="320" w:lineRule="exact"/>
              <w:jc w:val="center"/>
              <w:rPr>
                <w:szCs w:val="21"/>
              </w:rPr>
            </w:pPr>
          </w:p>
        </w:tc>
        <w:tc>
          <w:tcPr>
            <w:tcW w:w="1506" w:type="dxa"/>
            <w:noWrap w:val="0"/>
            <w:vAlign w:val="center"/>
          </w:tcPr>
          <w:p w14:paraId="4F9DF2FF">
            <w:pPr>
              <w:spacing w:line="320" w:lineRule="exact"/>
              <w:jc w:val="center"/>
              <w:rPr>
                <w:szCs w:val="21"/>
              </w:rPr>
            </w:pPr>
          </w:p>
        </w:tc>
        <w:tc>
          <w:tcPr>
            <w:tcW w:w="897" w:type="dxa"/>
            <w:noWrap w:val="0"/>
            <w:vAlign w:val="center"/>
          </w:tcPr>
          <w:p w14:paraId="4679D69B">
            <w:pPr>
              <w:spacing w:line="320" w:lineRule="exact"/>
              <w:jc w:val="center"/>
              <w:rPr>
                <w:szCs w:val="21"/>
              </w:rPr>
            </w:pPr>
          </w:p>
        </w:tc>
        <w:tc>
          <w:tcPr>
            <w:tcW w:w="1092" w:type="dxa"/>
            <w:gridSpan w:val="2"/>
            <w:noWrap w:val="0"/>
            <w:vAlign w:val="center"/>
          </w:tcPr>
          <w:p w14:paraId="5C9EEDC5">
            <w:pPr>
              <w:spacing w:line="320" w:lineRule="exact"/>
              <w:jc w:val="center"/>
              <w:rPr>
                <w:szCs w:val="21"/>
              </w:rPr>
            </w:pPr>
          </w:p>
        </w:tc>
        <w:tc>
          <w:tcPr>
            <w:tcW w:w="1092" w:type="dxa"/>
            <w:noWrap w:val="0"/>
            <w:vAlign w:val="center"/>
          </w:tcPr>
          <w:p w14:paraId="6EEED3F6">
            <w:pPr>
              <w:spacing w:line="320" w:lineRule="exact"/>
              <w:jc w:val="center"/>
              <w:rPr>
                <w:szCs w:val="21"/>
              </w:rPr>
            </w:pPr>
          </w:p>
        </w:tc>
        <w:tc>
          <w:tcPr>
            <w:tcW w:w="1072" w:type="dxa"/>
            <w:noWrap w:val="0"/>
            <w:vAlign w:val="center"/>
          </w:tcPr>
          <w:p w14:paraId="2E1060C4">
            <w:pPr>
              <w:spacing w:line="320" w:lineRule="exact"/>
              <w:jc w:val="center"/>
              <w:rPr>
                <w:szCs w:val="21"/>
              </w:rPr>
            </w:pPr>
          </w:p>
        </w:tc>
        <w:tc>
          <w:tcPr>
            <w:tcW w:w="1128" w:type="dxa"/>
            <w:noWrap w:val="0"/>
            <w:vAlign w:val="center"/>
          </w:tcPr>
          <w:p w14:paraId="6AF7880B">
            <w:pPr>
              <w:spacing w:line="320" w:lineRule="exact"/>
              <w:jc w:val="center"/>
              <w:rPr>
                <w:szCs w:val="21"/>
              </w:rPr>
            </w:pPr>
          </w:p>
        </w:tc>
        <w:tc>
          <w:tcPr>
            <w:tcW w:w="996" w:type="dxa"/>
            <w:gridSpan w:val="2"/>
            <w:noWrap w:val="0"/>
            <w:vAlign w:val="center"/>
          </w:tcPr>
          <w:p w14:paraId="561B935A">
            <w:pPr>
              <w:spacing w:line="320" w:lineRule="exact"/>
              <w:jc w:val="center"/>
              <w:rPr>
                <w:szCs w:val="21"/>
              </w:rPr>
            </w:pPr>
          </w:p>
        </w:tc>
        <w:tc>
          <w:tcPr>
            <w:tcW w:w="1176" w:type="dxa"/>
            <w:noWrap w:val="0"/>
            <w:vAlign w:val="center"/>
          </w:tcPr>
          <w:p w14:paraId="22038F97">
            <w:pPr>
              <w:spacing w:line="320" w:lineRule="exact"/>
              <w:jc w:val="center"/>
              <w:rPr>
                <w:szCs w:val="21"/>
              </w:rPr>
            </w:pPr>
          </w:p>
        </w:tc>
        <w:tc>
          <w:tcPr>
            <w:tcW w:w="1664" w:type="dxa"/>
            <w:noWrap w:val="0"/>
            <w:vAlign w:val="center"/>
          </w:tcPr>
          <w:p w14:paraId="1C8E04B7">
            <w:pPr>
              <w:spacing w:line="320" w:lineRule="exact"/>
              <w:jc w:val="center"/>
              <w:rPr>
                <w:szCs w:val="21"/>
              </w:rPr>
            </w:pPr>
          </w:p>
        </w:tc>
        <w:tc>
          <w:tcPr>
            <w:tcW w:w="1236" w:type="dxa"/>
            <w:noWrap w:val="0"/>
            <w:vAlign w:val="center"/>
          </w:tcPr>
          <w:p w14:paraId="3AB4857B">
            <w:pPr>
              <w:spacing w:line="320" w:lineRule="exact"/>
              <w:jc w:val="center"/>
              <w:rPr>
                <w:szCs w:val="21"/>
              </w:rPr>
            </w:pPr>
          </w:p>
        </w:tc>
        <w:tc>
          <w:tcPr>
            <w:tcW w:w="1008" w:type="dxa"/>
            <w:noWrap w:val="0"/>
            <w:vAlign w:val="center"/>
          </w:tcPr>
          <w:p w14:paraId="624E343E">
            <w:pPr>
              <w:spacing w:line="320" w:lineRule="exact"/>
              <w:jc w:val="center"/>
              <w:rPr>
                <w:szCs w:val="21"/>
              </w:rPr>
            </w:pPr>
          </w:p>
        </w:tc>
      </w:tr>
      <w:tr w14:paraId="6AF16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4" w:hRule="atLeast"/>
        </w:trPr>
        <w:tc>
          <w:tcPr>
            <w:tcW w:w="14685" w:type="dxa"/>
            <w:gridSpan w:val="15"/>
            <w:noWrap w:val="0"/>
            <w:vAlign w:val="center"/>
          </w:tcPr>
          <w:p w14:paraId="0E902415">
            <w:pPr>
              <w:spacing w:line="320" w:lineRule="exact"/>
              <w:rPr>
                <w:szCs w:val="21"/>
              </w:rPr>
            </w:pPr>
            <w:r>
              <w:rPr>
                <w:szCs w:val="21"/>
              </w:rPr>
              <w:t>一、基本情况</w:t>
            </w:r>
          </w:p>
          <w:p w14:paraId="7549C1F4">
            <w:pPr>
              <w:spacing w:line="320" w:lineRule="exact"/>
              <w:rPr>
                <w:szCs w:val="21"/>
              </w:rPr>
            </w:pPr>
            <w:r>
              <w:rPr>
                <w:szCs w:val="21"/>
              </w:rPr>
              <w:t>（一）介绍服务主体的发展历程、取得的主要成绩及相关荣誉；</w:t>
            </w:r>
          </w:p>
          <w:p w14:paraId="538774A9">
            <w:pPr>
              <w:spacing w:line="320" w:lineRule="exact"/>
              <w:rPr>
                <w:szCs w:val="21"/>
              </w:rPr>
            </w:pPr>
            <w:r>
              <w:rPr>
                <w:szCs w:val="21"/>
              </w:rPr>
              <w:t>（二）介绍装备、设施以及开展作业服务等情况。</w:t>
            </w:r>
          </w:p>
          <w:p w14:paraId="7CE286BB">
            <w:pPr>
              <w:spacing w:line="320" w:lineRule="exact"/>
              <w:rPr>
                <w:szCs w:val="21"/>
              </w:rPr>
            </w:pPr>
            <w:r>
              <w:rPr>
                <w:szCs w:val="21"/>
              </w:rPr>
              <w:t>二、主要做法及成效（详细介绍主要开展的工作内容，包括模式创新、政策扶持、产生的经济社会效益等）。</w:t>
            </w:r>
          </w:p>
          <w:p w14:paraId="1AD92E54">
            <w:pPr>
              <w:spacing w:line="320" w:lineRule="exact"/>
              <w:rPr>
                <w:szCs w:val="21"/>
              </w:rPr>
            </w:pPr>
            <w:r>
              <w:rPr>
                <w:szCs w:val="21"/>
              </w:rPr>
              <w:t>三、主体的</w:t>
            </w:r>
            <w:r>
              <w:rPr>
                <w:rFonts w:hint="eastAsia" w:eastAsia="宋体"/>
                <w:szCs w:val="21"/>
                <w:lang w:val="en-US" w:eastAsia="zh-CN"/>
              </w:rPr>
              <w:t>2026年建设</w:t>
            </w:r>
            <w:r>
              <w:rPr>
                <w:szCs w:val="21"/>
              </w:rPr>
              <w:t>计划，特别是打算如何提升应急救灾能力。</w:t>
            </w:r>
            <w:bookmarkStart w:id="2" w:name="_GoBack"/>
            <w:bookmarkEnd w:id="2"/>
          </w:p>
          <w:p w14:paraId="5276EC5D">
            <w:pPr>
              <w:spacing w:line="320" w:lineRule="exact"/>
              <w:rPr>
                <w:szCs w:val="21"/>
              </w:rPr>
            </w:pPr>
          </w:p>
        </w:tc>
      </w:tr>
      <w:tr w14:paraId="67ADA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8" w:hRule="atLeast"/>
        </w:trPr>
        <w:tc>
          <w:tcPr>
            <w:tcW w:w="4676" w:type="dxa"/>
            <w:gridSpan w:val="5"/>
            <w:noWrap w:val="0"/>
            <w:vAlign w:val="center"/>
          </w:tcPr>
          <w:p w14:paraId="7EDF92CA">
            <w:pPr>
              <w:spacing w:line="320" w:lineRule="exact"/>
              <w:rPr>
                <w:rFonts w:hint="eastAsia"/>
                <w:szCs w:val="21"/>
                <w:lang w:val="en-US" w:eastAsia="zh-CN"/>
              </w:rPr>
            </w:pPr>
            <w:r>
              <w:rPr>
                <w:rFonts w:hint="eastAsia"/>
                <w:szCs w:val="21"/>
                <w:lang w:val="en-US" w:eastAsia="zh-CN"/>
              </w:rPr>
              <w:t>所在村（居）推荐意见（盖章）：</w:t>
            </w:r>
          </w:p>
          <w:p w14:paraId="6930973B">
            <w:pPr>
              <w:spacing w:line="320" w:lineRule="exact"/>
              <w:rPr>
                <w:rFonts w:hint="eastAsia"/>
                <w:szCs w:val="21"/>
                <w:lang w:val="en-US" w:eastAsia="zh-CN"/>
              </w:rPr>
            </w:pPr>
          </w:p>
          <w:p w14:paraId="25FF3FF6">
            <w:pPr>
              <w:spacing w:line="320" w:lineRule="exact"/>
              <w:rPr>
                <w:rFonts w:hint="eastAsia"/>
                <w:szCs w:val="21"/>
                <w:lang w:val="en-US" w:eastAsia="zh-CN"/>
              </w:rPr>
            </w:pPr>
          </w:p>
          <w:p w14:paraId="2EAEEBE0">
            <w:pPr>
              <w:spacing w:line="320" w:lineRule="exact"/>
              <w:rPr>
                <w:rFonts w:hint="default"/>
                <w:szCs w:val="21"/>
                <w:lang w:val="en-US" w:eastAsia="zh-CN"/>
              </w:rPr>
            </w:pPr>
            <w:r>
              <w:rPr>
                <w:rFonts w:hint="eastAsia"/>
                <w:szCs w:val="21"/>
                <w:lang w:val="en-US" w:eastAsia="zh-CN"/>
              </w:rPr>
              <w:t xml:space="preserve">                            年   月   日</w:t>
            </w:r>
          </w:p>
        </w:tc>
        <w:tc>
          <w:tcPr>
            <w:tcW w:w="4676" w:type="dxa"/>
            <w:gridSpan w:val="5"/>
            <w:noWrap w:val="0"/>
            <w:vAlign w:val="center"/>
          </w:tcPr>
          <w:p w14:paraId="178A4E69">
            <w:pPr>
              <w:spacing w:line="320" w:lineRule="exact"/>
              <w:rPr>
                <w:rFonts w:hint="eastAsia"/>
                <w:szCs w:val="21"/>
                <w:lang w:val="en-US" w:eastAsia="zh-CN"/>
              </w:rPr>
            </w:pPr>
            <w:r>
              <w:rPr>
                <w:rFonts w:hint="eastAsia"/>
                <w:szCs w:val="21"/>
                <w:lang w:val="en-US" w:eastAsia="zh-CN"/>
              </w:rPr>
              <w:t>所在乡镇推荐意见（盖章）：</w:t>
            </w:r>
          </w:p>
          <w:p w14:paraId="189C024B">
            <w:pPr>
              <w:spacing w:line="320" w:lineRule="exact"/>
              <w:rPr>
                <w:rFonts w:hint="eastAsia"/>
                <w:szCs w:val="21"/>
                <w:lang w:val="en-US" w:eastAsia="zh-CN"/>
              </w:rPr>
            </w:pPr>
          </w:p>
          <w:p w14:paraId="2A86E75A">
            <w:pPr>
              <w:spacing w:line="320" w:lineRule="exact"/>
              <w:rPr>
                <w:rFonts w:hint="eastAsia"/>
                <w:szCs w:val="21"/>
                <w:lang w:val="en-US" w:eastAsia="zh-CN"/>
              </w:rPr>
            </w:pPr>
          </w:p>
          <w:p w14:paraId="66E39DAE">
            <w:pPr>
              <w:spacing w:line="320" w:lineRule="exact"/>
              <w:rPr>
                <w:szCs w:val="21"/>
              </w:rPr>
            </w:pPr>
            <w:r>
              <w:rPr>
                <w:rFonts w:hint="eastAsia"/>
                <w:szCs w:val="21"/>
                <w:lang w:val="en-US" w:eastAsia="zh-CN"/>
              </w:rPr>
              <w:t xml:space="preserve">                            年   月   日</w:t>
            </w:r>
          </w:p>
        </w:tc>
        <w:tc>
          <w:tcPr>
            <w:tcW w:w="5333" w:type="dxa"/>
            <w:gridSpan w:val="5"/>
            <w:noWrap w:val="0"/>
            <w:vAlign w:val="center"/>
          </w:tcPr>
          <w:p w14:paraId="3559652B">
            <w:pPr>
              <w:spacing w:line="320" w:lineRule="exact"/>
              <w:rPr>
                <w:rFonts w:hint="eastAsia"/>
                <w:szCs w:val="21"/>
                <w:lang w:val="en-US" w:eastAsia="zh-CN"/>
              </w:rPr>
            </w:pPr>
            <w:r>
              <w:rPr>
                <w:rFonts w:hint="eastAsia"/>
                <w:szCs w:val="21"/>
                <w:lang w:val="en-US" w:eastAsia="zh-CN"/>
              </w:rPr>
              <w:t>县农业农村部门审核意见（盖章）：</w:t>
            </w:r>
          </w:p>
          <w:p w14:paraId="16206FD6">
            <w:pPr>
              <w:spacing w:line="320" w:lineRule="exact"/>
              <w:rPr>
                <w:rFonts w:hint="eastAsia"/>
                <w:szCs w:val="21"/>
                <w:lang w:val="en-US" w:eastAsia="zh-CN"/>
              </w:rPr>
            </w:pPr>
          </w:p>
          <w:p w14:paraId="534C1C9B">
            <w:pPr>
              <w:spacing w:line="320" w:lineRule="exact"/>
              <w:rPr>
                <w:rFonts w:hint="eastAsia"/>
                <w:szCs w:val="21"/>
                <w:lang w:val="en-US" w:eastAsia="zh-CN"/>
              </w:rPr>
            </w:pPr>
          </w:p>
          <w:p w14:paraId="08B1E51B">
            <w:pPr>
              <w:spacing w:line="320" w:lineRule="exact"/>
              <w:rPr>
                <w:szCs w:val="21"/>
              </w:rPr>
            </w:pPr>
            <w:r>
              <w:rPr>
                <w:rFonts w:hint="eastAsia"/>
                <w:szCs w:val="21"/>
                <w:lang w:val="en-US" w:eastAsia="zh-CN"/>
              </w:rPr>
              <w:t xml:space="preserve">                            年   月   日</w:t>
            </w:r>
          </w:p>
        </w:tc>
      </w:tr>
    </w:tbl>
    <w:p w14:paraId="0EFF2521">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p>
    <w:sectPr>
      <w:footerReference r:id="rId8" w:type="default"/>
      <w:pgSz w:w="16838" w:h="11906" w:orient="landscape"/>
      <w:pgMar w:top="1304" w:right="2098" w:bottom="1361" w:left="1984" w:header="851" w:footer="992" w:gutter="0"/>
      <w:pgNumType w:fmt="decimal"/>
      <w:cols w:space="0" w:num="1"/>
      <w:titlePg/>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AE8AF">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8478F">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C62F0">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B694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5917C3"/>
    <w:multiLevelType w:val="multilevel"/>
    <w:tmpl w:val="2C5917C3"/>
    <w:lvl w:ilvl="0" w:tentative="0">
      <w:start w:val="1"/>
      <w:numFmt w:val="none"/>
      <w:pStyle w:val="13"/>
      <w:lvlText w:val="%1——"/>
      <w:lvlJc w:val="left"/>
      <w:pPr>
        <w:tabs>
          <w:tab w:val="left" w:pos="851"/>
        </w:tabs>
        <w:ind w:left="851" w:hanging="426"/>
      </w:pPr>
      <w:rPr>
        <w:rFonts w:hint="eastAsia" w:ascii="宋体" w:hAnsi="Times New Roman" w:eastAsia="宋体"/>
        <w:b w:val="0"/>
        <w:i w:val="0"/>
        <w:sz w:val="21"/>
        <w:lang w:val="en-US"/>
      </w:rPr>
    </w:lvl>
    <w:lvl w:ilvl="1" w:tentative="0">
      <w:start w:val="1"/>
      <w:numFmt w:val="none"/>
      <w:lvlText w:val=""/>
      <w:lvlJc w:val="left"/>
      <w:pPr>
        <w:ind w:left="851" w:hanging="431"/>
      </w:pPr>
      <w:rPr>
        <w:rFonts w:hint="default" w:ascii="Symbol" w:hAnsi="Symbol"/>
        <w:sz w:val="21"/>
      </w:rPr>
    </w:lvl>
    <w:lvl w:ilvl="2" w:tentative="0">
      <w:start w:val="1"/>
      <w:numFmt w:val="bullet"/>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
    <w:nsid w:val="6CEA2025"/>
    <w:multiLevelType w:val="multilevel"/>
    <w:tmpl w:val="6CEA2025"/>
    <w:lvl w:ilvl="0" w:tentative="0">
      <w:start w:val="1"/>
      <w:numFmt w:val="none"/>
      <w:suff w:val="nothing"/>
      <w:lvlText w:val="%1"/>
      <w:lvlJc w:val="left"/>
      <w:pPr>
        <w:ind w:left="0" w:firstLine="0"/>
      </w:pPr>
      <w:rPr>
        <w:rFonts w:hint="eastAsia"/>
      </w:rPr>
    </w:lvl>
    <w:lvl w:ilvl="1" w:tentative="0">
      <w:start w:val="1"/>
      <w:numFmt w:val="decimal"/>
      <w:pStyle w:val="16"/>
      <w:suff w:val="nothing"/>
      <w:lvlText w:val="%1%2　"/>
      <w:lvlJc w:val="left"/>
      <w:pPr>
        <w:ind w:left="0" w:firstLine="0"/>
      </w:pPr>
      <w:rPr>
        <w:rFonts w:hint="eastAsia" w:ascii="黑体" w:eastAsia="黑体"/>
        <w:b w:val="0"/>
        <w:i w:val="0"/>
        <w:sz w:val="21"/>
      </w:rPr>
    </w:lvl>
    <w:lvl w:ilvl="2" w:tentative="0">
      <w:start w:val="1"/>
      <w:numFmt w:val="decimal"/>
      <w:pStyle w:val="15"/>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3" w:tentative="0">
      <w:start w:val="1"/>
      <w:numFmt w:val="decimal"/>
      <w:pStyle w:val="12"/>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600894"/>
    <w:rsid w:val="00FC02BF"/>
    <w:rsid w:val="01314A3F"/>
    <w:rsid w:val="015A3E73"/>
    <w:rsid w:val="03432F0E"/>
    <w:rsid w:val="052667C0"/>
    <w:rsid w:val="062D62CF"/>
    <w:rsid w:val="069D1BFD"/>
    <w:rsid w:val="09046714"/>
    <w:rsid w:val="09067414"/>
    <w:rsid w:val="0C8C1D76"/>
    <w:rsid w:val="0D7A4C5C"/>
    <w:rsid w:val="0E0A2543"/>
    <w:rsid w:val="0EEF374D"/>
    <w:rsid w:val="129772F2"/>
    <w:rsid w:val="14D775C6"/>
    <w:rsid w:val="15E05154"/>
    <w:rsid w:val="182044B0"/>
    <w:rsid w:val="18DF48EF"/>
    <w:rsid w:val="192E743F"/>
    <w:rsid w:val="1A246465"/>
    <w:rsid w:val="1C600894"/>
    <w:rsid w:val="23A21768"/>
    <w:rsid w:val="23AF3F06"/>
    <w:rsid w:val="25AF2494"/>
    <w:rsid w:val="26FE4C0E"/>
    <w:rsid w:val="28904CC6"/>
    <w:rsid w:val="313218B5"/>
    <w:rsid w:val="32532800"/>
    <w:rsid w:val="338A6788"/>
    <w:rsid w:val="35502719"/>
    <w:rsid w:val="36B77D07"/>
    <w:rsid w:val="37A70625"/>
    <w:rsid w:val="39C63990"/>
    <w:rsid w:val="39F257E0"/>
    <w:rsid w:val="3A53023B"/>
    <w:rsid w:val="3B984165"/>
    <w:rsid w:val="3CD47750"/>
    <w:rsid w:val="3E704F26"/>
    <w:rsid w:val="3ED437FA"/>
    <w:rsid w:val="41C44AEF"/>
    <w:rsid w:val="441D78FE"/>
    <w:rsid w:val="442946B9"/>
    <w:rsid w:val="484D32D6"/>
    <w:rsid w:val="48EE671D"/>
    <w:rsid w:val="49BE044F"/>
    <w:rsid w:val="4DE34095"/>
    <w:rsid w:val="51551012"/>
    <w:rsid w:val="51B1556F"/>
    <w:rsid w:val="552212D1"/>
    <w:rsid w:val="55DD06EB"/>
    <w:rsid w:val="561B6DE4"/>
    <w:rsid w:val="591164D0"/>
    <w:rsid w:val="591733B4"/>
    <w:rsid w:val="5963325D"/>
    <w:rsid w:val="5E0D06AE"/>
    <w:rsid w:val="5EC15121"/>
    <w:rsid w:val="5F322F1C"/>
    <w:rsid w:val="61D22E48"/>
    <w:rsid w:val="63791004"/>
    <w:rsid w:val="64030466"/>
    <w:rsid w:val="646A5DEF"/>
    <w:rsid w:val="663C37BC"/>
    <w:rsid w:val="669E6F3A"/>
    <w:rsid w:val="6A696B49"/>
    <w:rsid w:val="70727187"/>
    <w:rsid w:val="79277C5F"/>
    <w:rsid w:val="7AE150FA"/>
    <w:rsid w:val="7D795414"/>
    <w:rsid w:val="7DE50C9D"/>
    <w:rsid w:val="7EC73D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caption"/>
    <w:basedOn w:val="1"/>
    <w:next w:val="1"/>
    <w:unhideWhenUsed/>
    <w:qFormat/>
    <w:uiPriority w:val="35"/>
    <w:rPr>
      <w:rFonts w:ascii="Arial" w:hAnsi="Arial" w:eastAsia="黑体" w:cs="Times New Roman"/>
      <w:sz w:val="20"/>
    </w:rPr>
  </w:style>
  <w:style w:type="paragraph" w:styleId="3">
    <w:name w:val="annotation text"/>
    <w:basedOn w:val="1"/>
    <w:unhideWhenUsed/>
    <w:qFormat/>
    <w:uiPriority w:val="99"/>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9">
    <w:name w:val="annotation reference"/>
    <w:basedOn w:val="8"/>
    <w:semiHidden/>
    <w:unhideWhenUsed/>
    <w:qFormat/>
    <w:uiPriority w:val="99"/>
    <w:rPr>
      <w:sz w:val="21"/>
      <w:szCs w:val="21"/>
    </w:rPr>
  </w:style>
  <w:style w:type="paragraph" w:customStyle="1" w:styleId="10">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
    <w:name w:val="标准文件_二级无标题"/>
    <w:basedOn w:val="12"/>
    <w:qFormat/>
    <w:uiPriority w:val="0"/>
    <w:pPr>
      <w:spacing w:before="0" w:beforeLines="0" w:after="0" w:afterLines="0"/>
      <w:outlineLvl w:val="9"/>
    </w:pPr>
    <w:rPr>
      <w:rFonts w:ascii="宋体" w:eastAsia="宋体"/>
    </w:rPr>
  </w:style>
  <w:style w:type="paragraph" w:customStyle="1" w:styleId="12">
    <w:name w:val="标准文件_二级条标题"/>
    <w:next w:val="10"/>
    <w:qFormat/>
    <w:uiPriority w:val="0"/>
    <w:pPr>
      <w:widowControl w:val="0"/>
      <w:numPr>
        <w:ilvl w:val="3"/>
        <w:numId w:val="1"/>
      </w:numPr>
      <w:spacing w:before="50" w:beforeLines="50" w:after="50" w:afterLines="50"/>
      <w:jc w:val="both"/>
      <w:outlineLvl w:val="2"/>
    </w:pPr>
    <w:rPr>
      <w:rFonts w:ascii="黑体" w:hAnsi="Times New Roman" w:eastAsia="黑体" w:cs="Times New Roman"/>
      <w:sz w:val="21"/>
      <w:lang w:val="en-US" w:eastAsia="zh-CN" w:bidi="ar-SA"/>
    </w:rPr>
  </w:style>
  <w:style w:type="paragraph" w:customStyle="1" w:styleId="13">
    <w:name w:val="标准文件_一级项"/>
    <w:qFormat/>
    <w:uiPriority w:val="0"/>
    <w:pPr>
      <w:numPr>
        <w:ilvl w:val="0"/>
        <w:numId w:val="2"/>
      </w:numPr>
    </w:pPr>
    <w:rPr>
      <w:rFonts w:ascii="宋体" w:hAnsi="Times New Roman" w:eastAsia="宋体" w:cs="Times New Roman"/>
      <w:sz w:val="21"/>
      <w:lang w:val="en-US" w:eastAsia="zh-CN" w:bidi="ar-SA"/>
    </w:rPr>
  </w:style>
  <w:style w:type="paragraph" w:customStyle="1" w:styleId="14">
    <w:name w:val="标准文件_一级无标题"/>
    <w:basedOn w:val="15"/>
    <w:qFormat/>
    <w:uiPriority w:val="0"/>
    <w:pPr>
      <w:spacing w:before="0" w:beforeLines="0" w:after="0" w:afterLines="0"/>
      <w:outlineLvl w:val="9"/>
    </w:pPr>
    <w:rPr>
      <w:rFonts w:ascii="宋体" w:eastAsia="宋体"/>
    </w:rPr>
  </w:style>
  <w:style w:type="paragraph" w:customStyle="1" w:styleId="15">
    <w:name w:val="标准文件_一级条标题"/>
    <w:basedOn w:val="16"/>
    <w:next w:val="10"/>
    <w:qFormat/>
    <w:uiPriority w:val="0"/>
    <w:pPr>
      <w:numPr>
        <w:ilvl w:val="2"/>
      </w:numPr>
      <w:spacing w:before="50" w:beforeLines="50" w:after="50" w:afterLines="50"/>
      <w:outlineLvl w:val="1"/>
    </w:pPr>
  </w:style>
  <w:style w:type="paragraph" w:customStyle="1" w:styleId="16">
    <w:name w:val="标准文件_章标题"/>
    <w:next w:val="10"/>
    <w:qFormat/>
    <w:uiPriority w:val="0"/>
    <w:pPr>
      <w:numPr>
        <w:ilvl w:val="1"/>
        <w:numId w:val="1"/>
      </w:numPr>
      <w:spacing w:before="100" w:beforeLines="100" w:after="100" w:afterLines="100"/>
      <w:jc w:val="both"/>
      <w:outlineLvl w:val="0"/>
    </w:pPr>
    <w:rPr>
      <w:rFonts w:ascii="黑体" w:hAnsi="Times New Roman" w:eastAsia="黑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5252</Words>
  <Characters>5367</Characters>
  <Lines>0</Lines>
  <Paragraphs>0</Paragraphs>
  <TotalTime>18</TotalTime>
  <ScaleCrop>false</ScaleCrop>
  <LinksUpToDate>false</LinksUpToDate>
  <CharactersWithSpaces>5522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2025-03-28T02:37:00Z</dcterms:created>
  <dc:creator>Administrator</dc:creator>
  <cp:lastModifiedBy>56789</cp:lastModifiedBy>
  <cp:lastPrinted>2026-04-07T08:18:00Z</cp:lastPrinted>
  <dcterms:modified xsi:type="dcterms:W3CDTF">2026-04-29T08:37:01Z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0949416CF09542359E8FA771975A4C63_11</vt:lpwstr>
  </property>
  <property fmtid="{D5CDD505-2E9C-101B-9397-08002B2CF9AE}" pid="4" name="KSOTemplateDocerSaveRecord">
    <vt:lpwstr>eyJoZGlkIjoiOGExNDllNjNlN2JmNTliYzJhZDczNGI2YzczM2M4ZTgiLCJ1c2VySWQiOiI0NjA3NjM4NDUifQ==</vt:lpwstr>
  </property>
</Properties>
</file>