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C9B7A1">
      <w:pPr>
        <w:rPr>
          <w:rFonts w:ascii="仿宋_GB2312" w:hAnsi="仿宋_GB2312" w:eastAsia="仿宋_GB2312" w:cs="仿宋_GB2312"/>
          <w:color w:val="auto"/>
          <w:sz w:val="36"/>
          <w:szCs w:val="36"/>
        </w:rPr>
      </w:pPr>
    </w:p>
    <w:p w14:paraId="46F403A1">
      <w:pPr>
        <w:rPr>
          <w:rFonts w:ascii="仿宋_GB2312" w:hAnsi="仿宋_GB2312" w:eastAsia="仿宋_GB2312" w:cs="仿宋_GB2312"/>
          <w:color w:val="auto"/>
          <w:sz w:val="36"/>
          <w:szCs w:val="36"/>
        </w:rPr>
      </w:pPr>
    </w:p>
    <w:p w14:paraId="45118689">
      <w:pPr>
        <w:keepNext w:val="0"/>
        <w:keepLines w:val="0"/>
        <w:pageBreakBefore w:val="0"/>
        <w:widowControl w:val="0"/>
        <w:kinsoku/>
        <w:wordWrap/>
        <w:overflowPunct/>
        <w:topLinePunct w:val="0"/>
        <w:autoSpaceDE/>
        <w:autoSpaceDN/>
        <w:bidi w:val="0"/>
        <w:textAlignment w:val="auto"/>
        <w:outlineLvl w:val="9"/>
        <w:rPr>
          <w:rFonts w:ascii="仿宋_GB2312" w:hAnsi="仿宋_GB2312" w:eastAsia="仿宋_GB2312" w:cs="仿宋_GB2312"/>
          <w:color w:val="auto"/>
          <w:sz w:val="36"/>
          <w:szCs w:val="36"/>
        </w:rPr>
      </w:pPr>
    </w:p>
    <w:p w14:paraId="50C7CE54">
      <w:pPr>
        <w:keepNext w:val="0"/>
        <w:keepLines w:val="0"/>
        <w:pageBreakBefore w:val="0"/>
        <w:widowControl w:val="0"/>
        <w:kinsoku/>
        <w:wordWrap/>
        <w:overflowPunct/>
        <w:topLinePunct w:val="0"/>
        <w:autoSpaceDE/>
        <w:autoSpaceDN/>
        <w:bidi w:val="0"/>
        <w:textAlignment w:val="auto"/>
        <w:outlineLvl w:val="9"/>
        <w:rPr>
          <w:rFonts w:ascii="仿宋_GB2312" w:hAnsi="仿宋_GB2312" w:eastAsia="仿宋_GB2312" w:cs="仿宋_GB2312"/>
          <w:color w:val="auto"/>
          <w:sz w:val="36"/>
          <w:szCs w:val="36"/>
        </w:rPr>
      </w:pPr>
    </w:p>
    <w:p w14:paraId="792E31EC">
      <w:pPr>
        <w:keepNext w:val="0"/>
        <w:keepLines w:val="0"/>
        <w:pageBreakBefore w:val="0"/>
        <w:widowControl w:val="0"/>
        <w:kinsoku/>
        <w:wordWrap/>
        <w:overflowPunct/>
        <w:topLinePunct w:val="0"/>
        <w:autoSpaceDE/>
        <w:autoSpaceDN/>
        <w:bidi w:val="0"/>
        <w:textAlignment w:val="auto"/>
        <w:outlineLvl w:val="9"/>
        <w:rPr>
          <w:rFonts w:hint="eastAsia" w:ascii="仿宋_GB2312" w:hAnsi="仿宋_GB2312" w:eastAsia="仿宋_GB2312" w:cs="仿宋_GB2312"/>
          <w:color w:val="auto"/>
          <w:sz w:val="36"/>
          <w:szCs w:val="36"/>
        </w:rPr>
      </w:pPr>
    </w:p>
    <w:p w14:paraId="5122DA64">
      <w:pPr>
        <w:keepNext w:val="0"/>
        <w:keepLines w:val="0"/>
        <w:pageBreakBefore w:val="0"/>
        <w:widowControl w:val="0"/>
        <w:kinsoku/>
        <w:wordWrap/>
        <w:overflowPunct/>
        <w:topLinePunct w:val="0"/>
        <w:autoSpaceDE/>
        <w:autoSpaceDN/>
        <w:bidi w:val="0"/>
        <w:adjustRightInd w:val="0"/>
        <w:snapToGrid w:val="0"/>
        <w:jc w:val="center"/>
        <w:textAlignment w:val="auto"/>
        <w:outlineLvl w:val="9"/>
        <w:rPr>
          <w:rFonts w:hint="eastAsia" w:ascii="方正小标宋_GBK" w:eastAsia="方正小标宋_GBK"/>
          <w:bCs/>
          <w:color w:val="auto"/>
          <w:sz w:val="72"/>
          <w:szCs w:val="72"/>
        </w:rPr>
      </w:pPr>
      <w:r>
        <w:rPr>
          <w:rFonts w:hint="eastAsia" w:ascii="方正小标宋_GBK" w:eastAsia="方正小标宋_GBK"/>
          <w:bCs/>
          <w:color w:val="auto"/>
          <w:sz w:val="72"/>
          <w:szCs w:val="72"/>
        </w:rPr>
        <w:t>建设项目环境影响报告表</w:t>
      </w:r>
    </w:p>
    <w:p w14:paraId="55DFBD86">
      <w:pPr>
        <w:keepNext w:val="0"/>
        <w:keepLines w:val="0"/>
        <w:pageBreakBefore w:val="0"/>
        <w:widowControl w:val="0"/>
        <w:kinsoku/>
        <w:wordWrap/>
        <w:overflowPunct/>
        <w:topLinePunct w:val="0"/>
        <w:autoSpaceDE/>
        <w:autoSpaceDN/>
        <w:bidi w:val="0"/>
        <w:adjustRightInd w:val="0"/>
        <w:snapToGrid w:val="0"/>
        <w:spacing w:before="192" w:beforeLines="80"/>
        <w:jc w:val="center"/>
        <w:textAlignment w:val="auto"/>
        <w:outlineLvl w:val="9"/>
        <w:rPr>
          <w:rFonts w:hint="eastAsia" w:ascii="楷体_GB2312" w:eastAsia="楷体_GB2312"/>
          <w:bCs/>
          <w:color w:val="auto"/>
          <w:sz w:val="48"/>
          <w:szCs w:val="48"/>
        </w:rPr>
      </w:pPr>
      <w:r>
        <w:rPr>
          <w:rFonts w:hint="eastAsia" w:ascii="楷体_GB2312" w:eastAsia="楷体_GB2312"/>
          <w:bCs/>
          <w:color w:val="auto"/>
          <w:sz w:val="48"/>
          <w:szCs w:val="48"/>
        </w:rPr>
        <w:t>（污染影响类）</w:t>
      </w:r>
    </w:p>
    <w:p w14:paraId="1E3DFB81">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outlineLvl w:val="9"/>
        <w:rPr>
          <w:rFonts w:ascii="华文仿宋" w:hAnsi="华文仿宋" w:eastAsia="华文仿宋" w:cs="华文仿宋"/>
          <w:color w:val="auto"/>
          <w:kern w:val="44"/>
          <w:sz w:val="44"/>
          <w:szCs w:val="44"/>
        </w:rPr>
      </w:pPr>
    </w:p>
    <w:p w14:paraId="76D4297B">
      <w:pPr>
        <w:keepNext w:val="0"/>
        <w:keepLines w:val="0"/>
        <w:pageBreakBefore w:val="0"/>
        <w:widowControl w:val="0"/>
        <w:kinsoku/>
        <w:wordWrap/>
        <w:overflowPunct/>
        <w:topLinePunct w:val="0"/>
        <w:autoSpaceDE/>
        <w:autoSpaceDN/>
        <w:bidi w:val="0"/>
        <w:jc w:val="center"/>
        <w:textAlignment w:val="auto"/>
        <w:outlineLvl w:val="9"/>
        <w:rPr>
          <w:rFonts w:eastAsia="仿宋"/>
          <w:color w:val="auto"/>
          <w:sz w:val="52"/>
          <w:szCs w:val="52"/>
        </w:rPr>
      </w:pPr>
    </w:p>
    <w:p w14:paraId="30A045DF">
      <w:pPr>
        <w:keepNext w:val="0"/>
        <w:keepLines w:val="0"/>
        <w:pageBreakBefore w:val="0"/>
        <w:widowControl w:val="0"/>
        <w:kinsoku/>
        <w:wordWrap/>
        <w:overflowPunct/>
        <w:topLinePunct w:val="0"/>
        <w:autoSpaceDE/>
        <w:autoSpaceDN/>
        <w:bidi w:val="0"/>
        <w:ind w:firstLine="1040"/>
        <w:textAlignment w:val="auto"/>
        <w:outlineLvl w:val="9"/>
        <w:rPr>
          <w:rFonts w:eastAsia="仿宋"/>
          <w:color w:val="auto"/>
          <w:sz w:val="44"/>
          <w:szCs w:val="44"/>
        </w:rPr>
      </w:pPr>
    </w:p>
    <w:p w14:paraId="2912578C">
      <w:pPr>
        <w:keepNext w:val="0"/>
        <w:keepLines w:val="0"/>
        <w:pageBreakBefore w:val="0"/>
        <w:widowControl w:val="0"/>
        <w:kinsoku/>
        <w:wordWrap/>
        <w:overflowPunct/>
        <w:topLinePunct w:val="0"/>
        <w:autoSpaceDE/>
        <w:autoSpaceDN/>
        <w:bidi w:val="0"/>
        <w:ind w:firstLine="1040"/>
        <w:textAlignment w:val="auto"/>
        <w:outlineLvl w:val="9"/>
        <w:rPr>
          <w:rFonts w:eastAsia="仿宋"/>
          <w:color w:val="auto"/>
          <w:sz w:val="44"/>
          <w:szCs w:val="44"/>
        </w:rPr>
      </w:pPr>
    </w:p>
    <w:p w14:paraId="0694DB55">
      <w:pPr>
        <w:keepNext w:val="0"/>
        <w:keepLines w:val="0"/>
        <w:pageBreakBefore w:val="0"/>
        <w:widowControl w:val="0"/>
        <w:kinsoku/>
        <w:wordWrap/>
        <w:overflowPunct/>
        <w:topLinePunct w:val="0"/>
        <w:autoSpaceDE/>
        <w:autoSpaceDN/>
        <w:bidi w:val="0"/>
        <w:ind w:firstLine="1040"/>
        <w:textAlignment w:val="auto"/>
        <w:outlineLvl w:val="9"/>
        <w:rPr>
          <w:rFonts w:eastAsia="仿宋"/>
          <w:color w:val="auto"/>
          <w:sz w:val="44"/>
          <w:szCs w:val="44"/>
        </w:rPr>
      </w:pPr>
    </w:p>
    <w:p w14:paraId="7C119681">
      <w:pPr>
        <w:keepNext w:val="0"/>
        <w:keepLines w:val="0"/>
        <w:pageBreakBefore w:val="0"/>
        <w:widowControl w:val="0"/>
        <w:kinsoku/>
        <w:wordWrap/>
        <w:overflowPunct/>
        <w:topLinePunct w:val="0"/>
        <w:autoSpaceDE/>
        <w:autoSpaceDN/>
        <w:bidi w:val="0"/>
        <w:ind w:firstLine="1040"/>
        <w:textAlignment w:val="auto"/>
        <w:outlineLvl w:val="9"/>
        <w:rPr>
          <w:rFonts w:eastAsia="仿宋"/>
          <w:color w:val="auto"/>
          <w:sz w:val="32"/>
          <w:szCs w:val="32"/>
        </w:rPr>
      </w:pPr>
    </w:p>
    <w:p w14:paraId="2DC1A1A6">
      <w:pPr>
        <w:keepNext w:val="0"/>
        <w:keepLines w:val="0"/>
        <w:pageBreakBefore w:val="0"/>
        <w:widowControl w:val="0"/>
        <w:kinsoku/>
        <w:wordWrap/>
        <w:overflowPunct/>
        <w:topLinePunct w:val="0"/>
        <w:autoSpaceDE/>
        <w:autoSpaceDN/>
        <w:bidi w:val="0"/>
        <w:adjustRightInd w:val="0"/>
        <w:snapToGrid w:val="0"/>
        <w:spacing w:line="360" w:lineRule="auto"/>
        <w:ind w:firstLine="1037"/>
        <w:textAlignment w:val="auto"/>
        <w:outlineLvl w:val="9"/>
        <w:rPr>
          <w:rFonts w:hint="eastAsia" w:ascii="仿宋_GB2312" w:eastAsia="仿宋_GB2312"/>
          <w:color w:val="auto"/>
          <w:sz w:val="32"/>
          <w:szCs w:val="32"/>
          <w:u w:val="single"/>
        </w:rPr>
      </w:pPr>
      <w:r>
        <w:rPr>
          <w:rFonts w:hint="eastAsia" w:ascii="仿宋_GB2312" w:eastAsia="仿宋_GB2312"/>
          <w:color w:val="auto"/>
          <w:sz w:val="32"/>
          <w:szCs w:val="32"/>
        </w:rPr>
        <w:t xml:space="preserve">项目名称： </w:t>
      </w:r>
      <w:r>
        <w:rPr>
          <w:rFonts w:hint="eastAsia" w:ascii="仿宋_GB2312" w:eastAsia="仿宋_GB2312"/>
          <w:color w:val="auto"/>
          <w:sz w:val="32"/>
          <w:szCs w:val="32"/>
          <w:u w:val="single"/>
        </w:rPr>
        <w:t xml:space="preserve"> </w:t>
      </w:r>
      <w:r>
        <w:rPr>
          <w:rFonts w:hint="eastAsia" w:ascii="仿宋_GB2312" w:eastAsia="仿宋_GB2312"/>
          <w:color w:val="auto"/>
          <w:sz w:val="32"/>
          <w:szCs w:val="32"/>
          <w:u w:val="single"/>
          <w:lang w:val="en-US" w:eastAsia="zh-CN"/>
        </w:rPr>
        <w:t xml:space="preserve">   </w:t>
      </w:r>
      <w:r>
        <w:rPr>
          <w:rFonts w:hint="eastAsia" w:ascii="仿宋_GB2312" w:eastAsia="仿宋_GB2312"/>
          <w:color w:val="auto"/>
          <w:sz w:val="32"/>
          <w:szCs w:val="32"/>
          <w:u w:val="single"/>
          <w:lang w:eastAsia="zh-CN"/>
        </w:rPr>
        <w:t>东至长江路加油站项目</w:t>
      </w:r>
      <w:r>
        <w:rPr>
          <w:rFonts w:hint="eastAsia" w:ascii="仿宋_GB2312" w:eastAsia="仿宋_GB2312"/>
          <w:color w:val="auto"/>
          <w:sz w:val="32"/>
          <w:szCs w:val="32"/>
          <w:u w:val="single"/>
          <w:lang w:val="en-US" w:eastAsia="zh-CN"/>
        </w:rPr>
        <w:t xml:space="preserve">     </w:t>
      </w:r>
      <w:r>
        <w:rPr>
          <w:rFonts w:hint="eastAsia" w:ascii="仿宋_GB2312" w:eastAsia="仿宋_GB2312"/>
          <w:color w:val="auto"/>
          <w:sz w:val="32"/>
          <w:szCs w:val="32"/>
          <w:u w:val="single"/>
        </w:rPr>
        <w:t xml:space="preserve"> </w:t>
      </w:r>
    </w:p>
    <w:p w14:paraId="2902FE33">
      <w:pPr>
        <w:keepNext w:val="0"/>
        <w:keepLines w:val="0"/>
        <w:pageBreakBefore w:val="0"/>
        <w:widowControl w:val="0"/>
        <w:kinsoku/>
        <w:wordWrap/>
        <w:overflowPunct/>
        <w:topLinePunct w:val="0"/>
        <w:autoSpaceDE/>
        <w:autoSpaceDN/>
        <w:bidi w:val="0"/>
        <w:adjustRightInd w:val="0"/>
        <w:snapToGrid w:val="0"/>
        <w:spacing w:line="360" w:lineRule="auto"/>
        <w:ind w:firstLine="1037"/>
        <w:textAlignment w:val="auto"/>
        <w:outlineLvl w:val="9"/>
        <w:rPr>
          <w:rFonts w:hint="default" w:ascii="仿宋_GB2312" w:eastAsia="仿宋_GB2312"/>
          <w:color w:val="auto"/>
          <w:sz w:val="32"/>
          <w:szCs w:val="32"/>
          <w:u w:val="single"/>
          <w:lang w:val="en-US"/>
        </w:rPr>
      </w:pPr>
      <w:r>
        <w:rPr>
          <w:rFonts w:hint="eastAsia" w:ascii="仿宋_GB2312" w:eastAsia="仿宋_GB2312"/>
          <w:color w:val="auto"/>
          <w:sz w:val="32"/>
          <w:szCs w:val="32"/>
        </w:rPr>
        <w:t>建设单位（盖章）：</w:t>
      </w:r>
      <w:r>
        <w:rPr>
          <w:rFonts w:hint="eastAsia" w:ascii="仿宋_GB2312" w:eastAsia="仿宋_GB2312"/>
          <w:color w:val="auto"/>
          <w:sz w:val="32"/>
          <w:szCs w:val="32"/>
          <w:u w:val="single"/>
          <w:lang w:eastAsia="zh-CN"/>
        </w:rPr>
        <w:t>东至安东赛瑞文旅开发有限公司</w:t>
      </w:r>
      <w:r>
        <w:rPr>
          <w:rFonts w:hint="eastAsia" w:ascii="仿宋_GB2312" w:eastAsia="仿宋_GB2312"/>
          <w:color w:val="auto"/>
          <w:sz w:val="32"/>
          <w:szCs w:val="32"/>
          <w:u w:val="single"/>
          <w:lang w:val="en-US" w:eastAsia="zh-CN"/>
        </w:rPr>
        <w:t xml:space="preserve"> </w:t>
      </w:r>
    </w:p>
    <w:p w14:paraId="527E4C74">
      <w:pPr>
        <w:keepNext w:val="0"/>
        <w:keepLines w:val="0"/>
        <w:pageBreakBefore w:val="0"/>
        <w:widowControl w:val="0"/>
        <w:kinsoku/>
        <w:wordWrap/>
        <w:overflowPunct/>
        <w:topLinePunct w:val="0"/>
        <w:autoSpaceDE/>
        <w:autoSpaceDN/>
        <w:bidi w:val="0"/>
        <w:adjustRightInd w:val="0"/>
        <w:snapToGrid w:val="0"/>
        <w:spacing w:line="360" w:lineRule="auto"/>
        <w:ind w:firstLine="1040"/>
        <w:textAlignment w:val="auto"/>
        <w:outlineLvl w:val="9"/>
        <w:rPr>
          <w:rFonts w:hint="eastAsia" w:ascii="仿宋_GB2312" w:eastAsia="仿宋_GB2312"/>
          <w:color w:val="auto"/>
          <w:sz w:val="32"/>
          <w:szCs w:val="32"/>
          <w:u w:val="single"/>
        </w:rPr>
      </w:pPr>
      <w:r>
        <w:rPr>
          <w:rFonts w:hint="eastAsia" w:ascii="仿宋_GB2312" w:eastAsia="仿宋_GB2312"/>
          <w:color w:val="auto"/>
          <w:sz w:val="32"/>
          <w:szCs w:val="32"/>
        </w:rPr>
        <w:t>编制日期：</w:t>
      </w:r>
      <w:r>
        <w:rPr>
          <w:rFonts w:hint="eastAsia" w:ascii="仿宋_GB2312" w:eastAsia="仿宋_GB2312"/>
          <w:color w:val="auto"/>
          <w:sz w:val="32"/>
          <w:szCs w:val="32"/>
          <w:u w:val="single"/>
        </w:rPr>
        <w:t xml:space="preserve"> </w:t>
      </w:r>
      <w:r>
        <w:rPr>
          <w:rFonts w:ascii="仿宋_GB2312" w:eastAsia="仿宋_GB2312"/>
          <w:color w:val="auto"/>
          <w:sz w:val="32"/>
          <w:szCs w:val="32"/>
          <w:u w:val="single"/>
        </w:rPr>
        <w:t xml:space="preserve">   </w:t>
      </w:r>
      <w:r>
        <w:rPr>
          <w:rFonts w:hint="eastAsia" w:ascii="仿宋_GB2312" w:eastAsia="仿宋_GB2312"/>
          <w:color w:val="auto"/>
          <w:sz w:val="32"/>
          <w:szCs w:val="32"/>
          <w:u w:val="single"/>
          <w:lang w:val="en-US" w:eastAsia="zh-CN"/>
        </w:rPr>
        <w:t xml:space="preserve">     </w:t>
      </w:r>
      <w:r>
        <w:rPr>
          <w:rFonts w:ascii="仿宋_GB2312" w:eastAsia="仿宋_GB2312"/>
          <w:color w:val="auto"/>
          <w:sz w:val="32"/>
          <w:szCs w:val="32"/>
          <w:u w:val="single"/>
        </w:rPr>
        <w:t xml:space="preserve">  </w:t>
      </w:r>
      <w:r>
        <w:rPr>
          <w:rFonts w:hint="eastAsia" w:ascii="仿宋_GB2312" w:eastAsia="仿宋_GB2312"/>
          <w:color w:val="auto"/>
          <w:sz w:val="32"/>
          <w:szCs w:val="32"/>
          <w:u w:val="single"/>
          <w:lang w:val="en-US" w:eastAsia="zh-CN"/>
        </w:rPr>
        <w:t>2026年4月</w:t>
      </w:r>
      <w:r>
        <w:rPr>
          <w:rFonts w:ascii="仿宋_GB2312" w:eastAsia="仿宋_GB2312"/>
          <w:color w:val="auto"/>
          <w:sz w:val="32"/>
          <w:szCs w:val="32"/>
          <w:u w:val="single"/>
        </w:rPr>
        <w:t xml:space="preserve">           </w:t>
      </w:r>
      <w:r>
        <w:rPr>
          <w:rFonts w:hint="eastAsia" w:ascii="仿宋_GB2312" w:eastAsia="仿宋_GB2312"/>
          <w:color w:val="auto"/>
          <w:sz w:val="32"/>
          <w:szCs w:val="32"/>
          <w:u w:val="single"/>
        </w:rPr>
        <w:t xml:space="preserve"> </w:t>
      </w:r>
    </w:p>
    <w:p w14:paraId="7F634A01">
      <w:pPr>
        <w:keepNext w:val="0"/>
        <w:keepLines w:val="0"/>
        <w:pageBreakBefore w:val="0"/>
        <w:widowControl w:val="0"/>
        <w:kinsoku/>
        <w:wordWrap/>
        <w:overflowPunct/>
        <w:topLinePunct w:val="0"/>
        <w:autoSpaceDE/>
        <w:autoSpaceDN/>
        <w:bidi w:val="0"/>
        <w:adjustRightInd w:val="0"/>
        <w:snapToGrid w:val="0"/>
        <w:spacing w:line="288" w:lineRule="auto"/>
        <w:ind w:firstLine="1040"/>
        <w:textAlignment w:val="auto"/>
        <w:outlineLvl w:val="9"/>
        <w:rPr>
          <w:rFonts w:ascii="仿宋_GB2312" w:eastAsia="仿宋_GB2312"/>
          <w:color w:val="auto"/>
          <w:sz w:val="32"/>
          <w:szCs w:val="32"/>
          <w:u w:val="single"/>
        </w:rPr>
      </w:pPr>
      <w:bookmarkStart w:id="0" w:name="_Hlk57884087"/>
    </w:p>
    <w:p w14:paraId="15114339">
      <w:pPr>
        <w:keepNext w:val="0"/>
        <w:keepLines w:val="0"/>
        <w:pageBreakBefore w:val="0"/>
        <w:widowControl w:val="0"/>
        <w:kinsoku/>
        <w:wordWrap/>
        <w:overflowPunct/>
        <w:topLinePunct w:val="0"/>
        <w:autoSpaceDE/>
        <w:autoSpaceDN/>
        <w:bidi w:val="0"/>
        <w:adjustRightInd w:val="0"/>
        <w:snapToGrid w:val="0"/>
        <w:spacing w:line="288" w:lineRule="auto"/>
        <w:ind w:firstLine="1040"/>
        <w:textAlignment w:val="auto"/>
        <w:outlineLvl w:val="9"/>
        <w:rPr>
          <w:rFonts w:ascii="仿宋_GB2312" w:eastAsia="仿宋_GB2312"/>
          <w:color w:val="auto"/>
          <w:sz w:val="36"/>
          <w:szCs w:val="36"/>
        </w:rPr>
      </w:pPr>
    </w:p>
    <w:p w14:paraId="67C0F11D">
      <w:pPr>
        <w:keepNext w:val="0"/>
        <w:keepLines w:val="0"/>
        <w:pageBreakBefore w:val="0"/>
        <w:widowControl w:val="0"/>
        <w:kinsoku/>
        <w:wordWrap/>
        <w:overflowPunct/>
        <w:topLinePunct w:val="0"/>
        <w:autoSpaceDE/>
        <w:autoSpaceDN/>
        <w:bidi w:val="0"/>
        <w:adjustRightInd w:val="0"/>
        <w:snapToGrid w:val="0"/>
        <w:spacing w:line="288" w:lineRule="auto"/>
        <w:ind w:firstLine="1040"/>
        <w:textAlignment w:val="auto"/>
        <w:outlineLvl w:val="9"/>
        <w:rPr>
          <w:rFonts w:ascii="仿宋_GB2312" w:eastAsia="仿宋_GB2312"/>
          <w:color w:val="auto"/>
          <w:sz w:val="36"/>
          <w:szCs w:val="36"/>
        </w:rPr>
      </w:pPr>
    </w:p>
    <w:p w14:paraId="03BD4A2F">
      <w:pPr>
        <w:keepNext w:val="0"/>
        <w:keepLines w:val="0"/>
        <w:pageBreakBefore w:val="0"/>
        <w:widowControl w:val="0"/>
        <w:kinsoku/>
        <w:wordWrap/>
        <w:overflowPunct/>
        <w:topLinePunct w:val="0"/>
        <w:autoSpaceDE/>
        <w:autoSpaceDN/>
        <w:bidi w:val="0"/>
        <w:adjustRightInd w:val="0"/>
        <w:snapToGrid w:val="0"/>
        <w:spacing w:line="288" w:lineRule="auto"/>
        <w:ind w:firstLine="1040"/>
        <w:textAlignment w:val="auto"/>
        <w:outlineLvl w:val="9"/>
        <w:rPr>
          <w:rFonts w:hint="eastAsia" w:ascii="仿宋_GB2312" w:eastAsia="仿宋_GB2312"/>
          <w:color w:val="auto"/>
          <w:sz w:val="36"/>
          <w:szCs w:val="36"/>
        </w:rPr>
      </w:pPr>
    </w:p>
    <w:p w14:paraId="5524EC63">
      <w:pPr>
        <w:keepNext w:val="0"/>
        <w:keepLines w:val="0"/>
        <w:pageBreakBefore w:val="0"/>
        <w:widowControl w:val="0"/>
        <w:kinsoku/>
        <w:wordWrap/>
        <w:overflowPunct/>
        <w:topLinePunct w:val="0"/>
        <w:autoSpaceDE/>
        <w:autoSpaceDN/>
        <w:bidi w:val="0"/>
        <w:adjustRightInd w:val="0"/>
        <w:snapToGrid w:val="0"/>
        <w:spacing w:line="288" w:lineRule="auto"/>
        <w:ind w:firstLine="1040"/>
        <w:textAlignment w:val="auto"/>
        <w:outlineLvl w:val="9"/>
        <w:rPr>
          <w:rFonts w:hint="eastAsia" w:ascii="仿宋_GB2312" w:eastAsia="仿宋_GB2312"/>
          <w:color w:val="auto"/>
          <w:sz w:val="36"/>
          <w:szCs w:val="36"/>
        </w:rPr>
      </w:pPr>
    </w:p>
    <w:bookmarkEnd w:id="0"/>
    <w:p w14:paraId="621ADEB0">
      <w:pPr>
        <w:keepNext w:val="0"/>
        <w:keepLines w:val="0"/>
        <w:pageBreakBefore w:val="0"/>
        <w:widowControl w:val="0"/>
        <w:kinsoku/>
        <w:wordWrap/>
        <w:overflowPunct/>
        <w:topLinePunct w:val="0"/>
        <w:autoSpaceDE/>
        <w:autoSpaceDN/>
        <w:bidi w:val="0"/>
        <w:adjustRightInd w:val="0"/>
        <w:snapToGrid w:val="0"/>
        <w:spacing w:line="288" w:lineRule="auto"/>
        <w:jc w:val="center"/>
        <w:textAlignment w:val="auto"/>
        <w:outlineLvl w:val="9"/>
        <w:rPr>
          <w:rFonts w:hint="eastAsia" w:ascii="楷体_GB2312" w:eastAsia="楷体_GB2312"/>
          <w:color w:val="auto"/>
          <w:sz w:val="36"/>
          <w:szCs w:val="36"/>
        </w:rPr>
      </w:pPr>
      <w:r>
        <w:rPr>
          <w:rFonts w:hint="eastAsia" w:ascii="楷体_GB2312" w:eastAsia="楷体_GB2312"/>
          <w:color w:val="auto"/>
          <w:sz w:val="36"/>
          <w:szCs w:val="36"/>
        </w:rPr>
        <w:t>中华人民共和国生态环境部制</w:t>
      </w:r>
    </w:p>
    <w:p w14:paraId="671CFEF7">
      <w:pPr>
        <w:keepNext w:val="0"/>
        <w:keepLines w:val="0"/>
        <w:pageBreakBefore w:val="0"/>
        <w:widowControl w:val="0"/>
        <w:kinsoku/>
        <w:wordWrap/>
        <w:overflowPunct/>
        <w:topLinePunct w:val="0"/>
        <w:autoSpaceDE/>
        <w:autoSpaceDN/>
        <w:bidi w:val="0"/>
        <w:adjustRightInd w:val="0"/>
        <w:snapToGrid w:val="0"/>
        <w:spacing w:line="288" w:lineRule="auto"/>
        <w:ind w:firstLine="1040"/>
        <w:textAlignment w:val="auto"/>
        <w:outlineLvl w:val="9"/>
        <w:rPr>
          <w:rFonts w:ascii="仿宋_GB2312" w:eastAsia="仿宋_GB2312"/>
          <w:color w:val="auto"/>
          <w:sz w:val="36"/>
          <w:szCs w:val="36"/>
        </w:rPr>
        <w:sectPr>
          <w:footerReference r:id="rId3" w:type="default"/>
          <w:footerReference r:id="rId4" w:type="even"/>
          <w:pgSz w:w="11906" w:h="16838"/>
          <w:pgMar w:top="1701" w:right="1531" w:bottom="1701" w:left="1531" w:header="851" w:footer="1077" w:gutter="0"/>
          <w:pgBorders>
            <w:top w:val="none" w:sz="0" w:space="0"/>
            <w:left w:val="none" w:sz="0" w:space="0"/>
            <w:bottom w:val="none" w:sz="0" w:space="0"/>
            <w:right w:val="none" w:sz="0" w:space="0"/>
          </w:pgBorders>
          <w:pgNumType w:fmt="decimal" w:start="3"/>
          <w:cols w:space="720" w:num="1"/>
          <w:docGrid w:linePitch="312" w:charSpace="0"/>
        </w:sectPr>
      </w:pPr>
    </w:p>
    <w:sdt>
      <w:sdtPr>
        <w:rPr>
          <w:rFonts w:hint="eastAsia" w:ascii="黑体" w:hAnsi="黑体" w:eastAsia="黑体" w:cs="黑体"/>
          <w:b/>
          <w:bCs/>
          <w:color w:val="auto"/>
          <w:kern w:val="2"/>
          <w:sz w:val="44"/>
          <w:szCs w:val="44"/>
          <w:lang w:val="en-US" w:eastAsia="zh-CN" w:bidi="ar-SA"/>
        </w:rPr>
        <w:id w:val="147464537"/>
        <w15:color w:val="DBDBDB"/>
        <w:docPartObj>
          <w:docPartGallery w:val="Table of Contents"/>
          <w:docPartUnique/>
        </w:docPartObj>
      </w:sdtPr>
      <w:sdtEndPr>
        <w:rPr>
          <w:rFonts w:hint="eastAsia" w:ascii="黑体" w:hAnsi="黑体" w:eastAsia="黑体" w:cs="黑体"/>
          <w:b/>
          <w:bCs/>
          <w:color w:val="auto"/>
          <w:kern w:val="2"/>
          <w:sz w:val="44"/>
          <w:szCs w:val="44"/>
          <w:lang w:val="en-US" w:eastAsia="zh-CN" w:bidi="ar-SA"/>
        </w:rPr>
      </w:sdtEndPr>
      <w:sdtContent>
        <w:p w14:paraId="083298B4">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eastAsia" w:ascii="仿宋_GB2312" w:hAnsi="仿宋_GB2312" w:eastAsia="仿宋_GB2312" w:cs="仿宋_GB2312"/>
              <w:b/>
              <w:bCs/>
              <w:color w:val="auto"/>
              <w:sz w:val="44"/>
              <w:szCs w:val="44"/>
            </w:rPr>
          </w:pPr>
          <w:r>
            <w:rPr>
              <w:rFonts w:hint="eastAsia" w:ascii="仿宋_GB2312" w:hAnsi="仿宋_GB2312" w:eastAsia="仿宋_GB2312" w:cs="仿宋_GB2312"/>
              <w:b/>
              <w:bCs/>
              <w:color w:val="auto"/>
              <w:sz w:val="44"/>
              <w:szCs w:val="44"/>
            </w:rPr>
            <w:t>目</w:t>
          </w:r>
          <w:r>
            <w:rPr>
              <w:rFonts w:hint="eastAsia" w:ascii="仿宋_GB2312" w:hAnsi="仿宋_GB2312" w:eastAsia="仿宋_GB2312" w:cs="仿宋_GB2312"/>
              <w:b/>
              <w:bCs/>
              <w:color w:val="auto"/>
              <w:sz w:val="44"/>
              <w:szCs w:val="44"/>
              <w:lang w:val="en-US" w:eastAsia="zh-CN"/>
            </w:rPr>
            <w:t xml:space="preserve">   </w:t>
          </w:r>
          <w:r>
            <w:rPr>
              <w:rFonts w:hint="eastAsia" w:ascii="仿宋_GB2312" w:hAnsi="仿宋_GB2312" w:eastAsia="仿宋_GB2312" w:cs="仿宋_GB2312"/>
              <w:b/>
              <w:bCs/>
              <w:color w:val="auto"/>
              <w:sz w:val="44"/>
              <w:szCs w:val="44"/>
            </w:rPr>
            <w:t>录</w:t>
          </w:r>
        </w:p>
        <w:p w14:paraId="426817CC">
          <w:pPr>
            <w:pStyle w:val="1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TOC \o "1-1" \h \u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\l _Toc1976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snapToGrid w:val="0"/>
              <w:color w:val="auto"/>
              <w:szCs w:val="30"/>
            </w:rPr>
            <w:t>一、建设项目基本情况</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_Toc1976 \h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1</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2C80BBB9">
          <w:pPr>
            <w:pStyle w:val="1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\l _Toc24632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snapToGrid w:val="0"/>
              <w:color w:val="auto"/>
              <w:szCs w:val="30"/>
            </w:rPr>
            <w:t>二、建设项目工程分析</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_Toc24632 \h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17</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559C9A6A">
          <w:pPr>
            <w:pStyle w:val="1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\l _Toc29493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snapToGrid w:val="0"/>
              <w:color w:val="auto"/>
              <w:szCs w:val="30"/>
            </w:rPr>
            <w:t>三、区域环境质量现状、环境保护目标及评价标准</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_Toc29493 \h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34</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559E1A98">
          <w:pPr>
            <w:pStyle w:val="1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\l _Toc9015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snapToGrid w:val="0"/>
              <w:color w:val="auto"/>
              <w:szCs w:val="30"/>
            </w:rPr>
            <w:t>四、主要环境影响和保护措施</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_Toc9015 \h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41</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31C15E60">
          <w:pPr>
            <w:pStyle w:val="1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\l _Toc23797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snapToGrid w:val="0"/>
              <w:color w:val="auto"/>
              <w:szCs w:val="30"/>
            </w:rPr>
            <w:t>五、环境保护措施监督检查清单</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_Toc23797 \h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69</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32A43CF3">
          <w:pPr>
            <w:pStyle w:val="1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\l _Toc1119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snapToGrid w:val="0"/>
              <w:color w:val="auto"/>
              <w:szCs w:val="30"/>
            </w:rPr>
            <w:t>六、结论</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_Toc1119 \h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70</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2E921D23">
          <w:pPr>
            <w:pStyle w:val="16"/>
            <w:keepNext w:val="0"/>
            <w:keepLines w:val="0"/>
            <w:pageBreakBefore w:val="0"/>
            <w:widowControl w:val="0"/>
            <w:tabs>
              <w:tab w:val="right" w:leader="dot" w:pos="8844"/>
            </w:tabs>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HYPERLINK \l _Toc14947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snapToGrid w:val="0"/>
              <w:color w:val="auto"/>
              <w:szCs w:val="32"/>
            </w:rPr>
            <w:t>附表</w:t>
          </w:r>
          <w:r>
            <w:rPr>
              <w:rFonts w:hint="eastAsia" w:ascii="仿宋_GB2312" w:hAnsi="仿宋_GB2312" w:eastAsia="仿宋_GB2312" w:cs="仿宋_GB2312"/>
              <w:color w:val="auto"/>
            </w:rPr>
            <w:tab/>
          </w:r>
          <w:r>
            <w:rPr>
              <w:rFonts w:hint="eastAsia" w:ascii="仿宋_GB2312" w:hAnsi="仿宋_GB2312" w:eastAsia="仿宋_GB2312" w:cs="仿宋_GB2312"/>
              <w:color w:val="auto"/>
            </w:rPr>
            <w:fldChar w:fldCharType="begin"/>
          </w:r>
          <w:r>
            <w:rPr>
              <w:rFonts w:hint="eastAsia" w:ascii="仿宋_GB2312" w:hAnsi="仿宋_GB2312" w:eastAsia="仿宋_GB2312" w:cs="仿宋_GB2312"/>
              <w:color w:val="auto"/>
            </w:rPr>
            <w:instrText xml:space="preserve"> PAGEREF _Toc14947 \h </w:instrText>
          </w:r>
          <w:r>
            <w:rPr>
              <w:rFonts w:hint="eastAsia" w:ascii="仿宋_GB2312" w:hAnsi="仿宋_GB2312" w:eastAsia="仿宋_GB2312" w:cs="仿宋_GB2312"/>
              <w:color w:val="auto"/>
            </w:rPr>
            <w:fldChar w:fldCharType="separate"/>
          </w:r>
          <w:r>
            <w:rPr>
              <w:rFonts w:hint="eastAsia" w:ascii="仿宋_GB2312" w:hAnsi="仿宋_GB2312" w:eastAsia="仿宋_GB2312" w:cs="仿宋_GB2312"/>
              <w:color w:val="auto"/>
            </w:rPr>
            <w:t>71</w:t>
          </w:r>
          <w:r>
            <w:rPr>
              <w:rFonts w:hint="eastAsia" w:ascii="仿宋_GB2312" w:hAnsi="仿宋_GB2312" w:eastAsia="仿宋_GB2312" w:cs="仿宋_GB2312"/>
              <w:color w:val="auto"/>
            </w:rPr>
            <w:fldChar w:fldCharType="end"/>
          </w:r>
          <w:r>
            <w:rPr>
              <w:rFonts w:hint="eastAsia" w:ascii="仿宋_GB2312" w:hAnsi="仿宋_GB2312" w:eastAsia="仿宋_GB2312" w:cs="仿宋_GB2312"/>
              <w:color w:val="auto"/>
            </w:rPr>
            <w:fldChar w:fldCharType="end"/>
          </w:r>
        </w:p>
        <w:p w14:paraId="193D1A4E">
          <w:pPr>
            <w:rPr>
              <w:color w:val="auto"/>
            </w:rPr>
          </w:pPr>
          <w:r>
            <w:rPr>
              <w:rFonts w:hint="eastAsia" w:ascii="仿宋_GB2312" w:hAnsi="仿宋_GB2312" w:eastAsia="仿宋_GB2312" w:cs="仿宋_GB2312"/>
              <w:color w:val="auto"/>
            </w:rPr>
            <w:fldChar w:fldCharType="end"/>
          </w:r>
        </w:p>
      </w:sdtContent>
    </w:sdt>
    <w:p w14:paraId="7B4815EB">
      <w:pPr>
        <w:rPr>
          <w:color w:val="auto"/>
        </w:rPr>
      </w:pPr>
    </w:p>
    <w:p w14:paraId="776B9A0D">
      <w:pPr>
        <w:spacing w:line="360" w:lineRule="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附图</w:t>
      </w:r>
    </w:p>
    <w:p w14:paraId="6EF81AF9">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附图1 建设项目地理位置图</w:t>
      </w:r>
    </w:p>
    <w:p w14:paraId="7AD4237A">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附图2 建设项目平面布置图</w:t>
      </w:r>
    </w:p>
    <w:p w14:paraId="02CABEBF">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附图3 建设项目周边环境敏感目标分布图</w:t>
      </w:r>
    </w:p>
    <w:p w14:paraId="0BC33401">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附图4 建设项目与临近生态保护红线相对位置图</w:t>
      </w:r>
    </w:p>
    <w:p w14:paraId="6D71DA19">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附图5 建设项目周边水系图</w:t>
      </w:r>
    </w:p>
    <w:p w14:paraId="457F1428">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附图6 建设项目分区防渗图</w:t>
      </w:r>
    </w:p>
    <w:p w14:paraId="15728877">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附图7 建设项目雨污水管网图</w:t>
      </w:r>
    </w:p>
    <w:p w14:paraId="28591BAD">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附图8 建设项目所在区域用地规划图</w:t>
      </w:r>
    </w:p>
    <w:p w14:paraId="0E4BF71C">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附图9 建设项目与池州市禁止开发区域的位置关系图</w:t>
      </w:r>
    </w:p>
    <w:p w14:paraId="1C2DEAC9">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附图10 建设项目与池州市“三线一单”的位置关系图</w:t>
      </w:r>
    </w:p>
    <w:p w14:paraId="6C8342F5">
      <w:pPr>
        <w:rPr>
          <w:rFonts w:hint="default" w:ascii="Times New Roman" w:hAnsi="Times New Roman" w:eastAsia="仿宋_GB2312" w:cs="Times New Roman"/>
          <w:color w:val="auto"/>
          <w:sz w:val="24"/>
          <w:szCs w:val="24"/>
        </w:rPr>
      </w:pPr>
    </w:p>
    <w:p w14:paraId="7A172E5E">
      <w:pPr>
        <w:spacing w:line="360" w:lineRule="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附件</w:t>
      </w:r>
    </w:p>
    <w:p w14:paraId="56DC4439">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附件1 建设项目环评委托书</w:t>
      </w:r>
    </w:p>
    <w:p w14:paraId="7917ADEE">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附件2 关于环评报告真实性确认函</w:t>
      </w:r>
    </w:p>
    <w:p w14:paraId="691FD120">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附件3 项目备案表</w:t>
      </w:r>
    </w:p>
    <w:p w14:paraId="7B854307">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附件4 建设用地使用权成交确认书</w:t>
      </w:r>
    </w:p>
    <w:p w14:paraId="08705EAC">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附件5 建设用地使用权出让合同</w:t>
      </w:r>
    </w:p>
    <w:p w14:paraId="6986E459">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附件6 建设用地使用权交接证明</w:t>
      </w:r>
    </w:p>
    <w:p w14:paraId="561FEAFF">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附件7 项目选址符合性专家咨询意见</w:t>
      </w:r>
    </w:p>
    <w:p w14:paraId="2E450C17">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附件8 2025年东至县环境质量状况公报</w:t>
      </w:r>
    </w:p>
    <w:p w14:paraId="10764141">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附件9 东至县2025年第四季度声环境功能区监测情况</w:t>
      </w:r>
    </w:p>
    <w:p w14:paraId="789E9C7A">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附件10 环境质量现状检测报告（非甲烷总烃）</w:t>
      </w:r>
    </w:p>
    <w:p w14:paraId="5B39C07D">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附件11 安徽“三线一单”管控要求查询报告</w:t>
      </w:r>
    </w:p>
    <w:p w14:paraId="32D90A47">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附件12 东至安东赛瑞文旅开发有限公司营业执照</w:t>
      </w:r>
    </w:p>
    <w:p w14:paraId="5FC221C0">
      <w:pPr>
        <w:pStyle w:val="2"/>
        <w:keepNext w:val="0"/>
        <w:keepLines w:val="0"/>
        <w:pageBreakBefore w:val="0"/>
        <w:widowControl/>
        <w:kinsoku/>
        <w:wordWrap/>
        <w:overflowPunct/>
        <w:topLinePunct w:val="0"/>
        <w:autoSpaceDE/>
        <w:autoSpaceDN/>
        <w:bidi w:val="0"/>
        <w:adjustRightInd/>
        <w:snapToGrid w:val="0"/>
        <w:spacing w:before="0" w:after="0" w:line="360" w:lineRule="auto"/>
        <w:ind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附件13 项目场地四周现状图片</w:t>
      </w:r>
    </w:p>
    <w:p w14:paraId="14709F75">
      <w:pPr>
        <w:pStyle w:val="61"/>
        <w:keepNext w:val="0"/>
        <w:keepLines w:val="0"/>
        <w:pageBreakBefore w:val="0"/>
        <w:widowControl w:val="0"/>
        <w:kinsoku/>
        <w:wordWrap/>
        <w:overflowPunct/>
        <w:topLinePunct w:val="0"/>
        <w:autoSpaceDE/>
        <w:autoSpaceDN/>
        <w:bidi w:val="0"/>
        <w:adjustRightInd/>
        <w:snapToGrid/>
        <w:spacing w:before="157" w:beforeLines="50"/>
        <w:ind w:firstLine="480" w:firstLineChars="200"/>
        <w:jc w:val="both"/>
        <w:textAlignment w:val="auto"/>
        <w:rPr>
          <w:rFonts w:hint="eastAsia" w:ascii="Times New Roman" w:hAnsi="Times New Roman" w:eastAsia="宋体" w:cs="Times New Roman"/>
          <w:color w:val="auto"/>
          <w:sz w:val="24"/>
          <w:szCs w:val="24"/>
          <w:lang w:val="en-US" w:eastAsia="zh-CN"/>
        </w:rPr>
      </w:pPr>
    </w:p>
    <w:p w14:paraId="52DFF626">
      <w:pPr>
        <w:pStyle w:val="17"/>
        <w:jc w:val="center"/>
        <w:outlineLvl w:val="9"/>
        <w:rPr>
          <w:rFonts w:hint="eastAsia" w:ascii="黑体" w:hAnsi="黑体" w:eastAsia="黑体"/>
          <w:snapToGrid w:val="0"/>
          <w:color w:val="auto"/>
          <w:sz w:val="21"/>
          <w:szCs w:val="21"/>
        </w:rPr>
        <w:sectPr>
          <w:footerReference r:id="rId5" w:type="default"/>
          <w:pgSz w:w="11906" w:h="16838"/>
          <w:pgMar w:top="1701" w:right="1531" w:bottom="1701" w:left="1531" w:header="851" w:footer="1077" w:gutter="0"/>
          <w:pgBorders>
            <w:top w:val="none" w:sz="0" w:space="0"/>
            <w:left w:val="none" w:sz="0" w:space="0"/>
            <w:bottom w:val="none" w:sz="0" w:space="0"/>
            <w:right w:val="none" w:sz="0" w:space="0"/>
          </w:pgBorders>
          <w:pgNumType w:fmt="decimal" w:start="1"/>
          <w:cols w:space="720" w:num="1"/>
          <w:docGrid w:linePitch="312" w:charSpace="0"/>
        </w:sectPr>
      </w:pPr>
    </w:p>
    <w:p w14:paraId="775DC934">
      <w:pPr>
        <w:pStyle w:val="17"/>
        <w:jc w:val="center"/>
        <w:outlineLvl w:val="0"/>
        <w:rPr>
          <w:rFonts w:hint="eastAsia" w:ascii="黑体" w:hAnsi="黑体" w:eastAsia="黑体"/>
          <w:snapToGrid w:val="0"/>
          <w:color w:val="auto"/>
          <w:sz w:val="30"/>
          <w:szCs w:val="30"/>
        </w:rPr>
      </w:pPr>
      <w:bookmarkStart w:id="1" w:name="_Toc1976"/>
      <w:r>
        <w:rPr>
          <w:rFonts w:hint="eastAsia" w:ascii="黑体" w:hAnsi="黑体" w:eastAsia="黑体"/>
          <w:snapToGrid w:val="0"/>
          <w:color w:val="auto"/>
          <w:sz w:val="30"/>
          <w:szCs w:val="30"/>
        </w:rPr>
        <w:t>一、建设项目基本情况</w:t>
      </w:r>
      <w:bookmarkEnd w:id="1"/>
    </w:p>
    <w:tbl>
      <w:tblPr>
        <w:tblStyle w:val="1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472"/>
        <w:gridCol w:w="122"/>
        <w:gridCol w:w="1449"/>
        <w:gridCol w:w="2574"/>
        <w:gridCol w:w="1702"/>
        <w:gridCol w:w="2551"/>
      </w:tblGrid>
      <w:tr w14:paraId="5D79AE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43" w:type="dxa"/>
            <w:gridSpan w:val="3"/>
            <w:noWrap w:val="0"/>
            <w:tcMar>
              <w:top w:w="16" w:type="dxa"/>
              <w:left w:w="16" w:type="dxa"/>
              <w:right w:w="16" w:type="dxa"/>
            </w:tcMar>
            <w:vAlign w:val="center"/>
          </w:tcPr>
          <w:p w14:paraId="6E915133">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建设项目名称</w:t>
            </w:r>
          </w:p>
        </w:tc>
        <w:tc>
          <w:tcPr>
            <w:tcW w:w="6827" w:type="dxa"/>
            <w:gridSpan w:val="3"/>
            <w:noWrap w:val="0"/>
            <w:vAlign w:val="center"/>
          </w:tcPr>
          <w:p w14:paraId="3D8AF732">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eastAsia="zh-CN"/>
              </w:rPr>
              <w:t>东至长江路加油站项目</w:t>
            </w:r>
          </w:p>
        </w:tc>
      </w:tr>
      <w:tr w14:paraId="020772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43" w:type="dxa"/>
            <w:gridSpan w:val="3"/>
            <w:noWrap w:val="0"/>
            <w:tcMar>
              <w:top w:w="16" w:type="dxa"/>
              <w:left w:w="16" w:type="dxa"/>
              <w:right w:w="16" w:type="dxa"/>
            </w:tcMar>
            <w:vAlign w:val="center"/>
          </w:tcPr>
          <w:p w14:paraId="07CFE147">
            <w:pPr>
              <w:adjustRightInd w:val="0"/>
              <w:snapToGrid w:val="0"/>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项目代码</w:t>
            </w:r>
          </w:p>
        </w:tc>
        <w:tc>
          <w:tcPr>
            <w:tcW w:w="6827" w:type="dxa"/>
            <w:gridSpan w:val="3"/>
            <w:noWrap w:val="0"/>
            <w:vAlign w:val="center"/>
          </w:tcPr>
          <w:p w14:paraId="767506F2">
            <w:pPr>
              <w:adjustRightInd w:val="0"/>
              <w:snapToGrid w:val="0"/>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2507-341721-04-01-194877</w:t>
            </w:r>
          </w:p>
        </w:tc>
      </w:tr>
      <w:tr w14:paraId="688AFF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43" w:type="dxa"/>
            <w:gridSpan w:val="3"/>
            <w:noWrap w:val="0"/>
            <w:tcMar>
              <w:top w:w="16" w:type="dxa"/>
              <w:left w:w="16" w:type="dxa"/>
              <w:right w:w="16" w:type="dxa"/>
            </w:tcMar>
            <w:vAlign w:val="center"/>
          </w:tcPr>
          <w:p w14:paraId="57626153">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建设单位联系人</w:t>
            </w:r>
          </w:p>
        </w:tc>
        <w:tc>
          <w:tcPr>
            <w:tcW w:w="2574" w:type="dxa"/>
            <w:noWrap w:val="0"/>
            <w:vAlign w:val="center"/>
          </w:tcPr>
          <w:p w14:paraId="07F156AA">
            <w:pPr>
              <w:adjustRightInd w:val="0"/>
              <w:snapToGrid w:val="0"/>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文辉</w:t>
            </w:r>
          </w:p>
        </w:tc>
        <w:tc>
          <w:tcPr>
            <w:tcW w:w="1702" w:type="dxa"/>
            <w:noWrap w:val="0"/>
            <w:vAlign w:val="center"/>
          </w:tcPr>
          <w:p w14:paraId="41E9748A">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联系方式</w:t>
            </w:r>
          </w:p>
        </w:tc>
        <w:tc>
          <w:tcPr>
            <w:tcW w:w="2551" w:type="dxa"/>
            <w:noWrap w:val="0"/>
            <w:vAlign w:val="center"/>
          </w:tcPr>
          <w:p w14:paraId="4880747A">
            <w:pPr>
              <w:adjustRightInd w:val="0"/>
              <w:snapToGrid w:val="0"/>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15665665680</w:t>
            </w:r>
          </w:p>
        </w:tc>
      </w:tr>
      <w:tr w14:paraId="0DD3B0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43" w:type="dxa"/>
            <w:gridSpan w:val="3"/>
            <w:noWrap w:val="0"/>
            <w:tcMar>
              <w:top w:w="16" w:type="dxa"/>
              <w:left w:w="16" w:type="dxa"/>
              <w:right w:w="16" w:type="dxa"/>
            </w:tcMar>
            <w:vAlign w:val="center"/>
          </w:tcPr>
          <w:p w14:paraId="30213719">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建设地点</w:t>
            </w:r>
          </w:p>
        </w:tc>
        <w:tc>
          <w:tcPr>
            <w:tcW w:w="6827" w:type="dxa"/>
            <w:gridSpan w:val="3"/>
            <w:noWrap w:val="0"/>
            <w:vAlign w:val="center"/>
          </w:tcPr>
          <w:p w14:paraId="3F705823">
            <w:pPr>
              <w:adjustRightInd w:val="0"/>
              <w:snapToGrid w:val="0"/>
              <w:jc w:val="center"/>
              <w:rPr>
                <w:rFonts w:hint="default" w:ascii="Times New Roman" w:hAnsi="Times New Roman" w:eastAsia="仿宋_GB2312" w:cs="Times New Roman"/>
                <w:color w:val="auto"/>
                <w:sz w:val="24"/>
                <w:szCs w:val="24"/>
                <w:u w:val="none"/>
                <w:lang w:eastAsia="zh-CN"/>
              </w:rPr>
            </w:pPr>
            <w:r>
              <w:rPr>
                <w:rFonts w:hint="default" w:ascii="Times New Roman" w:hAnsi="Times New Roman" w:eastAsia="仿宋_GB2312" w:cs="Times New Roman"/>
                <w:color w:val="auto"/>
                <w:sz w:val="24"/>
                <w:szCs w:val="24"/>
                <w:u w:val="none"/>
                <w:lang w:eastAsia="zh-CN"/>
              </w:rPr>
              <w:t>安徽省池州市东至县尧渡镇毛田村</w:t>
            </w:r>
          </w:p>
          <w:p w14:paraId="037C16A4">
            <w:pPr>
              <w:adjustRightInd w:val="0"/>
              <w:snapToGrid w:val="0"/>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u w:val="none"/>
                <w:lang w:eastAsia="zh-CN"/>
              </w:rPr>
              <w:t>（</w:t>
            </w:r>
            <w:r>
              <w:rPr>
                <w:rFonts w:hint="default" w:ascii="Times New Roman" w:hAnsi="Times New Roman" w:eastAsia="仿宋_GB2312" w:cs="Times New Roman"/>
                <w:color w:val="auto"/>
                <w:sz w:val="24"/>
                <w:szCs w:val="24"/>
                <w:u w:val="none"/>
                <w:lang w:val="en-US" w:eastAsia="zh-CN"/>
              </w:rPr>
              <w:t>G206国道东侧、东至县污水处理厂以南</w:t>
            </w:r>
            <w:r>
              <w:rPr>
                <w:rFonts w:hint="default" w:ascii="Times New Roman" w:hAnsi="Times New Roman" w:eastAsia="仿宋_GB2312" w:cs="Times New Roman"/>
                <w:color w:val="auto"/>
                <w:sz w:val="24"/>
                <w:szCs w:val="24"/>
                <w:u w:val="none"/>
                <w:lang w:eastAsia="zh-CN"/>
              </w:rPr>
              <w:t>）</w:t>
            </w:r>
          </w:p>
        </w:tc>
      </w:tr>
      <w:tr w14:paraId="1DE9C3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43" w:type="dxa"/>
            <w:gridSpan w:val="3"/>
            <w:noWrap w:val="0"/>
            <w:tcMar>
              <w:top w:w="16" w:type="dxa"/>
              <w:left w:w="16" w:type="dxa"/>
              <w:right w:w="16" w:type="dxa"/>
            </w:tcMar>
            <w:vAlign w:val="center"/>
          </w:tcPr>
          <w:p w14:paraId="2314860B">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地理坐标</w:t>
            </w:r>
          </w:p>
        </w:tc>
        <w:tc>
          <w:tcPr>
            <w:tcW w:w="6827" w:type="dxa"/>
            <w:gridSpan w:val="3"/>
            <w:noWrap w:val="0"/>
            <w:vAlign w:val="center"/>
          </w:tcPr>
          <w:p w14:paraId="009121F5">
            <w:pPr>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bCs/>
                <w:color w:val="auto"/>
                <w:sz w:val="24"/>
                <w:szCs w:val="24"/>
                <w:vertAlign w:val="baseline"/>
                <w:lang w:val="en-US" w:eastAsia="zh-CN"/>
              </w:rPr>
              <w:t>116°59′58.908″E，30°9′17.580″N</w:t>
            </w:r>
          </w:p>
        </w:tc>
      </w:tr>
      <w:tr w14:paraId="4B5373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2043" w:type="dxa"/>
            <w:gridSpan w:val="3"/>
            <w:noWrap w:val="0"/>
            <w:tcMar>
              <w:top w:w="16" w:type="dxa"/>
              <w:left w:w="16" w:type="dxa"/>
              <w:right w:w="16" w:type="dxa"/>
            </w:tcMar>
            <w:vAlign w:val="center"/>
          </w:tcPr>
          <w:p w14:paraId="78B16A33">
            <w:pPr>
              <w:adjustRightInd w:val="0"/>
              <w:snapToGrid w:val="0"/>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国民经济</w:t>
            </w:r>
          </w:p>
          <w:p w14:paraId="0FD131B6">
            <w:pPr>
              <w:adjustRightInd w:val="0"/>
              <w:snapToGrid w:val="0"/>
              <w:jc w:val="center"/>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行业类别</w:t>
            </w:r>
          </w:p>
        </w:tc>
        <w:tc>
          <w:tcPr>
            <w:tcW w:w="2574" w:type="dxa"/>
            <w:noWrap w:val="0"/>
            <w:vAlign w:val="center"/>
          </w:tcPr>
          <w:p w14:paraId="75EB73C0">
            <w:pPr>
              <w:adjustRightInd w:val="0"/>
              <w:snapToGrid w:val="0"/>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[F5265]机动车燃油零售</w:t>
            </w:r>
          </w:p>
          <w:p w14:paraId="48F2D722">
            <w:pPr>
              <w:adjustRightInd w:val="0"/>
              <w:snapToGrid w:val="0"/>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[F5266]机动车燃气零售</w:t>
            </w:r>
          </w:p>
          <w:p w14:paraId="50D47FFA">
            <w:pPr>
              <w:adjustRightInd w:val="0"/>
              <w:snapToGrid w:val="0"/>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[F5267]机动车充电销售</w:t>
            </w:r>
          </w:p>
        </w:tc>
        <w:tc>
          <w:tcPr>
            <w:tcW w:w="1702" w:type="dxa"/>
            <w:noWrap w:val="0"/>
            <w:vAlign w:val="center"/>
          </w:tcPr>
          <w:p w14:paraId="7C52B302">
            <w:pPr>
              <w:adjustRightInd w:val="0"/>
              <w:snapToGrid w:val="0"/>
              <w:jc w:val="center"/>
              <w:rPr>
                <w:rFonts w:hint="default" w:ascii="Times New Roman" w:hAnsi="Times New Roman" w:eastAsia="仿宋_GB2312" w:cs="Times New Roman"/>
                <w:color w:val="auto"/>
                <w:sz w:val="24"/>
                <w:szCs w:val="24"/>
              </w:rPr>
            </w:pPr>
            <w:bookmarkStart w:id="2" w:name="_Hlk49843745"/>
            <w:r>
              <w:rPr>
                <w:rFonts w:hint="default" w:ascii="Times New Roman" w:hAnsi="Times New Roman" w:eastAsia="仿宋_GB2312" w:cs="Times New Roman"/>
                <w:color w:val="auto"/>
                <w:sz w:val="24"/>
                <w:szCs w:val="24"/>
              </w:rPr>
              <w:t>建设项目</w:t>
            </w:r>
          </w:p>
          <w:p w14:paraId="275578D2">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行业类别</w:t>
            </w:r>
            <w:bookmarkEnd w:id="2"/>
          </w:p>
        </w:tc>
        <w:tc>
          <w:tcPr>
            <w:tcW w:w="2551" w:type="dxa"/>
            <w:noWrap w:val="0"/>
            <w:vAlign w:val="center"/>
          </w:tcPr>
          <w:p w14:paraId="41487E8E">
            <w:pPr>
              <w:adjustRightInd w:val="0"/>
              <w:snapToGrid w:val="0"/>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五十、社会事业与服务业，</w:t>
            </w:r>
            <w:r>
              <w:rPr>
                <w:rFonts w:hint="default" w:ascii="Times New Roman" w:hAnsi="Times New Roman" w:eastAsia="仿宋_GB2312" w:cs="Times New Roman"/>
                <w:color w:val="auto"/>
                <w:sz w:val="24"/>
                <w:szCs w:val="24"/>
                <w:lang w:val="en-US" w:eastAsia="zh-CN"/>
              </w:rPr>
              <w:t>119、加油、加气站</w:t>
            </w:r>
          </w:p>
        </w:tc>
      </w:tr>
      <w:tr w14:paraId="21A06B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2043" w:type="dxa"/>
            <w:gridSpan w:val="3"/>
            <w:noWrap w:val="0"/>
            <w:tcMar>
              <w:top w:w="16" w:type="dxa"/>
              <w:left w:w="16" w:type="dxa"/>
              <w:right w:w="16" w:type="dxa"/>
            </w:tcMar>
            <w:vAlign w:val="center"/>
          </w:tcPr>
          <w:p w14:paraId="113B9CED">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建设性质</w:t>
            </w:r>
          </w:p>
        </w:tc>
        <w:tc>
          <w:tcPr>
            <w:tcW w:w="2574" w:type="dxa"/>
            <w:noWrap w:val="0"/>
            <w:vAlign w:val="center"/>
          </w:tcPr>
          <w:p w14:paraId="07C80F83">
            <w:pPr>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新建（迁建）</w:t>
            </w:r>
          </w:p>
          <w:p w14:paraId="4DC959A0">
            <w:pPr>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□改建</w:t>
            </w:r>
          </w:p>
          <w:p w14:paraId="3B2D234D">
            <w:pPr>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□扩建</w:t>
            </w:r>
          </w:p>
          <w:p w14:paraId="23786C81">
            <w:pPr>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□技术改造</w:t>
            </w:r>
          </w:p>
        </w:tc>
        <w:tc>
          <w:tcPr>
            <w:tcW w:w="1702" w:type="dxa"/>
            <w:noWrap w:val="0"/>
            <w:vAlign w:val="center"/>
          </w:tcPr>
          <w:p w14:paraId="4DE20151">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建设项目</w:t>
            </w:r>
          </w:p>
          <w:p w14:paraId="6D08DAE9">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申报情形</w:t>
            </w:r>
          </w:p>
        </w:tc>
        <w:tc>
          <w:tcPr>
            <w:tcW w:w="2551" w:type="dxa"/>
            <w:noWrap w:val="0"/>
            <w:vAlign w:val="center"/>
          </w:tcPr>
          <w:p w14:paraId="11DDDEA0">
            <w:pPr>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首次申报项目</w:t>
            </w:r>
          </w:p>
          <w:p w14:paraId="6E3D0182">
            <w:pPr>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□不予批准后再次申报项目</w:t>
            </w:r>
          </w:p>
          <w:p w14:paraId="2D1EF969">
            <w:pPr>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□超五年重新审核项目</w:t>
            </w:r>
          </w:p>
          <w:p w14:paraId="4239AD2E">
            <w:pPr>
              <w:jc w:val="left"/>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□重大变动重新报批项目</w:t>
            </w:r>
          </w:p>
        </w:tc>
      </w:tr>
      <w:tr w14:paraId="55483E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2043" w:type="dxa"/>
            <w:gridSpan w:val="3"/>
            <w:noWrap w:val="0"/>
            <w:tcMar>
              <w:top w:w="16" w:type="dxa"/>
              <w:left w:w="16" w:type="dxa"/>
              <w:right w:w="16" w:type="dxa"/>
            </w:tcMar>
            <w:vAlign w:val="center"/>
          </w:tcPr>
          <w:p w14:paraId="57422B23">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项目审批（核准/</w:t>
            </w:r>
          </w:p>
          <w:p w14:paraId="4A549A7C">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备案）部门（选填）</w:t>
            </w:r>
          </w:p>
        </w:tc>
        <w:tc>
          <w:tcPr>
            <w:tcW w:w="2574" w:type="dxa"/>
            <w:noWrap w:val="0"/>
            <w:vAlign w:val="center"/>
          </w:tcPr>
          <w:p w14:paraId="71C22712">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highlight w:val="none"/>
                <w:lang w:val="en-US" w:eastAsia="zh-CN"/>
              </w:rPr>
              <w:t>东至县发展和改革委员会</w:t>
            </w:r>
          </w:p>
        </w:tc>
        <w:tc>
          <w:tcPr>
            <w:tcW w:w="1702" w:type="dxa"/>
            <w:noWrap w:val="0"/>
            <w:vAlign w:val="center"/>
          </w:tcPr>
          <w:p w14:paraId="5758650E">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项目审批（核准/</w:t>
            </w:r>
          </w:p>
          <w:p w14:paraId="0C3C0992">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备案）文号（选填）</w:t>
            </w:r>
          </w:p>
        </w:tc>
        <w:tc>
          <w:tcPr>
            <w:tcW w:w="2551" w:type="dxa"/>
            <w:noWrap w:val="0"/>
            <w:vAlign w:val="center"/>
          </w:tcPr>
          <w:p w14:paraId="63E87489">
            <w:pPr>
              <w:adjustRightInd w:val="0"/>
              <w:snapToGrid w:val="0"/>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eastAsia="zh-CN"/>
              </w:rPr>
              <w:t>东发改备</w:t>
            </w:r>
            <w:r>
              <w:rPr>
                <w:rFonts w:hint="default" w:ascii="Times New Roman" w:hAnsi="Times New Roman" w:eastAsia="仿宋_GB2312" w:cs="Times New Roman"/>
                <w:color w:val="auto"/>
                <w:sz w:val="24"/>
                <w:szCs w:val="24"/>
                <w:lang w:val="en-US" w:eastAsia="zh-CN"/>
              </w:rPr>
              <w:t>[2025]98号</w:t>
            </w:r>
          </w:p>
        </w:tc>
      </w:tr>
      <w:tr w14:paraId="51263D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43" w:type="dxa"/>
            <w:gridSpan w:val="3"/>
            <w:noWrap w:val="0"/>
            <w:tcMar>
              <w:top w:w="16" w:type="dxa"/>
              <w:left w:w="16" w:type="dxa"/>
              <w:right w:w="16" w:type="dxa"/>
            </w:tcMar>
            <w:vAlign w:val="center"/>
          </w:tcPr>
          <w:p w14:paraId="04C765EB">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总投资（万元）</w:t>
            </w:r>
          </w:p>
        </w:tc>
        <w:tc>
          <w:tcPr>
            <w:tcW w:w="2574" w:type="dxa"/>
            <w:noWrap w:val="0"/>
            <w:vAlign w:val="center"/>
          </w:tcPr>
          <w:p w14:paraId="6FE669EA">
            <w:pPr>
              <w:adjustRightInd w:val="0"/>
              <w:snapToGrid w:val="0"/>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6055</w:t>
            </w:r>
          </w:p>
        </w:tc>
        <w:tc>
          <w:tcPr>
            <w:tcW w:w="1702" w:type="dxa"/>
            <w:noWrap w:val="0"/>
            <w:tcMar>
              <w:top w:w="16" w:type="dxa"/>
              <w:left w:w="16" w:type="dxa"/>
              <w:right w:w="16" w:type="dxa"/>
            </w:tcMar>
            <w:vAlign w:val="center"/>
          </w:tcPr>
          <w:p w14:paraId="26C0BD7F">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环保投资（万元）</w:t>
            </w:r>
          </w:p>
        </w:tc>
        <w:tc>
          <w:tcPr>
            <w:tcW w:w="2551" w:type="dxa"/>
            <w:noWrap w:val="0"/>
            <w:vAlign w:val="center"/>
          </w:tcPr>
          <w:p w14:paraId="53CA71DC">
            <w:pPr>
              <w:adjustRightInd w:val="0"/>
              <w:snapToGrid w:val="0"/>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885.5</w:t>
            </w:r>
          </w:p>
        </w:tc>
      </w:tr>
      <w:tr w14:paraId="01C548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43" w:type="dxa"/>
            <w:gridSpan w:val="3"/>
            <w:noWrap w:val="0"/>
            <w:tcMar>
              <w:top w:w="16" w:type="dxa"/>
              <w:left w:w="16" w:type="dxa"/>
              <w:right w:w="16" w:type="dxa"/>
            </w:tcMar>
            <w:vAlign w:val="center"/>
          </w:tcPr>
          <w:p w14:paraId="2EDF69CB">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环保投资占比（%）</w:t>
            </w:r>
          </w:p>
        </w:tc>
        <w:tc>
          <w:tcPr>
            <w:tcW w:w="2574" w:type="dxa"/>
            <w:noWrap w:val="0"/>
            <w:vAlign w:val="center"/>
          </w:tcPr>
          <w:p w14:paraId="606AD5C7">
            <w:pPr>
              <w:adjustRightInd w:val="0"/>
              <w:snapToGrid w:val="0"/>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14.6</w:t>
            </w:r>
          </w:p>
        </w:tc>
        <w:tc>
          <w:tcPr>
            <w:tcW w:w="1702" w:type="dxa"/>
            <w:noWrap w:val="0"/>
            <w:tcMar>
              <w:top w:w="16" w:type="dxa"/>
              <w:left w:w="16" w:type="dxa"/>
              <w:right w:w="16" w:type="dxa"/>
            </w:tcMar>
            <w:vAlign w:val="center"/>
          </w:tcPr>
          <w:p w14:paraId="6B0BBD3F">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施工工期</w:t>
            </w:r>
          </w:p>
        </w:tc>
        <w:tc>
          <w:tcPr>
            <w:tcW w:w="2551" w:type="dxa"/>
            <w:noWrap w:val="0"/>
            <w:vAlign w:val="center"/>
          </w:tcPr>
          <w:p w14:paraId="57DDA9A6">
            <w:pPr>
              <w:adjustRightInd w:val="0"/>
              <w:snapToGrid w:val="0"/>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1.5年</w:t>
            </w:r>
          </w:p>
        </w:tc>
      </w:tr>
      <w:tr w14:paraId="0078B9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2043" w:type="dxa"/>
            <w:gridSpan w:val="3"/>
            <w:noWrap w:val="0"/>
            <w:tcMar>
              <w:top w:w="16" w:type="dxa"/>
              <w:left w:w="16" w:type="dxa"/>
              <w:right w:w="16" w:type="dxa"/>
            </w:tcMar>
            <w:vAlign w:val="center"/>
          </w:tcPr>
          <w:p w14:paraId="243D9792">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是否开工建设</w:t>
            </w:r>
          </w:p>
        </w:tc>
        <w:tc>
          <w:tcPr>
            <w:tcW w:w="2574" w:type="dxa"/>
            <w:noWrap w:val="0"/>
            <w:vAlign w:val="center"/>
          </w:tcPr>
          <w:p w14:paraId="5A6120FB">
            <w:pPr>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否</w:t>
            </w:r>
          </w:p>
          <w:p w14:paraId="19C1B003">
            <w:pPr>
              <w:adjustRightInd w:val="0"/>
              <w:snapToGrid w:val="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□是：</w:t>
            </w:r>
            <w:r>
              <w:rPr>
                <w:rFonts w:hint="default" w:ascii="Times New Roman" w:hAnsi="Times New Roman" w:eastAsia="仿宋_GB2312" w:cs="Times New Roman"/>
                <w:color w:val="auto"/>
                <w:sz w:val="24"/>
                <w:szCs w:val="24"/>
                <w:u w:val="single"/>
              </w:rPr>
              <w:t xml:space="preserve">             </w:t>
            </w:r>
          </w:p>
        </w:tc>
        <w:tc>
          <w:tcPr>
            <w:tcW w:w="1702" w:type="dxa"/>
            <w:noWrap w:val="0"/>
            <w:tcMar>
              <w:top w:w="16" w:type="dxa"/>
              <w:left w:w="16" w:type="dxa"/>
              <w:right w:w="16" w:type="dxa"/>
            </w:tcMar>
            <w:vAlign w:val="center"/>
          </w:tcPr>
          <w:p w14:paraId="297A687E">
            <w:pPr>
              <w:adjustRightInd w:val="0"/>
              <w:snapToGrid w:val="0"/>
              <w:jc w:val="center"/>
              <w:rPr>
                <w:rFonts w:hint="default" w:ascii="Times New Roman" w:hAnsi="Times New Roman" w:eastAsia="仿宋_GB2312" w:cs="Times New Roman"/>
                <w:color w:val="auto"/>
                <w:spacing w:val="-6"/>
                <w:sz w:val="24"/>
                <w:szCs w:val="24"/>
              </w:rPr>
            </w:pPr>
            <w:r>
              <w:rPr>
                <w:rFonts w:hint="default" w:ascii="Times New Roman" w:hAnsi="Times New Roman" w:eastAsia="仿宋_GB2312" w:cs="Times New Roman"/>
                <w:color w:val="auto"/>
                <w:spacing w:val="-6"/>
                <w:sz w:val="24"/>
                <w:szCs w:val="24"/>
              </w:rPr>
              <w:t>用地</w:t>
            </w:r>
            <w:r>
              <w:rPr>
                <w:rFonts w:hint="default" w:ascii="Times New Roman" w:hAnsi="Times New Roman" w:eastAsia="仿宋_GB2312" w:cs="Times New Roman"/>
                <w:strike w:val="0"/>
                <w:color w:val="auto"/>
                <w:spacing w:val="-6"/>
                <w:sz w:val="24"/>
                <w:szCs w:val="24"/>
              </w:rPr>
              <w:t>（</w:t>
            </w:r>
            <w:r>
              <w:rPr>
                <w:rFonts w:hint="default" w:ascii="Times New Roman" w:hAnsi="Times New Roman" w:eastAsia="仿宋_GB2312" w:cs="Times New Roman"/>
                <w:strike w:val="0"/>
                <w:dstrike w:val="0"/>
                <w:color w:val="auto"/>
                <w:spacing w:val="-6"/>
                <w:sz w:val="24"/>
                <w:szCs w:val="24"/>
              </w:rPr>
              <w:t>用海</w:t>
            </w:r>
            <w:r>
              <w:rPr>
                <w:rFonts w:hint="default" w:ascii="Times New Roman" w:hAnsi="Times New Roman" w:eastAsia="仿宋_GB2312" w:cs="Times New Roman"/>
                <w:strike w:val="0"/>
                <w:color w:val="auto"/>
                <w:spacing w:val="-6"/>
                <w:sz w:val="24"/>
                <w:szCs w:val="24"/>
              </w:rPr>
              <w:t>）</w:t>
            </w:r>
          </w:p>
          <w:p w14:paraId="45B2BAA1">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pacing w:val="-6"/>
                <w:sz w:val="24"/>
                <w:szCs w:val="24"/>
              </w:rPr>
              <w:t>面积（m</w:t>
            </w:r>
            <w:r>
              <w:rPr>
                <w:rFonts w:hint="default" w:ascii="Times New Roman" w:hAnsi="Times New Roman" w:eastAsia="仿宋_GB2312" w:cs="Times New Roman"/>
                <w:color w:val="auto"/>
                <w:spacing w:val="-6"/>
                <w:sz w:val="24"/>
                <w:szCs w:val="24"/>
                <w:vertAlign w:val="superscript"/>
              </w:rPr>
              <w:t>2</w:t>
            </w:r>
            <w:r>
              <w:rPr>
                <w:rFonts w:hint="default" w:ascii="Times New Roman" w:hAnsi="Times New Roman" w:eastAsia="仿宋_GB2312" w:cs="Times New Roman"/>
                <w:color w:val="auto"/>
                <w:spacing w:val="-6"/>
                <w:sz w:val="24"/>
                <w:szCs w:val="24"/>
              </w:rPr>
              <w:t>）</w:t>
            </w:r>
          </w:p>
        </w:tc>
        <w:tc>
          <w:tcPr>
            <w:tcW w:w="2551" w:type="dxa"/>
            <w:noWrap w:val="0"/>
            <w:vAlign w:val="center"/>
          </w:tcPr>
          <w:p w14:paraId="572B92E7">
            <w:pPr>
              <w:adjustRightInd w:val="0"/>
              <w:snapToGrid w:val="0"/>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10017</w:t>
            </w:r>
          </w:p>
        </w:tc>
      </w:tr>
      <w:tr w14:paraId="3C42F4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043" w:type="dxa"/>
            <w:gridSpan w:val="3"/>
            <w:noWrap w:val="0"/>
            <w:vAlign w:val="center"/>
          </w:tcPr>
          <w:p w14:paraId="12070F78">
            <w:pPr>
              <w:autoSpaceDE w:val="0"/>
              <w:autoSpaceDN w:val="0"/>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专项评价设置情况</w:t>
            </w:r>
          </w:p>
        </w:tc>
        <w:tc>
          <w:tcPr>
            <w:tcW w:w="6827" w:type="dxa"/>
            <w:gridSpan w:val="3"/>
            <w:noWrap w:val="0"/>
            <w:vAlign w:val="center"/>
          </w:tcPr>
          <w:p w14:paraId="52D8520B">
            <w:pPr>
              <w:pStyle w:val="42"/>
              <w:spacing w:line="360" w:lineRule="auto"/>
              <w:ind w:firstLine="480"/>
              <w:jc w:val="both"/>
              <w:rPr>
                <w:rFonts w:hint="default" w:ascii="Times New Roman" w:hAnsi="Times New Roman" w:eastAsia="仿宋_GB2312" w:cs="Times New Roman"/>
                <w:color w:val="auto"/>
                <w:kern w:val="0"/>
                <w:sz w:val="24"/>
                <w:szCs w:val="24"/>
                <w:lang w:val="en-US" w:eastAsia="zh-CN"/>
              </w:rPr>
            </w:pPr>
            <w:r>
              <w:rPr>
                <w:rFonts w:hint="default" w:ascii="Times New Roman" w:hAnsi="Times New Roman" w:eastAsia="仿宋_GB2312" w:cs="Times New Roman"/>
                <w:color w:val="auto"/>
                <w:kern w:val="0"/>
                <w:sz w:val="24"/>
                <w:szCs w:val="24"/>
                <w:lang w:val="en-US" w:eastAsia="zh-CN"/>
              </w:rPr>
              <w:t>根据《建设项目环境影响报告表编制技术指南（污染影响类）（试行）》表1，本项目涉及</w:t>
            </w:r>
            <w:r>
              <w:rPr>
                <w:rFonts w:hint="default" w:ascii="Times New Roman" w:hAnsi="Times New Roman" w:eastAsia="仿宋_GB2312" w:cs="Times New Roman"/>
                <w:color w:val="auto"/>
                <w:sz w:val="24"/>
                <w:szCs w:val="24"/>
                <w:lang w:val="en-US" w:eastAsia="zh-CN"/>
              </w:rPr>
              <w:t>产品</w:t>
            </w:r>
            <w:r>
              <w:rPr>
                <w:rFonts w:hint="default" w:ascii="Times New Roman" w:hAnsi="Times New Roman" w:eastAsia="仿宋_GB2312" w:cs="Times New Roman"/>
                <w:color w:val="auto"/>
                <w:kern w:val="0"/>
                <w:sz w:val="24"/>
                <w:szCs w:val="24"/>
                <w:lang w:val="en-US" w:eastAsia="zh-CN"/>
              </w:rPr>
              <w:t>均属易燃易爆危险物质，且LNG存储量超过临界量，应设置环境风险专项评价。</w:t>
            </w:r>
          </w:p>
        </w:tc>
      </w:tr>
      <w:tr w14:paraId="55261D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043" w:type="dxa"/>
            <w:gridSpan w:val="3"/>
            <w:noWrap w:val="0"/>
            <w:vAlign w:val="center"/>
          </w:tcPr>
          <w:p w14:paraId="5019A509">
            <w:pPr>
              <w:autoSpaceDE w:val="0"/>
              <w:autoSpaceDN w:val="0"/>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sz w:val="24"/>
                <w:szCs w:val="24"/>
              </w:rPr>
              <w:t>规划情况</w:t>
            </w:r>
          </w:p>
        </w:tc>
        <w:tc>
          <w:tcPr>
            <w:tcW w:w="6827" w:type="dxa"/>
            <w:gridSpan w:val="3"/>
            <w:noWrap w:val="0"/>
            <w:vAlign w:val="center"/>
          </w:tcPr>
          <w:p w14:paraId="297A2EB1">
            <w:pPr>
              <w:pStyle w:val="42"/>
              <w:spacing w:line="360" w:lineRule="auto"/>
              <w:ind w:left="0" w:leftChars="0" w:firstLine="0" w:firstLineChars="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规划名称：《东至县</w:t>
            </w:r>
            <w:r>
              <w:rPr>
                <w:rFonts w:hint="eastAsia" w:cs="Times New Roman"/>
                <w:color w:val="auto"/>
                <w:sz w:val="24"/>
                <w:szCs w:val="24"/>
                <w:lang w:val="en-US" w:eastAsia="zh-CN"/>
              </w:rPr>
              <w:t>国土空间总体</w:t>
            </w:r>
            <w:r>
              <w:rPr>
                <w:rFonts w:hint="default" w:ascii="Times New Roman" w:hAnsi="Times New Roman" w:eastAsia="仿宋_GB2312" w:cs="Times New Roman"/>
                <w:color w:val="auto"/>
                <w:sz w:val="24"/>
                <w:szCs w:val="24"/>
                <w:lang w:val="en-US" w:eastAsia="zh-CN"/>
              </w:rPr>
              <w:t>规划（20</w:t>
            </w:r>
            <w:r>
              <w:rPr>
                <w:rFonts w:hint="eastAsia" w:cs="Times New Roman"/>
                <w:color w:val="auto"/>
                <w:sz w:val="24"/>
                <w:szCs w:val="24"/>
                <w:lang w:val="en-US" w:eastAsia="zh-CN"/>
              </w:rPr>
              <w:t>21</w:t>
            </w:r>
            <w:r>
              <w:rPr>
                <w:rFonts w:hint="default" w:ascii="Times New Roman" w:hAnsi="Times New Roman" w:eastAsia="仿宋_GB2312" w:cs="Times New Roman"/>
                <w:color w:val="auto"/>
                <w:sz w:val="24"/>
                <w:szCs w:val="24"/>
                <w:lang w:val="en-US" w:eastAsia="zh-CN"/>
              </w:rPr>
              <w:t>-203</w:t>
            </w:r>
            <w:r>
              <w:rPr>
                <w:rFonts w:hint="eastAsia" w:cs="Times New Roman"/>
                <w:color w:val="auto"/>
                <w:sz w:val="24"/>
                <w:szCs w:val="24"/>
                <w:lang w:val="en-US" w:eastAsia="zh-CN"/>
              </w:rPr>
              <w:t>5</w:t>
            </w:r>
            <w:r>
              <w:rPr>
                <w:rFonts w:hint="default" w:ascii="Times New Roman" w:hAnsi="Times New Roman" w:eastAsia="仿宋_GB2312" w:cs="Times New Roman"/>
                <w:color w:val="auto"/>
                <w:sz w:val="24"/>
                <w:szCs w:val="24"/>
                <w:lang w:val="en-US" w:eastAsia="zh-CN"/>
              </w:rPr>
              <w:t>年）》（20</w:t>
            </w:r>
            <w:r>
              <w:rPr>
                <w:rFonts w:hint="eastAsia" w:cs="Times New Roman"/>
                <w:color w:val="auto"/>
                <w:sz w:val="24"/>
                <w:szCs w:val="24"/>
                <w:lang w:val="en-US" w:eastAsia="zh-CN"/>
              </w:rPr>
              <w:t>24年12月</w:t>
            </w:r>
            <w:r>
              <w:rPr>
                <w:rFonts w:hint="default" w:ascii="Times New Roman" w:hAnsi="Times New Roman" w:eastAsia="仿宋_GB2312" w:cs="Times New Roman"/>
                <w:color w:val="auto"/>
                <w:sz w:val="24"/>
                <w:szCs w:val="24"/>
                <w:lang w:val="en-US" w:eastAsia="zh-CN"/>
              </w:rPr>
              <w:t>）</w:t>
            </w:r>
          </w:p>
          <w:p w14:paraId="4E634BB5">
            <w:pPr>
              <w:pStyle w:val="42"/>
              <w:spacing w:line="360" w:lineRule="auto"/>
              <w:ind w:left="0" w:leftChars="0" w:firstLine="0" w:firstLineChars="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审批机关：</w:t>
            </w:r>
            <w:r>
              <w:rPr>
                <w:rFonts w:hint="eastAsia" w:cs="Times New Roman"/>
                <w:color w:val="auto"/>
                <w:sz w:val="24"/>
                <w:szCs w:val="24"/>
                <w:lang w:val="en-US" w:eastAsia="zh-CN"/>
              </w:rPr>
              <w:t>东至县</w:t>
            </w:r>
            <w:r>
              <w:rPr>
                <w:rFonts w:hint="default" w:ascii="Times New Roman" w:hAnsi="Times New Roman" w:eastAsia="仿宋_GB2312" w:cs="Times New Roman"/>
                <w:color w:val="auto"/>
                <w:sz w:val="24"/>
                <w:szCs w:val="24"/>
                <w:lang w:val="en-US" w:eastAsia="zh-CN"/>
              </w:rPr>
              <w:t>人民政府</w:t>
            </w:r>
          </w:p>
          <w:p w14:paraId="205C8ADE">
            <w:pPr>
              <w:pStyle w:val="42"/>
              <w:spacing w:line="360" w:lineRule="auto"/>
              <w:ind w:left="0" w:leftChars="0" w:firstLine="0" w:firstLineChars="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批文名称及文号：池政秘(2024)112号</w:t>
            </w:r>
          </w:p>
        </w:tc>
      </w:tr>
      <w:tr w14:paraId="292653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043" w:type="dxa"/>
            <w:gridSpan w:val="3"/>
            <w:noWrap w:val="0"/>
            <w:vAlign w:val="center"/>
          </w:tcPr>
          <w:p w14:paraId="5B866720">
            <w:pPr>
              <w:adjustRightInd w:val="0"/>
              <w:snapToGrid w:val="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规划环境影响</w:t>
            </w:r>
          </w:p>
          <w:p w14:paraId="7637DACC">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sz w:val="24"/>
                <w:szCs w:val="24"/>
              </w:rPr>
              <w:t>评价情况</w:t>
            </w:r>
          </w:p>
        </w:tc>
        <w:tc>
          <w:tcPr>
            <w:tcW w:w="6827" w:type="dxa"/>
            <w:gridSpan w:val="3"/>
            <w:noWrap w:val="0"/>
            <w:vAlign w:val="center"/>
          </w:tcPr>
          <w:p w14:paraId="2D43A87E">
            <w:pPr>
              <w:autoSpaceDE w:val="0"/>
              <w:autoSpaceDN w:val="0"/>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lang w:eastAsia="zh-CN"/>
              </w:rPr>
              <w:t>无</w:t>
            </w:r>
          </w:p>
        </w:tc>
      </w:tr>
      <w:tr w14:paraId="11C668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472" w:type="dxa"/>
            <w:noWrap w:val="0"/>
            <w:vAlign w:val="center"/>
          </w:tcPr>
          <w:p w14:paraId="6E2FAAF9">
            <w:pPr>
              <w:autoSpaceDE w:val="0"/>
              <w:autoSpaceDN w:val="0"/>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规划及规划环境</w:t>
            </w:r>
          </w:p>
          <w:p w14:paraId="34B4DB7A">
            <w:pPr>
              <w:autoSpaceDE w:val="0"/>
              <w:autoSpaceDN w:val="0"/>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影响评价符合性分析</w:t>
            </w:r>
          </w:p>
        </w:tc>
        <w:tc>
          <w:tcPr>
            <w:tcW w:w="8398" w:type="dxa"/>
            <w:gridSpan w:val="5"/>
            <w:noWrap w:val="0"/>
            <w:vAlign w:val="center"/>
          </w:tcPr>
          <w:p w14:paraId="47B1F509">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根据《东至县国土空间总体规划（2021-2035年）》的相关内容：</w:t>
            </w:r>
          </w:p>
          <w:p w14:paraId="350DA40A">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总体发展目标：把握长江经济带和皖南国际文化旅游示范区建设机遇，对接安池铜城市群和环鄱阳湖城市群，将东至建设成为沿长江生态环境优良，人文特色显著、经济发展稳健，设施配套完善的生态宜居城市。</w:t>
            </w:r>
          </w:p>
          <w:p w14:paraId="070BA850">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城市发展方向：沿东尧快速通道-泉东路交通廊道南北对接。空间发展方向概括为“北部东延、南部北接、河西控制，河东优化”的发展格局。</w:t>
            </w:r>
          </w:p>
          <w:p w14:paraId="35343D14">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eastAsia" w:cs="Times New Roman"/>
                <w:color w:val="auto"/>
                <w:sz w:val="24"/>
                <w:szCs w:val="24"/>
                <w:lang w:val="en-US" w:eastAsia="zh-CN"/>
              </w:rPr>
              <w:t>中心城区</w:t>
            </w:r>
            <w:r>
              <w:rPr>
                <w:rFonts w:hint="default" w:ascii="Times New Roman" w:hAnsi="Times New Roman" w:eastAsia="仿宋_GB2312" w:cs="Times New Roman"/>
                <w:color w:val="auto"/>
                <w:sz w:val="24"/>
                <w:szCs w:val="24"/>
                <w:lang w:val="en-US" w:eastAsia="zh-CN"/>
              </w:rPr>
              <w:t>空间结构：“一轴</w:t>
            </w:r>
            <w:r>
              <w:rPr>
                <w:rFonts w:hint="eastAsia" w:cs="Times New Roman"/>
                <w:color w:val="auto"/>
                <w:sz w:val="24"/>
                <w:szCs w:val="24"/>
                <w:lang w:val="en-US" w:eastAsia="zh-CN"/>
              </w:rPr>
              <w:t>一脉</w:t>
            </w:r>
            <w:r>
              <w:rPr>
                <w:rFonts w:hint="default" w:ascii="Times New Roman" w:hAnsi="Times New Roman" w:eastAsia="仿宋_GB2312" w:cs="Times New Roman"/>
                <w:color w:val="auto"/>
                <w:sz w:val="24"/>
                <w:szCs w:val="24"/>
                <w:lang w:val="en-US" w:eastAsia="zh-CN"/>
              </w:rPr>
              <w:t>、两廊三</w:t>
            </w:r>
            <w:r>
              <w:rPr>
                <w:rFonts w:hint="eastAsia" w:cs="Times New Roman"/>
                <w:color w:val="auto"/>
                <w:sz w:val="24"/>
                <w:szCs w:val="24"/>
                <w:lang w:val="en-US" w:eastAsia="zh-CN"/>
              </w:rPr>
              <w:t>城</w:t>
            </w:r>
            <w:r>
              <w:rPr>
                <w:rFonts w:hint="default" w:ascii="Times New Roman" w:hAnsi="Times New Roman" w:eastAsia="仿宋_GB2312" w:cs="Times New Roman"/>
                <w:color w:val="auto"/>
                <w:sz w:val="24"/>
                <w:szCs w:val="24"/>
                <w:lang w:val="en-US" w:eastAsia="zh-CN"/>
              </w:rPr>
              <w:t>”</w:t>
            </w:r>
          </w:p>
          <w:p w14:paraId="10E370B5">
            <w:pPr>
              <w:pStyle w:val="42"/>
              <w:numPr>
                <w:ilvl w:val="0"/>
                <w:numId w:val="1"/>
              </w:numPr>
              <w:spacing w:line="360" w:lineRule="auto"/>
              <w:ind w:firstLine="480"/>
              <w:jc w:val="both"/>
              <w:rPr>
                <w:rFonts w:hint="eastAsia"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一轴：依托泉东路—G206国道城市发展轴，促进尧东一体化发展，推动中心城区由“山城”时代迈向“江城”时代</w:t>
            </w:r>
            <w:r>
              <w:rPr>
                <w:rFonts w:hint="eastAsia" w:cs="Times New Roman"/>
                <w:color w:val="auto"/>
                <w:sz w:val="24"/>
                <w:szCs w:val="24"/>
                <w:lang w:val="en-US" w:eastAsia="zh-CN"/>
              </w:rPr>
              <w:t>。</w:t>
            </w:r>
          </w:p>
          <w:p w14:paraId="02CA7739">
            <w:pPr>
              <w:pStyle w:val="42"/>
              <w:numPr>
                <w:ilvl w:val="0"/>
                <w:numId w:val="1"/>
              </w:numPr>
              <w:spacing w:line="360" w:lineRule="auto"/>
              <w:ind w:firstLine="480"/>
              <w:jc w:val="both"/>
              <w:rPr>
                <w:rFonts w:hint="default" w:cs="Times New Roman"/>
                <w:color w:val="auto"/>
                <w:sz w:val="24"/>
                <w:szCs w:val="24"/>
                <w:lang w:val="en-US" w:eastAsia="zh-CN"/>
              </w:rPr>
            </w:pPr>
            <w:r>
              <w:rPr>
                <w:rFonts w:hint="eastAsia" w:cs="Times New Roman"/>
                <w:color w:val="auto"/>
                <w:sz w:val="24"/>
                <w:szCs w:val="24"/>
                <w:lang w:val="en-US" w:eastAsia="zh-CN"/>
              </w:rPr>
              <w:t>一脉：以尧渡河为城市生态主动脉，重点推进生态修复、环境整治、产业提升、创新集聚，支撑建设蓝绿交织的长江保护新样板。</w:t>
            </w:r>
          </w:p>
          <w:p w14:paraId="3FD06008">
            <w:pPr>
              <w:pStyle w:val="42"/>
              <w:numPr>
                <w:ilvl w:val="0"/>
                <w:numId w:val="1"/>
              </w:numPr>
              <w:spacing w:line="360" w:lineRule="auto"/>
              <w:ind w:firstLine="480"/>
              <w:jc w:val="both"/>
              <w:rPr>
                <w:rFonts w:hint="default" w:cs="Times New Roman"/>
                <w:color w:val="auto"/>
                <w:sz w:val="24"/>
                <w:szCs w:val="24"/>
                <w:lang w:val="en-US" w:eastAsia="zh-CN"/>
              </w:rPr>
            </w:pPr>
            <w:r>
              <w:rPr>
                <w:rFonts w:hint="default" w:cs="Times New Roman"/>
                <w:color w:val="auto"/>
                <w:sz w:val="24"/>
                <w:szCs w:val="24"/>
                <w:lang w:val="en-US" w:eastAsia="zh-CN"/>
              </w:rPr>
              <w:t>两廊：即大历山、天台山生态廊道。严格保护以上生态空间，形成多尺度、成网络、融功能的网络状城市生态廊道，优化完善中心城区生态格局。</w:t>
            </w:r>
          </w:p>
          <w:p w14:paraId="78324668">
            <w:pPr>
              <w:pStyle w:val="42"/>
              <w:numPr>
                <w:ilvl w:val="0"/>
                <w:numId w:val="1"/>
              </w:numPr>
              <w:spacing w:line="360" w:lineRule="auto"/>
              <w:ind w:firstLine="480"/>
              <w:jc w:val="both"/>
              <w:rPr>
                <w:rFonts w:hint="default" w:cs="Times New Roman"/>
                <w:color w:val="auto"/>
                <w:sz w:val="24"/>
                <w:szCs w:val="24"/>
                <w:lang w:val="en-US" w:eastAsia="zh-CN"/>
              </w:rPr>
            </w:pPr>
            <w:r>
              <w:rPr>
                <w:rFonts w:hint="default" w:cs="Times New Roman"/>
                <w:color w:val="auto"/>
                <w:sz w:val="24"/>
                <w:szCs w:val="24"/>
                <w:lang w:val="en-US" w:eastAsia="zh-CN"/>
              </w:rPr>
              <w:t>三城：即菊城片区、舜城片区、尧城片区，三城协同发展。</w:t>
            </w:r>
          </w:p>
          <w:p w14:paraId="16DF40DD">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根据规划图可知，项目规划区域用地性质为</w:t>
            </w:r>
            <w:r>
              <w:rPr>
                <w:rFonts w:hint="eastAsia" w:cs="Times New Roman"/>
                <w:color w:val="auto"/>
                <w:sz w:val="24"/>
                <w:szCs w:val="24"/>
                <w:lang w:val="en-US" w:eastAsia="zh-CN"/>
              </w:rPr>
              <w:t>商业服务业用地</w:t>
            </w:r>
            <w:r>
              <w:rPr>
                <w:rFonts w:hint="default" w:ascii="Times New Roman" w:hAnsi="Times New Roman" w:eastAsia="仿宋_GB2312" w:cs="Times New Roman"/>
                <w:color w:val="auto"/>
                <w:sz w:val="24"/>
                <w:szCs w:val="24"/>
                <w:lang w:val="en-US" w:eastAsia="zh-CN"/>
              </w:rPr>
              <w:t>，本项目为规划文本附表10重点项目安排表中规划项目，项目建设符合规划要求。</w:t>
            </w:r>
          </w:p>
          <w:p w14:paraId="220C731E">
            <w:pPr>
              <w:pStyle w:val="42"/>
              <w:spacing w:line="360" w:lineRule="auto"/>
              <w:ind w:left="0" w:leftChars="0" w:firstLine="0" w:firstLineChars="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drawing>
                <wp:inline distT="0" distB="0" distL="114300" distR="114300">
                  <wp:extent cx="5188585" cy="3312160"/>
                  <wp:effectExtent l="0" t="0" r="12065" b="2540"/>
                  <wp:docPr id="9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9"/>
                          <pic:cNvPicPr>
                            <a:picLocks noChangeAspect="1"/>
                          </pic:cNvPicPr>
                        </pic:nvPicPr>
                        <pic:blipFill>
                          <a:blip r:embed="rId10"/>
                          <a:stretch>
                            <a:fillRect/>
                          </a:stretch>
                        </pic:blipFill>
                        <pic:spPr>
                          <a:xfrm>
                            <a:off x="0" y="0"/>
                            <a:ext cx="5188585" cy="3312160"/>
                          </a:xfrm>
                          <a:prstGeom prst="rect">
                            <a:avLst/>
                          </a:prstGeom>
                          <a:noFill/>
                          <a:ln>
                            <a:noFill/>
                          </a:ln>
                        </pic:spPr>
                      </pic:pic>
                    </a:graphicData>
                  </a:graphic>
                </wp:inline>
              </w:drawing>
            </w:r>
            <w:bookmarkStart w:id="11" w:name="_GoBack"/>
            <w:bookmarkEnd w:id="11"/>
          </w:p>
        </w:tc>
      </w:tr>
      <w:tr w14:paraId="6A2A6F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594" w:type="dxa"/>
            <w:gridSpan w:val="2"/>
            <w:noWrap w:val="0"/>
            <w:vAlign w:val="center"/>
          </w:tcPr>
          <w:p w14:paraId="17F28CFF">
            <w:pPr>
              <w:autoSpaceDE w:val="0"/>
              <w:autoSpaceDN w:val="0"/>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其他符合性分析</w:t>
            </w:r>
          </w:p>
        </w:tc>
        <w:tc>
          <w:tcPr>
            <w:tcW w:w="8276" w:type="dxa"/>
            <w:gridSpan w:val="4"/>
            <w:noWrap w:val="0"/>
            <w:vAlign w:val="center"/>
          </w:tcPr>
          <w:p w14:paraId="78B03E3C">
            <w:pPr>
              <w:pStyle w:val="42"/>
              <w:spacing w:line="360" w:lineRule="auto"/>
              <w:ind w:firstLine="480"/>
              <w:jc w:val="both"/>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1、产业政策符合性分析</w:t>
            </w:r>
          </w:p>
          <w:p w14:paraId="4C68912C">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国民经济行业分类》，本项目属于“[F5265]机动车燃油零售、[F5266]机动车燃气零售、[F5267]机动车充电销售”，对照《产业结构调整指导目录（2024年本）》，本项目属于鼓励类“五十、社会事业与服务业”中“119、加油、加气站”，符合国家产业政策。因此，项目建设符合国家产业政策。</w:t>
            </w:r>
          </w:p>
          <w:p w14:paraId="4941078D">
            <w:pPr>
              <w:pStyle w:val="42"/>
              <w:spacing w:line="360" w:lineRule="auto"/>
              <w:ind w:firstLine="480"/>
              <w:jc w:val="both"/>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2、“三线一单”符合性分析</w:t>
            </w:r>
          </w:p>
          <w:p w14:paraId="22E15C43">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安徽省生态环境厅《关于印发安徽省“三线一单”生态环境分区管控管理办法》皖环发[2022]5号文要求：基于生态保护红线、环境质量底线、资源利用上线，依据现有法律法规、政策标准和管理要求等，衔接区域发展战略和生态功能定位，坚持目标导向和问题导向，从空间布局约束、污染物排放管控、环境风险防控和资源利用效率等方面明确生态环境准入要求。</w:t>
            </w:r>
          </w:p>
          <w:p w14:paraId="6B3CABC0">
            <w:pPr>
              <w:pStyle w:val="42"/>
              <w:numPr>
                <w:ilvl w:val="0"/>
                <w:numId w:val="2"/>
              </w:numPr>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生态保护红线</w:t>
            </w:r>
          </w:p>
          <w:p w14:paraId="2A112242">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w:t>根据《安徽省人民政府关于发布安徽省生态保护红线的通知（皖政秘〔2018〕120号）》（以下简称《实施方案》），《实施方案》</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将生态功能重要区域和生态环境敏感区域进行叠加合并，并与以下保护地进行校验，形成生态保护红线空间叠加图，确保划定范围涵盖国家级和省级禁止开发区域，以及其他有必要严格保护的各类保护地。</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根据《</w:t>
            </w:r>
            <w:r>
              <w:rPr>
                <w:rFonts w:hint="default" w:ascii="Times New Roman" w:hAnsi="Times New Roman" w:eastAsia="仿宋_GB2312" w:cs="Times New Roman"/>
                <w:color w:val="auto"/>
                <w:sz w:val="24"/>
                <w:szCs w:val="24"/>
                <w:lang w:val="en-US" w:eastAsia="zh-CN"/>
              </w:rPr>
              <w:t>池州市</w:t>
            </w:r>
            <w:r>
              <w:rPr>
                <w:rFonts w:hint="default" w:ascii="Times New Roman" w:hAnsi="Times New Roman" w:eastAsia="仿宋_GB2312" w:cs="Times New Roman"/>
                <w:color w:val="auto"/>
                <w:sz w:val="24"/>
                <w:szCs w:val="24"/>
                <w:lang w:val="zh-CN"/>
              </w:rPr>
              <w:t>生态保护红线区域分布图</w:t>
            </w:r>
            <w:r>
              <w:rPr>
                <w:rFonts w:hint="default" w:ascii="Times New Roman" w:hAnsi="Times New Roman" w:eastAsia="仿宋_GB2312" w:cs="Times New Roman"/>
                <w:color w:val="auto"/>
                <w:sz w:val="24"/>
                <w:szCs w:val="24"/>
              </w:rPr>
              <w:t>》，本项目所在地不在任何生态红线区域</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lang w:val="en-US" w:eastAsia="zh-CN"/>
              </w:rPr>
              <w:t>结合《全国主体功能区规划》、《安徽省主体功能区规划》和《池州市主体功能区规划》等文件分析，本项目不在任何禁止开发区域。</w:t>
            </w:r>
          </w:p>
          <w:p w14:paraId="0BD5E31D">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位于安徽省池州市东至县尧渡镇毛田村G206国道东侧、东至国祯水处理有限公司南侧，不处于饮用水水源保护区及自然保护区、风景名胜区等环境敏感地区，未涉及生态保护红线。根据东至县国土空间总体规划图鉴，项目厂界与最近生态红线直线距离约1.8</w:t>
            </w:r>
            <w:r>
              <w:rPr>
                <w:rFonts w:hint="eastAsia" w:cs="Times New Roman"/>
                <w:color w:val="auto"/>
                <w:sz w:val="24"/>
                <w:szCs w:val="24"/>
                <w:lang w:val="en-US" w:eastAsia="zh-CN"/>
              </w:rPr>
              <w:t>4</w:t>
            </w:r>
            <w:r>
              <w:rPr>
                <w:rFonts w:hint="default" w:ascii="Times New Roman" w:hAnsi="Times New Roman" w:eastAsia="仿宋_GB2312" w:cs="Times New Roman"/>
                <w:color w:val="auto"/>
                <w:sz w:val="24"/>
                <w:szCs w:val="24"/>
                <w:lang w:val="en-US" w:eastAsia="zh-CN"/>
              </w:rPr>
              <w:t>公里，具体内容见附图4。</w:t>
            </w:r>
          </w:p>
          <w:p w14:paraId="614A3FC0">
            <w:pPr>
              <w:pStyle w:val="42"/>
              <w:numPr>
                <w:ilvl w:val="0"/>
                <w:numId w:val="2"/>
              </w:numPr>
              <w:spacing w:line="360" w:lineRule="auto"/>
              <w:ind w:left="0" w:leftChars="0" w:firstLine="480" w:firstLineChars="20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环境质量底线</w:t>
            </w:r>
          </w:p>
          <w:p w14:paraId="0CA2269D">
            <w:pPr>
              <w:spacing w:line="360" w:lineRule="auto"/>
              <w:ind w:firstLine="480" w:firstLineChars="2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①环境空气质量</w:t>
            </w:r>
          </w:p>
          <w:p w14:paraId="46598061">
            <w:pPr>
              <w:spacing w:line="360" w:lineRule="auto"/>
              <w:ind w:firstLine="48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根据《202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rPr>
              <w:t>年</w:t>
            </w:r>
            <w:r>
              <w:rPr>
                <w:rFonts w:hint="default" w:ascii="Times New Roman" w:hAnsi="Times New Roman" w:eastAsia="仿宋_GB2312" w:cs="Times New Roman"/>
                <w:color w:val="auto"/>
                <w:sz w:val="24"/>
                <w:szCs w:val="24"/>
                <w:lang w:eastAsia="zh-CN"/>
              </w:rPr>
              <w:t>东至县</w:t>
            </w:r>
            <w:r>
              <w:rPr>
                <w:rFonts w:hint="default" w:ascii="Times New Roman" w:hAnsi="Times New Roman" w:eastAsia="仿宋_GB2312" w:cs="Times New Roman"/>
                <w:color w:val="auto"/>
                <w:sz w:val="24"/>
                <w:szCs w:val="24"/>
              </w:rPr>
              <w:t>环境质量状况公报》可知，202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rPr>
              <w:t>年东至县城区环境空气质量达到优、良的天数共33</w:t>
            </w:r>
            <w:r>
              <w:rPr>
                <w:rFonts w:hint="eastAsia" w:eastAsia="仿宋_GB2312" w:cs="Times New Roman"/>
                <w:color w:val="auto"/>
                <w:sz w:val="24"/>
                <w:szCs w:val="24"/>
                <w:lang w:val="en-US" w:eastAsia="zh-CN"/>
              </w:rPr>
              <w:t>3</w:t>
            </w:r>
            <w:r>
              <w:rPr>
                <w:rFonts w:hint="default" w:ascii="Times New Roman" w:hAnsi="Times New Roman" w:eastAsia="仿宋_GB2312" w:cs="Times New Roman"/>
                <w:color w:val="auto"/>
                <w:sz w:val="24"/>
                <w:szCs w:val="24"/>
              </w:rPr>
              <w:t>天，优良率为9</w:t>
            </w:r>
            <w:r>
              <w:rPr>
                <w:rFonts w:hint="eastAsia" w:eastAsia="仿宋_GB2312" w:cs="Times New Roman"/>
                <w:color w:val="auto"/>
                <w:sz w:val="24"/>
                <w:szCs w:val="24"/>
                <w:lang w:val="en-US" w:eastAsia="zh-CN"/>
              </w:rPr>
              <w:t>1.5</w:t>
            </w:r>
            <w:r>
              <w:rPr>
                <w:rFonts w:hint="default" w:ascii="Times New Roman" w:hAnsi="Times New Roman" w:eastAsia="仿宋_GB2312" w:cs="Times New Roman"/>
                <w:color w:val="auto"/>
                <w:sz w:val="24"/>
                <w:szCs w:val="24"/>
              </w:rPr>
              <w:t>%。环境空气中二氧化硫</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S</w:t>
            </w:r>
            <w:r>
              <w:rPr>
                <w:rFonts w:hint="default" w:ascii="Times New Roman" w:hAnsi="Times New Roman" w:eastAsia="仿宋_GB2312" w:cs="Times New Roman"/>
                <w:color w:val="auto"/>
                <w:sz w:val="24"/>
                <w:szCs w:val="24"/>
                <w:lang w:val="en-US" w:eastAsia="zh-CN"/>
              </w:rPr>
              <w:t>O</w:t>
            </w:r>
            <w:r>
              <w:rPr>
                <w:rFonts w:hint="default" w:ascii="Times New Roman" w:hAnsi="Times New Roman" w:eastAsia="仿宋_GB2312" w:cs="Times New Roman"/>
                <w:color w:val="auto"/>
                <w:sz w:val="24"/>
                <w:szCs w:val="24"/>
                <w:vertAlign w:val="subscript"/>
              </w:rPr>
              <w:t>2</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、二氧化氮（NO</w:t>
            </w:r>
            <w:r>
              <w:rPr>
                <w:rFonts w:hint="default" w:ascii="Times New Roman" w:hAnsi="Times New Roman" w:eastAsia="仿宋_GB2312" w:cs="Times New Roman"/>
                <w:color w:val="auto"/>
                <w:sz w:val="24"/>
                <w:szCs w:val="24"/>
                <w:vertAlign w:val="subscript"/>
              </w:rPr>
              <w:t>2</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、可吸入颗粒物（PM</w:t>
            </w:r>
            <w:r>
              <w:rPr>
                <w:rFonts w:hint="default" w:ascii="Times New Roman" w:hAnsi="Times New Roman" w:eastAsia="仿宋_GB2312" w:cs="Times New Roman"/>
                <w:color w:val="auto"/>
                <w:sz w:val="24"/>
                <w:szCs w:val="24"/>
                <w:vertAlign w:val="subscript"/>
              </w:rPr>
              <w:t>10</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、细颗粒物（PM</w:t>
            </w:r>
            <w:r>
              <w:rPr>
                <w:rFonts w:hint="default" w:ascii="Times New Roman" w:hAnsi="Times New Roman" w:eastAsia="仿宋_GB2312" w:cs="Times New Roman"/>
                <w:color w:val="auto"/>
                <w:sz w:val="24"/>
                <w:szCs w:val="24"/>
                <w:vertAlign w:val="subscript"/>
              </w:rPr>
              <w:t>2.5</w:t>
            </w:r>
            <w:r>
              <w:rPr>
                <w:rFonts w:hint="default" w:ascii="Times New Roman" w:hAnsi="Times New Roman" w:eastAsia="仿宋_GB2312" w:cs="Times New Roman"/>
                <w:color w:val="auto"/>
                <w:sz w:val="24"/>
                <w:szCs w:val="24"/>
              </w:rPr>
              <w:t>）年均浓度分别为</w:t>
            </w:r>
            <w:r>
              <w:rPr>
                <w:rFonts w:hint="eastAsia" w:eastAsia="仿宋_GB2312" w:cs="Times New Roman"/>
                <w:color w:val="auto"/>
                <w:sz w:val="24"/>
                <w:szCs w:val="24"/>
                <w:lang w:val="en-US" w:eastAsia="zh-CN"/>
              </w:rPr>
              <w:t>7</w:t>
            </w:r>
            <w:r>
              <w:rPr>
                <w:rFonts w:hint="default" w:ascii="Times New Roman" w:hAnsi="Times New Roman" w:eastAsia="仿宋_GB2312" w:cs="Times New Roman"/>
                <w:color w:val="auto"/>
                <w:sz w:val="24"/>
                <w:szCs w:val="24"/>
              </w:rPr>
              <w:t>、14、4</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rPr>
              <w:t>、2</w:t>
            </w:r>
            <w:r>
              <w:rPr>
                <w:rFonts w:hint="eastAsia" w:eastAsia="仿宋_GB2312" w:cs="Times New Roman"/>
                <w:color w:val="auto"/>
                <w:sz w:val="24"/>
                <w:szCs w:val="24"/>
                <w:lang w:val="en-US" w:eastAsia="zh-CN"/>
              </w:rPr>
              <w:t>8</w:t>
            </w:r>
            <w:r>
              <w:rPr>
                <w:rFonts w:hint="default" w:ascii="Times New Roman" w:hAnsi="Times New Roman" w:eastAsia="仿宋_GB2312" w:cs="Times New Roman"/>
                <w:color w:val="auto"/>
                <w:sz w:val="24"/>
                <w:szCs w:val="24"/>
              </w:rPr>
              <w:t>微克/立方米，一氧化碳（CO</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24小时平均第95百分位数浓度为0.</w:t>
            </w:r>
            <w:r>
              <w:rPr>
                <w:rFonts w:hint="eastAsia" w:eastAsia="仿宋_GB2312" w:cs="Times New Roman"/>
                <w:color w:val="auto"/>
                <w:sz w:val="24"/>
                <w:szCs w:val="24"/>
                <w:lang w:val="en-US" w:eastAsia="zh-CN"/>
              </w:rPr>
              <w:t>8</w:t>
            </w:r>
            <w:r>
              <w:rPr>
                <w:rFonts w:hint="default" w:ascii="Times New Roman" w:hAnsi="Times New Roman" w:eastAsia="仿宋_GB2312" w:cs="Times New Roman"/>
                <w:color w:val="auto"/>
                <w:sz w:val="24"/>
                <w:szCs w:val="24"/>
              </w:rPr>
              <w:t>毫克/立方米</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臭氧（</w:t>
            </w:r>
            <w:r>
              <w:rPr>
                <w:rFonts w:hint="default" w:ascii="Times New Roman" w:hAnsi="Times New Roman" w:eastAsia="仿宋_GB2312" w:cs="Times New Roman"/>
                <w:color w:val="auto"/>
                <w:sz w:val="24"/>
                <w:szCs w:val="24"/>
                <w:lang w:val="en-US" w:eastAsia="zh-CN"/>
              </w:rPr>
              <w:t>O</w:t>
            </w:r>
            <w:r>
              <w:rPr>
                <w:rFonts w:hint="default" w:ascii="Times New Roman" w:hAnsi="Times New Roman" w:eastAsia="仿宋_GB2312" w:cs="Times New Roman"/>
                <w:color w:val="auto"/>
                <w:sz w:val="24"/>
                <w:szCs w:val="24"/>
                <w:vertAlign w:val="subscript"/>
              </w:rPr>
              <w:t>3</w:t>
            </w:r>
            <w:r>
              <w:rPr>
                <w:rFonts w:hint="default" w:ascii="Times New Roman" w:hAnsi="Times New Roman" w:eastAsia="仿宋_GB2312" w:cs="Times New Roman"/>
                <w:color w:val="auto"/>
                <w:sz w:val="24"/>
                <w:szCs w:val="24"/>
              </w:rPr>
              <w:t>）日最大八小时平均第90百分位数浓度为1</w:t>
            </w:r>
            <w:r>
              <w:rPr>
                <w:rFonts w:hint="eastAsia" w:eastAsia="仿宋_GB2312" w:cs="Times New Roman"/>
                <w:color w:val="auto"/>
                <w:sz w:val="24"/>
                <w:szCs w:val="24"/>
                <w:lang w:val="en-US" w:eastAsia="zh-CN"/>
              </w:rPr>
              <w:t>42</w:t>
            </w:r>
            <w:r>
              <w:rPr>
                <w:rFonts w:hint="default" w:ascii="Times New Roman" w:hAnsi="Times New Roman" w:eastAsia="仿宋_GB2312" w:cs="Times New Roman"/>
                <w:color w:val="auto"/>
                <w:sz w:val="24"/>
                <w:szCs w:val="24"/>
              </w:rPr>
              <w:t>微克/立方米。</w:t>
            </w:r>
          </w:p>
          <w:tbl>
            <w:tblPr>
              <w:tblStyle w:val="20"/>
              <w:tblW w:w="794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8"/>
              <w:gridCol w:w="1845"/>
              <w:gridCol w:w="1580"/>
              <w:gridCol w:w="1460"/>
              <w:gridCol w:w="1460"/>
              <w:gridCol w:w="962"/>
            </w:tblGrid>
            <w:tr w14:paraId="2242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8" w:type="dxa"/>
                  <w:tcBorders>
                    <w:left w:val="nil"/>
                  </w:tcBorders>
                  <w:shd w:val="clear" w:color="auto" w:fill="auto"/>
                  <w:vAlign w:val="center"/>
                </w:tcPr>
                <w:p w14:paraId="67C98F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kern w:val="2"/>
                      <w:sz w:val="21"/>
                      <w:szCs w:val="21"/>
                      <w:vertAlign w:val="baseline"/>
                      <w:lang w:val="en-US" w:eastAsia="zh-CN" w:bidi="ar-SA"/>
                    </w:rPr>
                  </w:pPr>
                  <w:r>
                    <w:rPr>
                      <w:rFonts w:hint="default" w:ascii="Times New Roman" w:hAnsi="Times New Roman" w:eastAsia="仿宋_GB2312" w:cs="Times New Roman"/>
                      <w:b/>
                      <w:bCs/>
                      <w:color w:val="auto"/>
                      <w:sz w:val="21"/>
                      <w:szCs w:val="21"/>
                      <w:vertAlign w:val="baseline"/>
                      <w:lang w:eastAsia="zh-CN"/>
                    </w:rPr>
                    <w:t>序号</w:t>
                  </w:r>
                </w:p>
              </w:tc>
              <w:tc>
                <w:tcPr>
                  <w:tcW w:w="1845" w:type="dxa"/>
                  <w:shd w:val="clear" w:color="auto" w:fill="auto"/>
                  <w:vAlign w:val="center"/>
                </w:tcPr>
                <w:p w14:paraId="3A2858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kern w:val="2"/>
                      <w:sz w:val="21"/>
                      <w:szCs w:val="21"/>
                      <w:vertAlign w:val="baseline"/>
                      <w:lang w:val="en-US" w:eastAsia="zh-CN" w:bidi="ar-SA"/>
                    </w:rPr>
                  </w:pPr>
                  <w:r>
                    <w:rPr>
                      <w:rFonts w:hint="default" w:ascii="Times New Roman" w:hAnsi="Times New Roman" w:eastAsia="仿宋_GB2312" w:cs="Times New Roman"/>
                      <w:b/>
                      <w:bCs/>
                      <w:color w:val="auto"/>
                      <w:sz w:val="21"/>
                      <w:szCs w:val="21"/>
                      <w:vertAlign w:val="baseline"/>
                      <w:lang w:eastAsia="zh-CN"/>
                    </w:rPr>
                    <w:t>污染物项目</w:t>
                  </w:r>
                </w:p>
              </w:tc>
              <w:tc>
                <w:tcPr>
                  <w:tcW w:w="1580" w:type="dxa"/>
                  <w:shd w:val="clear" w:color="auto" w:fill="auto"/>
                  <w:vAlign w:val="center"/>
                </w:tcPr>
                <w:p w14:paraId="1598B6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kern w:val="2"/>
                      <w:sz w:val="21"/>
                      <w:szCs w:val="21"/>
                      <w:vertAlign w:val="baseline"/>
                      <w:lang w:val="en-US" w:eastAsia="zh-CN" w:bidi="ar-SA"/>
                    </w:rPr>
                  </w:pPr>
                  <w:r>
                    <w:rPr>
                      <w:rFonts w:hint="default" w:ascii="Times New Roman" w:hAnsi="Times New Roman" w:eastAsia="仿宋_GB2312" w:cs="Times New Roman"/>
                      <w:b/>
                      <w:bCs/>
                      <w:color w:val="auto"/>
                      <w:sz w:val="21"/>
                      <w:szCs w:val="21"/>
                      <w:vertAlign w:val="baseline"/>
                      <w:lang w:eastAsia="zh-CN"/>
                    </w:rPr>
                    <w:t>平均时间</w:t>
                  </w:r>
                </w:p>
              </w:tc>
              <w:tc>
                <w:tcPr>
                  <w:tcW w:w="1460" w:type="dxa"/>
                  <w:shd w:val="clear" w:color="auto" w:fill="auto"/>
                  <w:vAlign w:val="center"/>
                </w:tcPr>
                <w:p w14:paraId="7F6CBB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浓度限值</w:t>
                  </w:r>
                </w:p>
                <w:p w14:paraId="4C1773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kern w:val="2"/>
                      <w:sz w:val="21"/>
                      <w:szCs w:val="21"/>
                      <w:vertAlign w:val="baseline"/>
                      <w:lang w:val="en-US" w:eastAsia="zh-CN" w:bidi="ar-SA"/>
                    </w:rPr>
                  </w:pPr>
                  <w:r>
                    <w:rPr>
                      <w:rFonts w:hint="default" w:ascii="Times New Roman" w:hAnsi="Times New Roman" w:eastAsia="仿宋_GB2312" w:cs="Times New Roman"/>
                      <w:b/>
                      <w:bCs/>
                      <w:color w:val="auto"/>
                      <w:sz w:val="21"/>
                      <w:szCs w:val="21"/>
                      <w:vertAlign w:val="baseline"/>
                      <w:lang w:eastAsia="zh-CN"/>
                    </w:rPr>
                    <w:t>二级（µ</w:t>
                  </w:r>
                  <w:r>
                    <w:rPr>
                      <w:rFonts w:hint="default" w:ascii="Times New Roman" w:hAnsi="Times New Roman" w:eastAsia="仿宋_GB2312" w:cs="Times New Roman"/>
                      <w:b/>
                      <w:bCs/>
                      <w:color w:val="auto"/>
                      <w:sz w:val="21"/>
                      <w:szCs w:val="21"/>
                      <w:vertAlign w:val="baseline"/>
                      <w:lang w:val="en-US" w:eastAsia="zh-CN"/>
                    </w:rPr>
                    <w:t>g/m</w:t>
                  </w:r>
                  <w:r>
                    <w:rPr>
                      <w:rFonts w:hint="default" w:ascii="Times New Roman" w:hAnsi="Times New Roman" w:eastAsia="仿宋_GB2312" w:cs="Times New Roman"/>
                      <w:b/>
                      <w:bCs/>
                      <w:color w:val="auto"/>
                      <w:sz w:val="21"/>
                      <w:szCs w:val="21"/>
                      <w:vertAlign w:val="superscript"/>
                      <w:lang w:val="en-US" w:eastAsia="zh-CN"/>
                    </w:rPr>
                    <w:t>3</w:t>
                  </w:r>
                  <w:r>
                    <w:rPr>
                      <w:rFonts w:hint="default" w:ascii="Times New Roman" w:hAnsi="Times New Roman" w:eastAsia="仿宋_GB2312" w:cs="Times New Roman"/>
                      <w:b/>
                      <w:bCs/>
                      <w:color w:val="auto"/>
                      <w:sz w:val="21"/>
                      <w:szCs w:val="21"/>
                      <w:vertAlign w:val="baseline"/>
                      <w:lang w:eastAsia="zh-CN"/>
                    </w:rPr>
                    <w:t>）</w:t>
                  </w:r>
                </w:p>
              </w:tc>
              <w:tc>
                <w:tcPr>
                  <w:tcW w:w="1460" w:type="dxa"/>
                  <w:shd w:val="clear" w:color="auto" w:fill="auto"/>
                  <w:vAlign w:val="center"/>
                </w:tcPr>
                <w:p w14:paraId="690AB1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202</w:t>
                  </w:r>
                  <w:r>
                    <w:rPr>
                      <w:rFonts w:hint="eastAsia" w:eastAsia="仿宋_GB2312" w:cs="Times New Roman"/>
                      <w:b/>
                      <w:bCs/>
                      <w:color w:val="auto"/>
                      <w:sz w:val="21"/>
                      <w:szCs w:val="21"/>
                      <w:vertAlign w:val="baseline"/>
                      <w:lang w:val="en-US" w:eastAsia="zh-CN"/>
                    </w:rPr>
                    <w:t>5</w:t>
                  </w:r>
                  <w:r>
                    <w:rPr>
                      <w:rFonts w:hint="default" w:ascii="Times New Roman" w:hAnsi="Times New Roman" w:eastAsia="仿宋_GB2312" w:cs="Times New Roman"/>
                      <w:b/>
                      <w:bCs/>
                      <w:color w:val="auto"/>
                      <w:sz w:val="21"/>
                      <w:szCs w:val="21"/>
                      <w:vertAlign w:val="baseline"/>
                      <w:lang w:val="en-US" w:eastAsia="zh-CN"/>
                    </w:rPr>
                    <w:t>年</w:t>
                  </w:r>
                </w:p>
                <w:p w14:paraId="1F402ED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kern w:val="2"/>
                      <w:sz w:val="21"/>
                      <w:szCs w:val="21"/>
                      <w:vertAlign w:val="baseline"/>
                      <w:lang w:val="en-US" w:eastAsia="zh-CN" w:bidi="ar-SA"/>
                    </w:rPr>
                  </w:pPr>
                  <w:r>
                    <w:rPr>
                      <w:rFonts w:hint="default" w:ascii="Times New Roman" w:hAnsi="Times New Roman" w:eastAsia="仿宋_GB2312" w:cs="Times New Roman"/>
                      <w:b/>
                      <w:bCs/>
                      <w:color w:val="auto"/>
                      <w:sz w:val="21"/>
                      <w:szCs w:val="21"/>
                      <w:vertAlign w:val="baseline"/>
                      <w:lang w:val="en-US" w:eastAsia="zh-CN"/>
                    </w:rPr>
                    <w:t>均值</w:t>
                  </w:r>
                  <w:r>
                    <w:rPr>
                      <w:rFonts w:hint="default" w:ascii="Times New Roman" w:hAnsi="Times New Roman" w:eastAsia="仿宋_GB2312" w:cs="Times New Roman"/>
                      <w:b/>
                      <w:bCs/>
                      <w:color w:val="auto"/>
                      <w:sz w:val="21"/>
                      <w:szCs w:val="21"/>
                      <w:vertAlign w:val="baseline"/>
                      <w:lang w:eastAsia="zh-CN"/>
                    </w:rPr>
                    <w:t>（µ</w:t>
                  </w:r>
                  <w:r>
                    <w:rPr>
                      <w:rFonts w:hint="default" w:ascii="Times New Roman" w:hAnsi="Times New Roman" w:eastAsia="仿宋_GB2312" w:cs="Times New Roman"/>
                      <w:b/>
                      <w:bCs/>
                      <w:color w:val="auto"/>
                      <w:sz w:val="21"/>
                      <w:szCs w:val="21"/>
                      <w:vertAlign w:val="baseline"/>
                      <w:lang w:val="en-US" w:eastAsia="zh-CN"/>
                    </w:rPr>
                    <w:t>g/m</w:t>
                  </w:r>
                  <w:r>
                    <w:rPr>
                      <w:rFonts w:hint="default" w:ascii="Times New Roman" w:hAnsi="Times New Roman" w:eastAsia="仿宋_GB2312" w:cs="Times New Roman"/>
                      <w:b/>
                      <w:bCs/>
                      <w:color w:val="auto"/>
                      <w:sz w:val="21"/>
                      <w:szCs w:val="21"/>
                      <w:vertAlign w:val="superscript"/>
                      <w:lang w:val="en-US" w:eastAsia="zh-CN"/>
                    </w:rPr>
                    <w:t>3</w:t>
                  </w:r>
                  <w:r>
                    <w:rPr>
                      <w:rFonts w:hint="default" w:ascii="Times New Roman" w:hAnsi="Times New Roman" w:eastAsia="仿宋_GB2312" w:cs="Times New Roman"/>
                      <w:b/>
                      <w:bCs/>
                      <w:color w:val="auto"/>
                      <w:sz w:val="21"/>
                      <w:szCs w:val="21"/>
                      <w:vertAlign w:val="baseline"/>
                      <w:lang w:eastAsia="zh-CN"/>
                    </w:rPr>
                    <w:t>）</w:t>
                  </w:r>
                </w:p>
              </w:tc>
              <w:tc>
                <w:tcPr>
                  <w:tcW w:w="962" w:type="dxa"/>
                  <w:tcBorders>
                    <w:right w:val="nil"/>
                  </w:tcBorders>
                  <w:shd w:val="clear" w:color="auto" w:fill="auto"/>
                  <w:vAlign w:val="center"/>
                </w:tcPr>
                <w:p w14:paraId="6B532A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结果</w:t>
                  </w:r>
                </w:p>
                <w:p w14:paraId="18CA13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kern w:val="2"/>
                      <w:sz w:val="21"/>
                      <w:szCs w:val="21"/>
                      <w:vertAlign w:val="baseline"/>
                      <w:lang w:val="en-US" w:eastAsia="zh-CN" w:bidi="ar-SA"/>
                    </w:rPr>
                  </w:pPr>
                  <w:r>
                    <w:rPr>
                      <w:rFonts w:hint="default" w:ascii="Times New Roman" w:hAnsi="Times New Roman" w:eastAsia="仿宋_GB2312" w:cs="Times New Roman"/>
                      <w:b/>
                      <w:bCs/>
                      <w:color w:val="auto"/>
                      <w:sz w:val="21"/>
                      <w:szCs w:val="21"/>
                      <w:vertAlign w:val="baseline"/>
                      <w:lang w:eastAsia="zh-CN"/>
                    </w:rPr>
                    <w:t>判定</w:t>
                  </w:r>
                </w:p>
              </w:tc>
            </w:tr>
            <w:tr w14:paraId="33C70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8" w:type="dxa"/>
                  <w:tcBorders>
                    <w:left w:val="nil"/>
                  </w:tcBorders>
                  <w:vAlign w:val="center"/>
                </w:tcPr>
                <w:p w14:paraId="2C29F8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w:t>
                  </w:r>
                </w:p>
              </w:tc>
              <w:tc>
                <w:tcPr>
                  <w:tcW w:w="1845" w:type="dxa"/>
                  <w:vAlign w:val="center"/>
                </w:tcPr>
                <w:p w14:paraId="6D89C1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rPr>
                    <w:t>二氧化硫</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S</w:t>
                  </w:r>
                  <w:r>
                    <w:rPr>
                      <w:rFonts w:hint="default" w:ascii="Times New Roman" w:hAnsi="Times New Roman" w:eastAsia="仿宋_GB2312" w:cs="Times New Roman"/>
                      <w:color w:val="auto"/>
                      <w:sz w:val="21"/>
                      <w:szCs w:val="21"/>
                      <w:lang w:val="en-US" w:eastAsia="zh-CN"/>
                    </w:rPr>
                    <w:t>O</w:t>
                  </w:r>
                  <w:r>
                    <w:rPr>
                      <w:rFonts w:hint="default" w:ascii="Times New Roman" w:hAnsi="Times New Roman" w:eastAsia="仿宋_GB2312" w:cs="Times New Roman"/>
                      <w:color w:val="auto"/>
                      <w:sz w:val="21"/>
                      <w:szCs w:val="21"/>
                      <w:vertAlign w:val="subscript"/>
                    </w:rPr>
                    <w:t>2</w:t>
                  </w:r>
                  <w:r>
                    <w:rPr>
                      <w:rFonts w:hint="default" w:ascii="Times New Roman" w:hAnsi="Times New Roman" w:eastAsia="仿宋_GB2312" w:cs="Times New Roman"/>
                      <w:color w:val="auto"/>
                      <w:sz w:val="21"/>
                      <w:szCs w:val="21"/>
                      <w:lang w:eastAsia="zh-CN"/>
                    </w:rPr>
                    <w:t>）</w:t>
                  </w:r>
                </w:p>
              </w:tc>
              <w:tc>
                <w:tcPr>
                  <w:tcW w:w="1580" w:type="dxa"/>
                  <w:vAlign w:val="center"/>
                </w:tcPr>
                <w:p w14:paraId="5B8545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年平均</w:t>
                  </w:r>
                </w:p>
              </w:tc>
              <w:tc>
                <w:tcPr>
                  <w:tcW w:w="1460" w:type="dxa"/>
                  <w:vAlign w:val="center"/>
                </w:tcPr>
                <w:p w14:paraId="154EA1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60</w:t>
                  </w:r>
                </w:p>
              </w:tc>
              <w:tc>
                <w:tcPr>
                  <w:tcW w:w="1460" w:type="dxa"/>
                  <w:vAlign w:val="center"/>
                </w:tcPr>
                <w:p w14:paraId="73CD2F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eastAsia="仿宋_GB2312" w:cs="Times New Roman"/>
                      <w:color w:val="auto"/>
                      <w:sz w:val="21"/>
                      <w:szCs w:val="21"/>
                      <w:vertAlign w:val="baseline"/>
                      <w:lang w:val="en-US" w:eastAsia="zh-CN"/>
                    </w:rPr>
                    <w:t>7</w:t>
                  </w:r>
                </w:p>
              </w:tc>
              <w:tc>
                <w:tcPr>
                  <w:tcW w:w="962" w:type="dxa"/>
                  <w:tcBorders>
                    <w:right w:val="nil"/>
                  </w:tcBorders>
                  <w:vAlign w:val="center"/>
                </w:tcPr>
                <w:p w14:paraId="63C7DF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符合</w:t>
                  </w:r>
                </w:p>
              </w:tc>
            </w:tr>
            <w:tr w14:paraId="179C1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8" w:type="dxa"/>
                  <w:tcBorders>
                    <w:left w:val="nil"/>
                  </w:tcBorders>
                  <w:vAlign w:val="center"/>
                </w:tcPr>
                <w:p w14:paraId="2A6FCF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w:t>
                  </w:r>
                </w:p>
              </w:tc>
              <w:tc>
                <w:tcPr>
                  <w:tcW w:w="1845" w:type="dxa"/>
                  <w:vAlign w:val="center"/>
                </w:tcPr>
                <w:p w14:paraId="7700CE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rPr>
                    <w:t>二氧化氮（NO</w:t>
                  </w:r>
                  <w:r>
                    <w:rPr>
                      <w:rFonts w:hint="default" w:ascii="Times New Roman" w:hAnsi="Times New Roman" w:eastAsia="仿宋_GB2312" w:cs="Times New Roman"/>
                      <w:color w:val="auto"/>
                      <w:sz w:val="21"/>
                      <w:szCs w:val="21"/>
                      <w:vertAlign w:val="subscript"/>
                    </w:rPr>
                    <w:t>2</w:t>
                  </w:r>
                  <w:r>
                    <w:rPr>
                      <w:rFonts w:hint="default" w:ascii="Times New Roman" w:hAnsi="Times New Roman" w:eastAsia="仿宋_GB2312" w:cs="Times New Roman"/>
                      <w:color w:val="auto"/>
                      <w:sz w:val="21"/>
                      <w:szCs w:val="21"/>
                      <w:lang w:eastAsia="zh-CN"/>
                    </w:rPr>
                    <w:t>）</w:t>
                  </w:r>
                </w:p>
              </w:tc>
              <w:tc>
                <w:tcPr>
                  <w:tcW w:w="1580" w:type="dxa"/>
                  <w:vAlign w:val="center"/>
                </w:tcPr>
                <w:p w14:paraId="07231D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年平均</w:t>
                  </w:r>
                </w:p>
              </w:tc>
              <w:tc>
                <w:tcPr>
                  <w:tcW w:w="1460" w:type="dxa"/>
                  <w:vAlign w:val="center"/>
                </w:tcPr>
                <w:p w14:paraId="21FC5B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40</w:t>
                  </w:r>
                </w:p>
              </w:tc>
              <w:tc>
                <w:tcPr>
                  <w:tcW w:w="1460" w:type="dxa"/>
                  <w:vAlign w:val="center"/>
                </w:tcPr>
                <w:p w14:paraId="0977D8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14</w:t>
                  </w:r>
                </w:p>
              </w:tc>
              <w:tc>
                <w:tcPr>
                  <w:tcW w:w="962" w:type="dxa"/>
                  <w:tcBorders>
                    <w:right w:val="nil"/>
                  </w:tcBorders>
                  <w:vAlign w:val="center"/>
                </w:tcPr>
                <w:p w14:paraId="662E19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r>
                    <w:rPr>
                      <w:rFonts w:hint="default" w:ascii="Times New Roman" w:hAnsi="Times New Roman" w:eastAsia="仿宋_GB2312" w:cs="Times New Roman"/>
                      <w:color w:val="auto"/>
                      <w:sz w:val="21"/>
                      <w:szCs w:val="21"/>
                      <w:vertAlign w:val="baseline"/>
                      <w:lang w:eastAsia="zh-CN"/>
                    </w:rPr>
                    <w:t>符合</w:t>
                  </w:r>
                </w:p>
              </w:tc>
            </w:tr>
            <w:tr w14:paraId="11571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8" w:type="dxa"/>
                  <w:tcBorders>
                    <w:left w:val="nil"/>
                  </w:tcBorders>
                  <w:vAlign w:val="center"/>
                </w:tcPr>
                <w:p w14:paraId="7A5DB8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w:t>
                  </w:r>
                </w:p>
              </w:tc>
              <w:tc>
                <w:tcPr>
                  <w:tcW w:w="1845" w:type="dxa"/>
                  <w:vAlign w:val="center"/>
                </w:tcPr>
                <w:p w14:paraId="00067C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rPr>
                    <w:t>可吸入颗粒物（PM</w:t>
                  </w:r>
                  <w:r>
                    <w:rPr>
                      <w:rFonts w:hint="default" w:ascii="Times New Roman" w:hAnsi="Times New Roman" w:eastAsia="仿宋_GB2312" w:cs="Times New Roman"/>
                      <w:color w:val="auto"/>
                      <w:sz w:val="21"/>
                      <w:szCs w:val="21"/>
                      <w:vertAlign w:val="subscript"/>
                    </w:rPr>
                    <w:t>10</w:t>
                  </w:r>
                  <w:r>
                    <w:rPr>
                      <w:rFonts w:hint="default" w:ascii="Times New Roman" w:hAnsi="Times New Roman" w:eastAsia="仿宋_GB2312" w:cs="Times New Roman"/>
                      <w:color w:val="auto"/>
                      <w:sz w:val="21"/>
                      <w:szCs w:val="21"/>
                      <w:lang w:eastAsia="zh-CN"/>
                    </w:rPr>
                    <w:t>）</w:t>
                  </w:r>
                </w:p>
              </w:tc>
              <w:tc>
                <w:tcPr>
                  <w:tcW w:w="1580" w:type="dxa"/>
                  <w:vAlign w:val="center"/>
                </w:tcPr>
                <w:p w14:paraId="25C867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年平均</w:t>
                  </w:r>
                </w:p>
              </w:tc>
              <w:tc>
                <w:tcPr>
                  <w:tcW w:w="1460" w:type="dxa"/>
                  <w:vAlign w:val="center"/>
                </w:tcPr>
                <w:p w14:paraId="61C5DF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eastAsia" w:eastAsia="仿宋_GB2312" w:cs="Times New Roman"/>
                      <w:b/>
                      <w:bCs/>
                      <w:color w:val="auto"/>
                      <w:sz w:val="21"/>
                      <w:szCs w:val="21"/>
                      <w:vertAlign w:val="baseline"/>
                      <w:lang w:val="en-US" w:eastAsia="zh-CN"/>
                    </w:rPr>
                    <w:t>6</w:t>
                  </w:r>
                  <w:r>
                    <w:rPr>
                      <w:rFonts w:hint="default" w:ascii="Times New Roman" w:hAnsi="Times New Roman" w:eastAsia="仿宋_GB2312" w:cs="Times New Roman"/>
                      <w:b/>
                      <w:bCs/>
                      <w:color w:val="auto"/>
                      <w:sz w:val="21"/>
                      <w:szCs w:val="21"/>
                      <w:vertAlign w:val="baseline"/>
                      <w:lang w:val="en-US" w:eastAsia="zh-CN"/>
                    </w:rPr>
                    <w:t>0</w:t>
                  </w:r>
                </w:p>
              </w:tc>
              <w:tc>
                <w:tcPr>
                  <w:tcW w:w="1460" w:type="dxa"/>
                  <w:vAlign w:val="center"/>
                </w:tcPr>
                <w:p w14:paraId="4FF543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r>
                    <w:rPr>
                      <w:rFonts w:hint="eastAsia" w:eastAsia="仿宋_GB2312" w:cs="Times New Roman"/>
                      <w:color w:val="auto"/>
                      <w:sz w:val="21"/>
                      <w:szCs w:val="21"/>
                      <w:vertAlign w:val="baseline"/>
                      <w:lang w:val="en-US" w:eastAsia="zh-CN"/>
                    </w:rPr>
                    <w:t>5</w:t>
                  </w:r>
                </w:p>
              </w:tc>
              <w:tc>
                <w:tcPr>
                  <w:tcW w:w="962" w:type="dxa"/>
                  <w:tcBorders>
                    <w:right w:val="nil"/>
                  </w:tcBorders>
                  <w:vAlign w:val="center"/>
                </w:tcPr>
                <w:p w14:paraId="269D1B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r>
                    <w:rPr>
                      <w:rFonts w:hint="default" w:ascii="Times New Roman" w:hAnsi="Times New Roman" w:eastAsia="仿宋_GB2312" w:cs="Times New Roman"/>
                      <w:color w:val="auto"/>
                      <w:sz w:val="21"/>
                      <w:szCs w:val="21"/>
                      <w:vertAlign w:val="baseline"/>
                      <w:lang w:eastAsia="zh-CN"/>
                    </w:rPr>
                    <w:t>符合</w:t>
                  </w:r>
                </w:p>
              </w:tc>
            </w:tr>
            <w:tr w14:paraId="5209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8" w:type="dxa"/>
                  <w:tcBorders>
                    <w:left w:val="nil"/>
                  </w:tcBorders>
                  <w:vAlign w:val="center"/>
                </w:tcPr>
                <w:p w14:paraId="375493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1845" w:type="dxa"/>
                  <w:vAlign w:val="center"/>
                </w:tcPr>
                <w:p w14:paraId="0A0F07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r>
                    <w:rPr>
                      <w:rFonts w:hint="default" w:ascii="Times New Roman" w:hAnsi="Times New Roman" w:eastAsia="仿宋_GB2312" w:cs="Times New Roman"/>
                      <w:color w:val="auto"/>
                      <w:sz w:val="21"/>
                      <w:szCs w:val="21"/>
                    </w:rPr>
                    <w:t>细颗粒物（PM</w:t>
                  </w:r>
                  <w:r>
                    <w:rPr>
                      <w:rFonts w:hint="default" w:ascii="Times New Roman" w:hAnsi="Times New Roman" w:eastAsia="仿宋_GB2312" w:cs="Times New Roman"/>
                      <w:color w:val="auto"/>
                      <w:sz w:val="21"/>
                      <w:szCs w:val="21"/>
                      <w:vertAlign w:val="subscript"/>
                    </w:rPr>
                    <w:t>2.5</w:t>
                  </w:r>
                  <w:r>
                    <w:rPr>
                      <w:rFonts w:hint="default" w:ascii="Times New Roman" w:hAnsi="Times New Roman" w:eastAsia="仿宋_GB2312" w:cs="Times New Roman"/>
                      <w:color w:val="auto"/>
                      <w:sz w:val="21"/>
                      <w:szCs w:val="21"/>
                    </w:rPr>
                    <w:t>）</w:t>
                  </w:r>
                </w:p>
              </w:tc>
              <w:tc>
                <w:tcPr>
                  <w:tcW w:w="1580" w:type="dxa"/>
                  <w:vAlign w:val="center"/>
                </w:tcPr>
                <w:p w14:paraId="4071DA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年平均</w:t>
                  </w:r>
                </w:p>
              </w:tc>
              <w:tc>
                <w:tcPr>
                  <w:tcW w:w="1460" w:type="dxa"/>
                  <w:vAlign w:val="center"/>
                </w:tcPr>
                <w:p w14:paraId="148DAA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3</w:t>
                  </w:r>
                  <w:r>
                    <w:rPr>
                      <w:rFonts w:hint="eastAsia" w:eastAsia="仿宋_GB2312" w:cs="Times New Roman"/>
                      <w:b/>
                      <w:bCs/>
                      <w:color w:val="auto"/>
                      <w:sz w:val="21"/>
                      <w:szCs w:val="21"/>
                      <w:vertAlign w:val="baseline"/>
                      <w:lang w:val="en-US" w:eastAsia="zh-CN"/>
                    </w:rPr>
                    <w:t>0</w:t>
                  </w:r>
                </w:p>
              </w:tc>
              <w:tc>
                <w:tcPr>
                  <w:tcW w:w="1460" w:type="dxa"/>
                  <w:vAlign w:val="center"/>
                </w:tcPr>
                <w:p w14:paraId="275F95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w:t>
                  </w:r>
                  <w:r>
                    <w:rPr>
                      <w:rFonts w:hint="eastAsia" w:eastAsia="仿宋_GB2312" w:cs="Times New Roman"/>
                      <w:color w:val="auto"/>
                      <w:sz w:val="21"/>
                      <w:szCs w:val="21"/>
                      <w:vertAlign w:val="baseline"/>
                      <w:lang w:val="en-US" w:eastAsia="zh-CN"/>
                    </w:rPr>
                    <w:t>8</w:t>
                  </w:r>
                </w:p>
              </w:tc>
              <w:tc>
                <w:tcPr>
                  <w:tcW w:w="962" w:type="dxa"/>
                  <w:tcBorders>
                    <w:right w:val="nil"/>
                  </w:tcBorders>
                  <w:vAlign w:val="center"/>
                </w:tcPr>
                <w:p w14:paraId="02934BA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r>
                    <w:rPr>
                      <w:rFonts w:hint="default" w:ascii="Times New Roman" w:hAnsi="Times New Roman" w:eastAsia="仿宋_GB2312" w:cs="Times New Roman"/>
                      <w:color w:val="auto"/>
                      <w:sz w:val="21"/>
                      <w:szCs w:val="21"/>
                      <w:vertAlign w:val="baseline"/>
                      <w:lang w:eastAsia="zh-CN"/>
                    </w:rPr>
                    <w:t>符合</w:t>
                  </w:r>
                </w:p>
              </w:tc>
            </w:tr>
            <w:tr w14:paraId="57501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8" w:type="dxa"/>
                  <w:tcBorders>
                    <w:left w:val="nil"/>
                  </w:tcBorders>
                  <w:vAlign w:val="center"/>
                </w:tcPr>
                <w:p w14:paraId="3F44E9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1845" w:type="dxa"/>
                  <w:vAlign w:val="center"/>
                </w:tcPr>
                <w:p w14:paraId="638197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rPr>
                    <w:t>一氧化碳（CO</w:t>
                  </w:r>
                  <w:r>
                    <w:rPr>
                      <w:rFonts w:hint="default" w:ascii="Times New Roman" w:hAnsi="Times New Roman" w:eastAsia="仿宋_GB2312" w:cs="Times New Roman"/>
                      <w:color w:val="auto"/>
                      <w:sz w:val="21"/>
                      <w:szCs w:val="21"/>
                      <w:lang w:eastAsia="zh-CN"/>
                    </w:rPr>
                    <w:t>）</w:t>
                  </w:r>
                </w:p>
              </w:tc>
              <w:tc>
                <w:tcPr>
                  <w:tcW w:w="1580" w:type="dxa"/>
                  <w:vAlign w:val="center"/>
                </w:tcPr>
                <w:p w14:paraId="7A3483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24小时平均</w:t>
                  </w:r>
                </w:p>
              </w:tc>
              <w:tc>
                <w:tcPr>
                  <w:tcW w:w="1460" w:type="dxa"/>
                  <w:vAlign w:val="center"/>
                </w:tcPr>
                <w:p w14:paraId="3F7A1D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4</w:t>
                  </w:r>
                  <w:r>
                    <w:rPr>
                      <w:rFonts w:hint="eastAsia" w:eastAsia="仿宋_GB2312" w:cs="Times New Roman"/>
                      <w:b/>
                      <w:bCs/>
                      <w:color w:val="auto"/>
                      <w:sz w:val="21"/>
                      <w:szCs w:val="21"/>
                      <w:vertAlign w:val="baseline"/>
                      <w:lang w:val="en-US" w:eastAsia="zh-CN"/>
                    </w:rPr>
                    <w:t>000</w:t>
                  </w:r>
                </w:p>
              </w:tc>
              <w:tc>
                <w:tcPr>
                  <w:tcW w:w="1460" w:type="dxa"/>
                  <w:vAlign w:val="center"/>
                </w:tcPr>
                <w:p w14:paraId="27471B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eastAsia="仿宋_GB2312" w:cs="Times New Roman"/>
                      <w:color w:val="auto"/>
                      <w:sz w:val="21"/>
                      <w:szCs w:val="21"/>
                      <w:vertAlign w:val="baseline"/>
                      <w:lang w:val="en-US" w:eastAsia="zh-CN"/>
                    </w:rPr>
                    <w:t>800</w:t>
                  </w:r>
                </w:p>
              </w:tc>
              <w:tc>
                <w:tcPr>
                  <w:tcW w:w="962" w:type="dxa"/>
                  <w:tcBorders>
                    <w:right w:val="nil"/>
                  </w:tcBorders>
                  <w:vAlign w:val="center"/>
                </w:tcPr>
                <w:p w14:paraId="205402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r>
                    <w:rPr>
                      <w:rFonts w:hint="default" w:ascii="Times New Roman" w:hAnsi="Times New Roman" w:eastAsia="仿宋_GB2312" w:cs="Times New Roman"/>
                      <w:color w:val="auto"/>
                      <w:sz w:val="21"/>
                      <w:szCs w:val="21"/>
                      <w:vertAlign w:val="baseline"/>
                      <w:lang w:eastAsia="zh-CN"/>
                    </w:rPr>
                    <w:t>符合</w:t>
                  </w:r>
                </w:p>
              </w:tc>
            </w:tr>
            <w:tr w14:paraId="6ABD6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8" w:type="dxa"/>
                  <w:tcBorders>
                    <w:left w:val="nil"/>
                  </w:tcBorders>
                  <w:vAlign w:val="center"/>
                </w:tcPr>
                <w:p w14:paraId="15BC2F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w:t>
                  </w:r>
                </w:p>
              </w:tc>
              <w:tc>
                <w:tcPr>
                  <w:tcW w:w="1845" w:type="dxa"/>
                  <w:vAlign w:val="center"/>
                </w:tcPr>
                <w:p w14:paraId="77184C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r>
                    <w:rPr>
                      <w:rFonts w:hint="default" w:ascii="Times New Roman" w:hAnsi="Times New Roman" w:eastAsia="仿宋_GB2312" w:cs="Times New Roman"/>
                      <w:color w:val="auto"/>
                      <w:sz w:val="21"/>
                      <w:szCs w:val="21"/>
                    </w:rPr>
                    <w:t>臭氧（</w:t>
                  </w:r>
                  <w:r>
                    <w:rPr>
                      <w:rFonts w:hint="default" w:ascii="Times New Roman" w:hAnsi="Times New Roman" w:eastAsia="仿宋_GB2312" w:cs="Times New Roman"/>
                      <w:color w:val="auto"/>
                      <w:sz w:val="21"/>
                      <w:szCs w:val="21"/>
                      <w:lang w:val="en-US" w:eastAsia="zh-CN"/>
                    </w:rPr>
                    <w:t>O</w:t>
                  </w:r>
                  <w:r>
                    <w:rPr>
                      <w:rFonts w:hint="default" w:ascii="Times New Roman" w:hAnsi="Times New Roman" w:eastAsia="仿宋_GB2312" w:cs="Times New Roman"/>
                      <w:color w:val="auto"/>
                      <w:sz w:val="21"/>
                      <w:szCs w:val="21"/>
                      <w:vertAlign w:val="subscript"/>
                    </w:rPr>
                    <w:t>3</w:t>
                  </w:r>
                  <w:r>
                    <w:rPr>
                      <w:rFonts w:hint="default" w:ascii="Times New Roman" w:hAnsi="Times New Roman" w:eastAsia="仿宋_GB2312" w:cs="Times New Roman"/>
                      <w:color w:val="auto"/>
                      <w:sz w:val="21"/>
                      <w:szCs w:val="21"/>
                    </w:rPr>
                    <w:t>）</w:t>
                  </w:r>
                </w:p>
              </w:tc>
              <w:tc>
                <w:tcPr>
                  <w:tcW w:w="1580" w:type="dxa"/>
                  <w:vAlign w:val="center"/>
                </w:tcPr>
                <w:p w14:paraId="2BE9EA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eastAsia="zh-CN"/>
                    </w:rPr>
                    <w:t>日最大</w:t>
                  </w:r>
                  <w:r>
                    <w:rPr>
                      <w:rFonts w:hint="default" w:ascii="Times New Roman" w:hAnsi="Times New Roman" w:eastAsia="仿宋_GB2312" w:cs="Times New Roman"/>
                      <w:color w:val="auto"/>
                      <w:sz w:val="21"/>
                      <w:szCs w:val="21"/>
                      <w:vertAlign w:val="baseline"/>
                      <w:lang w:val="en-US" w:eastAsia="zh-CN"/>
                    </w:rPr>
                    <w:t>8小时平均</w:t>
                  </w:r>
                </w:p>
              </w:tc>
              <w:tc>
                <w:tcPr>
                  <w:tcW w:w="1460" w:type="dxa"/>
                  <w:vAlign w:val="center"/>
                </w:tcPr>
                <w:p w14:paraId="6B01B2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160</w:t>
                  </w:r>
                </w:p>
              </w:tc>
              <w:tc>
                <w:tcPr>
                  <w:tcW w:w="1460" w:type="dxa"/>
                  <w:vAlign w:val="center"/>
                </w:tcPr>
                <w:p w14:paraId="3A7CD0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w:t>
                  </w:r>
                  <w:r>
                    <w:rPr>
                      <w:rFonts w:hint="eastAsia" w:eastAsia="仿宋_GB2312" w:cs="Times New Roman"/>
                      <w:color w:val="auto"/>
                      <w:sz w:val="21"/>
                      <w:szCs w:val="21"/>
                      <w:vertAlign w:val="baseline"/>
                      <w:lang w:val="en-US" w:eastAsia="zh-CN"/>
                    </w:rPr>
                    <w:t>42</w:t>
                  </w:r>
                </w:p>
              </w:tc>
              <w:tc>
                <w:tcPr>
                  <w:tcW w:w="962" w:type="dxa"/>
                  <w:tcBorders>
                    <w:right w:val="nil"/>
                  </w:tcBorders>
                  <w:vAlign w:val="center"/>
                </w:tcPr>
                <w:p w14:paraId="7FF237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r>
                    <w:rPr>
                      <w:rFonts w:hint="default" w:ascii="Times New Roman" w:hAnsi="Times New Roman" w:eastAsia="仿宋_GB2312" w:cs="Times New Roman"/>
                      <w:color w:val="auto"/>
                      <w:sz w:val="21"/>
                      <w:szCs w:val="21"/>
                      <w:vertAlign w:val="baseline"/>
                      <w:lang w:eastAsia="zh-CN"/>
                    </w:rPr>
                    <w:t>符合</w:t>
                  </w:r>
                </w:p>
              </w:tc>
            </w:tr>
          </w:tbl>
          <w:p w14:paraId="68A9CBC2">
            <w:pPr>
              <w:spacing w:line="360" w:lineRule="auto"/>
              <w:ind w:firstLine="480"/>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kern w:val="0"/>
                <w:sz w:val="24"/>
                <w:szCs w:val="24"/>
                <w:lang w:bidi="ar"/>
              </w:rPr>
              <w:t>202</w:t>
            </w:r>
            <w:r>
              <w:rPr>
                <w:rFonts w:hint="eastAsia" w:eastAsia="仿宋_GB2312" w:cs="Times New Roman"/>
                <w:color w:val="auto"/>
                <w:kern w:val="0"/>
                <w:sz w:val="24"/>
                <w:szCs w:val="24"/>
                <w:lang w:val="en-US" w:eastAsia="zh-CN" w:bidi="ar"/>
              </w:rPr>
              <w:t>5</w:t>
            </w:r>
            <w:r>
              <w:rPr>
                <w:rFonts w:hint="default" w:ascii="Times New Roman" w:hAnsi="Times New Roman" w:eastAsia="仿宋_GB2312" w:cs="Times New Roman"/>
                <w:color w:val="auto"/>
                <w:kern w:val="0"/>
                <w:sz w:val="24"/>
                <w:szCs w:val="24"/>
                <w:lang w:bidi="ar"/>
              </w:rPr>
              <w:t>年</w:t>
            </w:r>
            <w:r>
              <w:rPr>
                <w:rFonts w:hint="default" w:ascii="Times New Roman" w:hAnsi="Times New Roman" w:eastAsia="仿宋_GB2312" w:cs="Times New Roman"/>
                <w:color w:val="auto"/>
                <w:kern w:val="0"/>
                <w:sz w:val="24"/>
                <w:szCs w:val="24"/>
                <w:lang w:eastAsia="zh-CN" w:bidi="ar"/>
              </w:rPr>
              <w:t>东至县</w:t>
            </w:r>
            <w:r>
              <w:rPr>
                <w:rFonts w:hint="default" w:ascii="Times New Roman" w:hAnsi="Times New Roman" w:eastAsia="仿宋_GB2312" w:cs="Times New Roman"/>
                <w:color w:val="auto"/>
                <w:kern w:val="0"/>
                <w:sz w:val="24"/>
                <w:szCs w:val="24"/>
                <w:lang w:bidi="ar"/>
              </w:rPr>
              <w:t>环境空气污染物基本项目NO</w:t>
            </w:r>
            <w:r>
              <w:rPr>
                <w:rFonts w:hint="default" w:ascii="Times New Roman" w:hAnsi="Times New Roman" w:eastAsia="仿宋_GB2312" w:cs="Times New Roman"/>
                <w:color w:val="auto"/>
                <w:kern w:val="0"/>
                <w:sz w:val="24"/>
                <w:szCs w:val="24"/>
                <w:vertAlign w:val="subscript"/>
                <w:lang w:bidi="ar"/>
              </w:rPr>
              <w:t>2</w:t>
            </w:r>
            <w:r>
              <w:rPr>
                <w:rFonts w:hint="default" w:ascii="Times New Roman" w:hAnsi="Times New Roman" w:eastAsia="仿宋_GB2312" w:cs="Times New Roman"/>
                <w:color w:val="auto"/>
                <w:kern w:val="0"/>
                <w:sz w:val="24"/>
                <w:szCs w:val="24"/>
                <w:lang w:bidi="ar"/>
              </w:rPr>
              <w:t>、SO</w:t>
            </w:r>
            <w:r>
              <w:rPr>
                <w:rFonts w:hint="default" w:ascii="Times New Roman" w:hAnsi="Times New Roman" w:eastAsia="仿宋_GB2312" w:cs="Times New Roman"/>
                <w:color w:val="auto"/>
                <w:kern w:val="0"/>
                <w:sz w:val="24"/>
                <w:szCs w:val="24"/>
                <w:vertAlign w:val="subscript"/>
                <w:lang w:bidi="ar"/>
              </w:rPr>
              <w:t>2</w:t>
            </w:r>
            <w:r>
              <w:rPr>
                <w:rFonts w:hint="default" w:ascii="Times New Roman" w:hAnsi="Times New Roman" w:eastAsia="仿宋_GB2312" w:cs="Times New Roman"/>
                <w:color w:val="auto"/>
                <w:kern w:val="0"/>
                <w:sz w:val="24"/>
                <w:szCs w:val="24"/>
                <w:lang w:bidi="ar"/>
              </w:rPr>
              <w:t>、PM</w:t>
            </w:r>
            <w:r>
              <w:rPr>
                <w:rFonts w:hint="default" w:ascii="Times New Roman" w:hAnsi="Times New Roman" w:eastAsia="仿宋_GB2312" w:cs="Times New Roman"/>
                <w:color w:val="auto"/>
                <w:kern w:val="0"/>
                <w:sz w:val="24"/>
                <w:szCs w:val="24"/>
                <w:vertAlign w:val="subscript"/>
                <w:lang w:bidi="ar"/>
              </w:rPr>
              <w:t>10</w:t>
            </w:r>
            <w:r>
              <w:rPr>
                <w:rFonts w:hint="default" w:ascii="Times New Roman" w:hAnsi="Times New Roman" w:eastAsia="仿宋_GB2312" w:cs="Times New Roman"/>
                <w:color w:val="auto"/>
                <w:kern w:val="0"/>
                <w:sz w:val="24"/>
                <w:szCs w:val="24"/>
                <w:vertAlign w:val="baseline"/>
                <w:lang w:eastAsia="zh-CN" w:bidi="ar"/>
              </w:rPr>
              <w:t>、</w:t>
            </w:r>
            <w:r>
              <w:rPr>
                <w:rFonts w:hint="default" w:ascii="Times New Roman" w:hAnsi="Times New Roman" w:eastAsia="仿宋_GB2312" w:cs="Times New Roman"/>
                <w:color w:val="auto"/>
                <w:kern w:val="0"/>
                <w:sz w:val="24"/>
                <w:szCs w:val="24"/>
                <w:vertAlign w:val="baseline"/>
                <w:lang w:val="en-US" w:eastAsia="zh-CN" w:bidi="ar"/>
              </w:rPr>
              <w:t>PM</w:t>
            </w:r>
            <w:r>
              <w:rPr>
                <w:rFonts w:hint="default" w:ascii="Times New Roman" w:hAnsi="Times New Roman" w:eastAsia="仿宋_GB2312" w:cs="Times New Roman"/>
                <w:color w:val="auto"/>
                <w:kern w:val="0"/>
                <w:sz w:val="24"/>
                <w:szCs w:val="24"/>
                <w:vertAlign w:val="subscript"/>
                <w:lang w:val="en-US" w:eastAsia="zh-CN" w:bidi="ar"/>
              </w:rPr>
              <w:t>2.5</w:t>
            </w:r>
            <w:r>
              <w:rPr>
                <w:rFonts w:hint="default" w:ascii="Times New Roman" w:hAnsi="Times New Roman" w:eastAsia="仿宋_GB2312" w:cs="Times New Roman"/>
                <w:color w:val="auto"/>
                <w:kern w:val="0"/>
                <w:sz w:val="24"/>
                <w:szCs w:val="24"/>
                <w:vertAlign w:val="baseline"/>
                <w:lang w:val="en-US" w:eastAsia="zh-CN" w:bidi="ar"/>
              </w:rPr>
              <w:t>、</w:t>
            </w:r>
            <w:r>
              <w:rPr>
                <w:rFonts w:hint="default" w:ascii="Times New Roman" w:hAnsi="Times New Roman" w:eastAsia="仿宋_GB2312" w:cs="Times New Roman"/>
                <w:color w:val="auto"/>
                <w:kern w:val="0"/>
                <w:sz w:val="24"/>
                <w:szCs w:val="24"/>
                <w:lang w:bidi="ar"/>
              </w:rPr>
              <w:t>CO与O</w:t>
            </w:r>
            <w:r>
              <w:rPr>
                <w:rFonts w:hint="default" w:ascii="Times New Roman" w:hAnsi="Times New Roman" w:eastAsia="仿宋_GB2312" w:cs="Times New Roman"/>
                <w:color w:val="auto"/>
                <w:kern w:val="0"/>
                <w:sz w:val="24"/>
                <w:szCs w:val="24"/>
                <w:vertAlign w:val="subscript"/>
                <w:lang w:bidi="ar"/>
              </w:rPr>
              <w:t>3</w:t>
            </w:r>
            <w:r>
              <w:rPr>
                <w:rFonts w:hint="default" w:ascii="Times New Roman" w:hAnsi="Times New Roman" w:eastAsia="仿宋_GB2312" w:cs="Times New Roman"/>
                <w:color w:val="auto"/>
                <w:kern w:val="0"/>
                <w:sz w:val="24"/>
                <w:szCs w:val="24"/>
                <w:lang w:bidi="ar"/>
              </w:rPr>
              <w:t>浓度均满足《环境空气质量标准》（GB</w:t>
            </w:r>
            <w:r>
              <w:rPr>
                <w:rFonts w:hint="default" w:ascii="Times New Roman" w:hAnsi="Times New Roman" w:eastAsia="仿宋_GB2312" w:cs="Times New Roman"/>
                <w:color w:val="auto"/>
                <w:kern w:val="0"/>
                <w:sz w:val="24"/>
                <w:szCs w:val="24"/>
                <w:lang w:val="en-US" w:eastAsia="zh-CN" w:bidi="ar"/>
              </w:rPr>
              <w:t xml:space="preserve"> </w:t>
            </w:r>
            <w:r>
              <w:rPr>
                <w:rFonts w:hint="default" w:ascii="Times New Roman" w:hAnsi="Times New Roman" w:eastAsia="仿宋_GB2312" w:cs="Times New Roman"/>
                <w:color w:val="auto"/>
                <w:kern w:val="0"/>
                <w:sz w:val="24"/>
                <w:szCs w:val="24"/>
                <w:lang w:bidi="ar"/>
              </w:rPr>
              <w:t>3095-20</w:t>
            </w:r>
            <w:r>
              <w:rPr>
                <w:rFonts w:hint="eastAsia" w:eastAsia="仿宋_GB2312" w:cs="Times New Roman"/>
                <w:color w:val="auto"/>
                <w:kern w:val="0"/>
                <w:sz w:val="24"/>
                <w:szCs w:val="24"/>
                <w:lang w:val="en-US" w:eastAsia="zh-CN" w:bidi="ar"/>
              </w:rPr>
              <w:t>26</w:t>
            </w:r>
            <w:r>
              <w:rPr>
                <w:rFonts w:hint="default" w:ascii="Times New Roman" w:hAnsi="Times New Roman" w:eastAsia="仿宋_GB2312" w:cs="Times New Roman"/>
                <w:color w:val="auto"/>
                <w:kern w:val="0"/>
                <w:sz w:val="24"/>
                <w:szCs w:val="24"/>
                <w:lang w:bidi="ar"/>
              </w:rPr>
              <w:t>）</w:t>
            </w:r>
            <w:r>
              <w:rPr>
                <w:rFonts w:hint="eastAsia" w:eastAsia="仿宋_GB2312" w:cs="Times New Roman"/>
                <w:color w:val="auto"/>
                <w:kern w:val="0"/>
                <w:sz w:val="24"/>
                <w:szCs w:val="24"/>
                <w:lang w:eastAsia="zh-CN" w:bidi="ar"/>
              </w:rPr>
              <w:t>过渡阶段</w:t>
            </w:r>
            <w:r>
              <w:rPr>
                <w:rFonts w:hint="default" w:ascii="Times New Roman" w:hAnsi="Times New Roman" w:eastAsia="仿宋_GB2312" w:cs="Times New Roman"/>
                <w:color w:val="auto"/>
                <w:kern w:val="0"/>
                <w:sz w:val="24"/>
                <w:szCs w:val="24"/>
                <w:lang w:bidi="ar"/>
              </w:rPr>
              <w:t>二级标准</w:t>
            </w:r>
            <w:r>
              <w:rPr>
                <w:rFonts w:hint="default" w:ascii="Times New Roman" w:hAnsi="Times New Roman" w:eastAsia="仿宋_GB2312" w:cs="Times New Roman"/>
                <w:color w:val="auto"/>
                <w:kern w:val="0"/>
                <w:sz w:val="24"/>
                <w:szCs w:val="24"/>
                <w:lang w:eastAsia="zh-CN" w:bidi="ar"/>
              </w:rPr>
              <w:t>限值</w:t>
            </w:r>
            <w:r>
              <w:rPr>
                <w:rFonts w:hint="default" w:ascii="Times New Roman" w:hAnsi="Times New Roman" w:eastAsia="仿宋_GB2312" w:cs="Times New Roman"/>
                <w:color w:val="auto"/>
                <w:kern w:val="0"/>
                <w:sz w:val="24"/>
                <w:szCs w:val="24"/>
                <w:lang w:bidi="ar"/>
              </w:rPr>
              <w:t>要求，</w:t>
            </w:r>
            <w:r>
              <w:rPr>
                <w:rFonts w:hint="default" w:ascii="Times New Roman" w:hAnsi="Times New Roman" w:eastAsia="仿宋_GB2312" w:cs="Times New Roman"/>
                <w:color w:val="auto"/>
                <w:sz w:val="24"/>
                <w:szCs w:val="24"/>
                <w:lang w:eastAsia="zh-CN"/>
              </w:rPr>
              <w:t>东至县</w:t>
            </w:r>
            <w:r>
              <w:rPr>
                <w:rFonts w:hint="default" w:ascii="Times New Roman" w:hAnsi="Times New Roman" w:eastAsia="仿宋_GB2312" w:cs="Times New Roman"/>
                <w:color w:val="auto"/>
                <w:sz w:val="24"/>
                <w:szCs w:val="24"/>
              </w:rPr>
              <w:t>大气环境质量</w:t>
            </w:r>
            <w:r>
              <w:rPr>
                <w:rFonts w:hint="default" w:ascii="Times New Roman" w:hAnsi="Times New Roman" w:eastAsia="仿宋_GB2312" w:cs="Times New Roman"/>
                <w:color w:val="auto"/>
                <w:sz w:val="24"/>
                <w:szCs w:val="24"/>
                <w:lang w:eastAsia="zh-CN"/>
              </w:rPr>
              <w:t>功能区属于</w:t>
            </w:r>
            <w:r>
              <w:rPr>
                <w:rFonts w:hint="default" w:ascii="Times New Roman" w:hAnsi="Times New Roman" w:eastAsia="仿宋_GB2312" w:cs="Times New Roman"/>
                <w:color w:val="auto"/>
                <w:sz w:val="24"/>
                <w:szCs w:val="24"/>
              </w:rPr>
              <w:t>达标区</w:t>
            </w:r>
            <w:r>
              <w:rPr>
                <w:rFonts w:hint="default" w:ascii="Times New Roman" w:hAnsi="Times New Roman" w:eastAsia="仿宋_GB2312" w:cs="Times New Roman"/>
                <w:color w:val="auto"/>
                <w:sz w:val="24"/>
                <w:szCs w:val="24"/>
                <w:lang w:eastAsia="zh-CN"/>
              </w:rPr>
              <w:t>。</w:t>
            </w:r>
          </w:p>
          <w:p w14:paraId="3E74E456">
            <w:pPr>
              <w:spacing w:line="360" w:lineRule="auto"/>
              <w:ind w:firstLine="480"/>
              <w:rPr>
                <w:rFonts w:hint="default" w:ascii="Times New Roman" w:hAnsi="Times New Roman" w:eastAsia="仿宋_GB2312" w:cs="Times New Roman"/>
                <w:color w:val="auto"/>
                <w:sz w:val="24"/>
                <w:szCs w:val="24"/>
                <w:lang w:bidi="ar"/>
              </w:rPr>
            </w:pPr>
            <w:r>
              <w:rPr>
                <w:rFonts w:hint="default" w:ascii="Times New Roman" w:hAnsi="Times New Roman" w:eastAsia="仿宋_GB2312" w:cs="Times New Roman"/>
                <w:color w:val="auto"/>
                <w:kern w:val="0"/>
                <w:sz w:val="24"/>
                <w:szCs w:val="24"/>
                <w:lang w:bidi="ar"/>
              </w:rPr>
              <w:t>本项目</w:t>
            </w:r>
            <w:r>
              <w:rPr>
                <w:rFonts w:hint="default" w:ascii="Times New Roman" w:hAnsi="Times New Roman" w:eastAsia="仿宋_GB2312" w:cs="Times New Roman"/>
                <w:color w:val="auto"/>
                <w:kern w:val="0"/>
                <w:sz w:val="24"/>
                <w:szCs w:val="24"/>
                <w:lang w:eastAsia="zh-CN" w:bidi="ar"/>
              </w:rPr>
              <w:t>建设后虽对环境会造成一定的影响，但</w:t>
            </w:r>
            <w:r>
              <w:rPr>
                <w:rFonts w:hint="default" w:ascii="Times New Roman" w:hAnsi="Times New Roman" w:eastAsia="仿宋_GB2312" w:cs="Times New Roman"/>
                <w:color w:val="auto"/>
                <w:kern w:val="0"/>
                <w:sz w:val="24"/>
                <w:szCs w:val="24"/>
                <w:lang w:bidi="ar"/>
              </w:rPr>
              <w:t>在采</w:t>
            </w:r>
            <w:r>
              <w:rPr>
                <w:rFonts w:hint="default" w:ascii="Times New Roman" w:hAnsi="Times New Roman" w:eastAsia="仿宋_GB2312" w:cs="Times New Roman"/>
                <w:color w:val="auto"/>
                <w:kern w:val="0"/>
                <w:sz w:val="24"/>
                <w:szCs w:val="24"/>
                <w:lang w:eastAsia="zh-CN" w:bidi="ar"/>
              </w:rPr>
              <w:t>取</w:t>
            </w:r>
            <w:r>
              <w:rPr>
                <w:rFonts w:hint="default" w:ascii="Times New Roman" w:hAnsi="Times New Roman" w:eastAsia="仿宋_GB2312" w:cs="Times New Roman"/>
                <w:color w:val="auto"/>
                <w:kern w:val="0"/>
                <w:sz w:val="24"/>
                <w:szCs w:val="24"/>
                <w:lang w:bidi="ar"/>
              </w:rPr>
              <w:t>相应的污染防治措施后各污染物均能达标排放，对周围环境影响较小，</w:t>
            </w:r>
            <w:r>
              <w:rPr>
                <w:rFonts w:hint="default" w:ascii="Times New Roman" w:hAnsi="Times New Roman" w:eastAsia="仿宋_GB2312" w:cs="Times New Roman"/>
                <w:color w:val="auto"/>
                <w:sz w:val="24"/>
                <w:szCs w:val="24"/>
                <w:lang w:bidi="ar"/>
              </w:rPr>
              <w:t>本项目的建设不会</w:t>
            </w:r>
            <w:r>
              <w:rPr>
                <w:rFonts w:hint="default" w:ascii="Times New Roman" w:hAnsi="Times New Roman" w:eastAsia="仿宋_GB2312" w:cs="Times New Roman"/>
                <w:color w:val="auto"/>
                <w:sz w:val="24"/>
                <w:szCs w:val="24"/>
                <w:lang w:eastAsia="zh-CN" w:bidi="ar"/>
              </w:rPr>
              <w:t>降低环境功能区要求</w:t>
            </w:r>
            <w:r>
              <w:rPr>
                <w:rFonts w:hint="default" w:ascii="Times New Roman" w:hAnsi="Times New Roman" w:eastAsia="仿宋_GB2312" w:cs="Times New Roman"/>
                <w:color w:val="auto"/>
                <w:sz w:val="24"/>
                <w:szCs w:val="24"/>
                <w:lang w:bidi="ar"/>
              </w:rPr>
              <w:t>，不会触碰区域环境质量底线。</w:t>
            </w:r>
          </w:p>
          <w:p w14:paraId="19D2FBA7">
            <w:pPr>
              <w:spacing w:line="360" w:lineRule="auto"/>
              <w:ind w:firstLine="480" w:firstLineChars="2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②地表水环境</w:t>
            </w:r>
          </w:p>
          <w:p w14:paraId="2FA0BA9C">
            <w:pPr>
              <w:spacing w:line="360" w:lineRule="auto"/>
              <w:ind w:firstLine="480" w:firstLineChars="2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根据《202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rPr>
              <w:t>年</w:t>
            </w:r>
            <w:r>
              <w:rPr>
                <w:rFonts w:hint="default" w:ascii="Times New Roman" w:hAnsi="Times New Roman" w:eastAsia="仿宋_GB2312" w:cs="Times New Roman"/>
                <w:color w:val="auto"/>
                <w:sz w:val="24"/>
                <w:szCs w:val="24"/>
                <w:lang w:eastAsia="zh-CN"/>
              </w:rPr>
              <w:t>东至县</w:t>
            </w:r>
            <w:r>
              <w:rPr>
                <w:rFonts w:hint="default" w:ascii="Times New Roman" w:hAnsi="Times New Roman" w:eastAsia="仿宋_GB2312" w:cs="Times New Roman"/>
                <w:color w:val="auto"/>
                <w:sz w:val="24"/>
                <w:szCs w:val="24"/>
              </w:rPr>
              <w:t>环境质量状况公报》，</w:t>
            </w:r>
            <w:r>
              <w:rPr>
                <w:rFonts w:hint="default" w:ascii="Times New Roman" w:hAnsi="Times New Roman" w:eastAsia="仿宋_GB2312" w:cs="Times New Roman"/>
                <w:color w:val="auto"/>
                <w:sz w:val="24"/>
                <w:szCs w:val="24"/>
                <w:lang w:bidi="ar"/>
              </w:rPr>
              <w:t>202</w:t>
            </w:r>
            <w:r>
              <w:rPr>
                <w:rFonts w:hint="eastAsia" w:eastAsia="仿宋_GB2312" w:cs="Times New Roman"/>
                <w:color w:val="auto"/>
                <w:sz w:val="24"/>
                <w:szCs w:val="24"/>
                <w:lang w:val="en-US" w:eastAsia="zh-CN" w:bidi="ar"/>
              </w:rPr>
              <w:t>5</w:t>
            </w:r>
            <w:r>
              <w:rPr>
                <w:rFonts w:hint="default" w:ascii="Times New Roman" w:hAnsi="Times New Roman" w:eastAsia="仿宋_GB2312" w:cs="Times New Roman"/>
                <w:color w:val="auto"/>
                <w:sz w:val="24"/>
                <w:szCs w:val="24"/>
                <w:lang w:bidi="ar"/>
              </w:rPr>
              <w:t>年黄湓河张溪断面、尧渡河东流断面、龙泉河跨省断面（鄱阳石门街）、升金湖中心点断面、尧渡河东至县上游断面和香隅河断面共6个国省控水质监测断面除升金湖中心点断面水质指标年均值未达标外，其他断面水质指标年均值均满足地表水Ⅲ类标准，优良率为83.3%。</w:t>
            </w:r>
          </w:p>
          <w:p w14:paraId="5ED6D96B">
            <w:pPr>
              <w:spacing w:line="360" w:lineRule="auto"/>
              <w:ind w:firstLine="480" w:firstLineChars="200"/>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bidi="ar"/>
              </w:rPr>
              <w:t>③</w:t>
            </w:r>
            <w:r>
              <w:rPr>
                <w:rFonts w:hint="default" w:ascii="Times New Roman" w:hAnsi="Times New Roman" w:eastAsia="仿宋_GB2312" w:cs="Times New Roman"/>
                <w:color w:val="auto"/>
                <w:sz w:val="24"/>
                <w:szCs w:val="24"/>
                <w:lang w:eastAsia="zh-CN" w:bidi="ar"/>
              </w:rPr>
              <w:t>声环境</w:t>
            </w:r>
          </w:p>
          <w:p w14:paraId="412E2F45">
            <w:pPr>
              <w:spacing w:line="360" w:lineRule="auto"/>
              <w:ind w:firstLine="480" w:firstLineChars="200"/>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根据《202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rPr>
              <w:t>年</w:t>
            </w:r>
            <w:r>
              <w:rPr>
                <w:rFonts w:hint="default" w:ascii="Times New Roman" w:hAnsi="Times New Roman" w:eastAsia="仿宋_GB2312" w:cs="Times New Roman"/>
                <w:color w:val="auto"/>
                <w:sz w:val="24"/>
                <w:szCs w:val="24"/>
                <w:lang w:eastAsia="zh-CN"/>
              </w:rPr>
              <w:t>东至县</w:t>
            </w:r>
            <w:r>
              <w:rPr>
                <w:rFonts w:hint="default" w:ascii="Times New Roman" w:hAnsi="Times New Roman" w:eastAsia="仿宋_GB2312" w:cs="Times New Roman"/>
                <w:color w:val="auto"/>
                <w:sz w:val="24"/>
                <w:szCs w:val="24"/>
              </w:rPr>
              <w:t>环境质量状况公报》，</w:t>
            </w:r>
            <w:r>
              <w:rPr>
                <w:rFonts w:hint="default" w:ascii="Times New Roman" w:hAnsi="Times New Roman" w:eastAsia="仿宋_GB2312" w:cs="Times New Roman"/>
                <w:color w:val="auto"/>
                <w:sz w:val="24"/>
                <w:szCs w:val="24"/>
                <w:lang w:eastAsia="zh-CN"/>
              </w:rPr>
              <w:t>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lang w:eastAsia="zh-CN"/>
              </w:rPr>
              <w:t>年城市道路交通噪声昼间平均等效声级6</w:t>
            </w:r>
            <w:r>
              <w:rPr>
                <w:rFonts w:hint="eastAsia" w:eastAsia="仿宋_GB2312" w:cs="Times New Roman"/>
                <w:color w:val="auto"/>
                <w:sz w:val="24"/>
                <w:szCs w:val="24"/>
                <w:lang w:val="en-US" w:eastAsia="zh-CN"/>
              </w:rPr>
              <w:t>3.8</w:t>
            </w:r>
            <w:r>
              <w:rPr>
                <w:rFonts w:hint="default" w:ascii="Times New Roman" w:hAnsi="Times New Roman" w:eastAsia="仿宋_GB2312" w:cs="Times New Roman"/>
                <w:color w:val="auto"/>
                <w:sz w:val="24"/>
                <w:szCs w:val="24"/>
                <w:lang w:eastAsia="zh-CN"/>
              </w:rPr>
              <w:t>分贝，质量等级一级（好），城市功能区点位环境噪声昼、夜间达标率为100%。</w:t>
            </w:r>
          </w:p>
          <w:p w14:paraId="68A2B4FC">
            <w:pPr>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lang w:eastAsia="zh-CN"/>
              </w:rPr>
              <w:t>项目运营期产生的生活污水</w:t>
            </w:r>
            <w:r>
              <w:rPr>
                <w:rFonts w:hint="default" w:ascii="Times New Roman" w:hAnsi="Times New Roman" w:eastAsia="仿宋_GB2312" w:cs="Times New Roman"/>
                <w:color w:val="auto"/>
                <w:sz w:val="24"/>
                <w:szCs w:val="24"/>
                <w:highlight w:val="none"/>
                <w:lang w:val="en-US" w:eastAsia="zh-CN"/>
              </w:rPr>
              <w:t>进入地埋式一体化污水处理装置处理，场地冲洗污水和室外地面雨水经排水沟收集进入隔油沉淀池，地埋式一体化污水处理装置出水和隔油池出水统一经市政污水管网接入东至国祯水处理有限公司。生产废气主要为油气挥发的有机废气</w:t>
            </w:r>
            <w:r>
              <w:rPr>
                <w:rFonts w:hint="default" w:ascii="Times New Roman" w:hAnsi="Times New Roman" w:eastAsia="仿宋_GB2312" w:cs="Times New Roman"/>
                <w:color w:val="auto"/>
                <w:sz w:val="24"/>
                <w:szCs w:val="24"/>
                <w:lang w:val="en-US" w:eastAsia="zh-CN"/>
              </w:rPr>
              <w:t>，经油气回收系统处理后排放。噪声经</w:t>
            </w:r>
            <w:r>
              <w:rPr>
                <w:rFonts w:hint="eastAsia" w:eastAsia="仿宋_GB2312" w:cs="Times New Roman"/>
                <w:color w:val="auto"/>
                <w:sz w:val="24"/>
                <w:szCs w:val="24"/>
                <w:lang w:val="en-US" w:eastAsia="zh-CN"/>
              </w:rPr>
              <w:t>减振</w:t>
            </w:r>
            <w:r>
              <w:rPr>
                <w:rFonts w:hint="default" w:ascii="Times New Roman" w:hAnsi="Times New Roman" w:eastAsia="仿宋_GB2312" w:cs="Times New Roman"/>
                <w:color w:val="auto"/>
                <w:sz w:val="24"/>
                <w:szCs w:val="24"/>
                <w:lang w:val="en-US" w:eastAsia="zh-CN"/>
              </w:rPr>
              <w:t>、隔声措施后可满足达标排放要求。生活垃圾交由环卫部门及时清运</w:t>
            </w:r>
            <w:r>
              <w:rPr>
                <w:rFonts w:hint="default" w:ascii="Times New Roman" w:hAnsi="Times New Roman" w:eastAsia="仿宋_GB2312" w:cs="Times New Roman"/>
                <w:color w:val="auto"/>
                <w:sz w:val="24"/>
                <w:szCs w:val="24"/>
                <w:highlight w:val="none"/>
                <w:lang w:val="en-US" w:eastAsia="zh-CN"/>
              </w:rPr>
              <w:t>，油罐清理残液由专业单位带走交给有相关资质的单位进行处理。</w:t>
            </w:r>
          </w:p>
          <w:p w14:paraId="523F803E">
            <w:pPr>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综上所述，项目各项污染物在采取相应防治措施后，均能够达到相应的排放标准要求，对周边环境影响较小，不会改变区域环境质量。因此本项目符合环境质量底线要求。</w:t>
            </w:r>
          </w:p>
          <w:p w14:paraId="4AFD1120">
            <w:pPr>
              <w:pStyle w:val="42"/>
              <w:numPr>
                <w:ilvl w:val="0"/>
                <w:numId w:val="2"/>
              </w:numPr>
              <w:spacing w:line="360" w:lineRule="auto"/>
              <w:ind w:left="0" w:leftChars="0" w:firstLine="480" w:firstLineChars="20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资源利用上线</w:t>
            </w:r>
          </w:p>
          <w:p w14:paraId="656C5474">
            <w:pPr>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项目水资源由</w:t>
            </w:r>
            <w:r>
              <w:rPr>
                <w:rFonts w:hint="default" w:ascii="Times New Roman" w:hAnsi="Times New Roman" w:eastAsia="仿宋_GB2312" w:cs="Times New Roman"/>
                <w:color w:val="auto"/>
                <w:sz w:val="24"/>
                <w:szCs w:val="24"/>
                <w:highlight w:val="none"/>
                <w:lang w:val="en-US" w:eastAsia="zh-CN"/>
              </w:rPr>
              <w:t>市政</w:t>
            </w:r>
            <w:r>
              <w:rPr>
                <w:rFonts w:hint="default" w:ascii="Times New Roman" w:hAnsi="Times New Roman" w:eastAsia="仿宋_GB2312" w:cs="Times New Roman"/>
                <w:color w:val="auto"/>
                <w:sz w:val="24"/>
                <w:szCs w:val="24"/>
                <w:lang w:val="en-US" w:eastAsia="zh-CN"/>
              </w:rPr>
              <w:t>供水管网供给，电资源由市政电网接入，项目用地为规划公用设施用地，因此项目资源消耗量相对区域资源利用总量较少，符合资源利用上线要求。</w:t>
            </w:r>
          </w:p>
          <w:p w14:paraId="6008558A">
            <w:pPr>
              <w:pStyle w:val="42"/>
              <w:numPr>
                <w:ilvl w:val="0"/>
                <w:numId w:val="2"/>
              </w:numPr>
              <w:spacing w:line="360" w:lineRule="auto"/>
              <w:ind w:left="0" w:leftChars="0" w:firstLine="480" w:firstLineChars="20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环境准入负面清单</w:t>
            </w:r>
          </w:p>
          <w:p w14:paraId="3043CD60">
            <w:pPr>
              <w:pStyle w:val="2"/>
              <w:spacing w:before="0" w:after="0"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对照《市场准入负面清单（2025年版）》（发改体改规[2025]466号）相关文件的相符性进行分析，经对照分析，本项目不属于负面清单中所禁止或限制类的项目，项目建设符合产业政策要求。</w:t>
            </w:r>
          </w:p>
          <w:p w14:paraId="75E23911">
            <w:pPr>
              <w:pStyle w:val="47"/>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表</w:t>
            </w:r>
            <w:r>
              <w:rPr>
                <w:rFonts w:hint="default" w:ascii="Times New Roman" w:hAnsi="Times New Roman" w:eastAsia="仿宋_GB2312" w:cs="Times New Roman"/>
                <w:color w:val="auto"/>
                <w:sz w:val="24"/>
                <w:szCs w:val="24"/>
                <w:lang w:val="en-US" w:eastAsia="zh-CN"/>
              </w:rPr>
              <w:t>1-1</w:t>
            </w:r>
            <w:r>
              <w:rPr>
                <w:rFonts w:hint="default" w:ascii="Times New Roman" w:hAnsi="Times New Roman" w:eastAsia="仿宋_GB2312" w:cs="Times New Roman"/>
                <w:color w:val="auto"/>
                <w:sz w:val="24"/>
                <w:szCs w:val="24"/>
              </w:rPr>
              <w:t xml:space="preserve"> 环境准入负面清单分析对照表</w:t>
            </w:r>
          </w:p>
          <w:tbl>
            <w:tblPr>
              <w:tblStyle w:val="19"/>
              <w:tblW w:w="4972"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76"/>
              <w:gridCol w:w="4127"/>
              <w:gridCol w:w="2996"/>
            </w:tblGrid>
            <w:tr w14:paraId="07D31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48" w:type="pct"/>
                  <w:tcBorders>
                    <w:left w:val="nil"/>
                  </w:tcBorders>
                  <w:shd w:val="clear" w:color="auto" w:fill="auto"/>
                  <w:noWrap w:val="0"/>
                  <w:vAlign w:val="center"/>
                </w:tcPr>
                <w:p w14:paraId="16F7D1E9">
                  <w:pPr>
                    <w:pStyle w:val="48"/>
                    <w:spacing w:before="0"/>
                    <w:rPr>
                      <w:rFonts w:hint="default" w:ascii="Times New Roman" w:hAnsi="Times New Roman" w:eastAsia="仿宋_GB2312" w:cs="Times New Roman"/>
                      <w:b/>
                      <w:bCs/>
                      <w:snapToGrid w:val="0"/>
                      <w:color w:val="auto"/>
                      <w:kern w:val="2"/>
                      <w:sz w:val="21"/>
                      <w:szCs w:val="21"/>
                      <w:lang w:val="en-US" w:eastAsia="zh-CN" w:bidi="ar-SA"/>
                    </w:rPr>
                  </w:pPr>
                  <w:r>
                    <w:rPr>
                      <w:rFonts w:hint="default" w:ascii="Times New Roman" w:hAnsi="Times New Roman" w:eastAsia="仿宋_GB2312" w:cs="Times New Roman"/>
                      <w:b/>
                      <w:bCs/>
                      <w:color w:val="auto"/>
                      <w:sz w:val="21"/>
                      <w:szCs w:val="21"/>
                    </w:rPr>
                    <w:t>序号</w:t>
                  </w:r>
                </w:p>
              </w:tc>
              <w:tc>
                <w:tcPr>
                  <w:tcW w:w="2579" w:type="pct"/>
                  <w:shd w:val="clear" w:color="auto" w:fill="auto"/>
                  <w:noWrap w:val="0"/>
                  <w:vAlign w:val="center"/>
                </w:tcPr>
                <w:p w14:paraId="3406BB4D">
                  <w:pPr>
                    <w:pStyle w:val="48"/>
                    <w:spacing w:before="0"/>
                    <w:rPr>
                      <w:rFonts w:hint="default" w:ascii="Times New Roman" w:hAnsi="Times New Roman" w:eastAsia="仿宋_GB2312" w:cs="Times New Roman"/>
                      <w:b/>
                      <w:bCs/>
                      <w:snapToGrid w:val="0"/>
                      <w:color w:val="auto"/>
                      <w:kern w:val="2"/>
                      <w:sz w:val="21"/>
                      <w:szCs w:val="21"/>
                      <w:lang w:val="en-US" w:eastAsia="zh-CN" w:bidi="ar-SA"/>
                    </w:rPr>
                  </w:pPr>
                  <w:r>
                    <w:rPr>
                      <w:rFonts w:hint="default" w:ascii="Times New Roman" w:hAnsi="Times New Roman" w:eastAsia="仿宋_GB2312" w:cs="Times New Roman"/>
                      <w:b/>
                      <w:bCs/>
                      <w:color w:val="auto"/>
                      <w:sz w:val="21"/>
                      <w:szCs w:val="21"/>
                    </w:rPr>
                    <w:t>文</w:t>
                  </w:r>
                  <w:r>
                    <w:rPr>
                      <w:rFonts w:hint="default" w:ascii="Times New Roman" w:hAnsi="Times New Roman" w:eastAsia="仿宋_GB2312" w:cs="Times New Roman"/>
                      <w:b/>
                      <w:bCs/>
                      <w:color w:val="auto"/>
                      <w:sz w:val="21"/>
                      <w:szCs w:val="21"/>
                      <w:lang w:val="en-US" w:eastAsia="zh-CN"/>
                    </w:rPr>
                    <w:t xml:space="preserve">  </w:t>
                  </w:r>
                  <w:r>
                    <w:rPr>
                      <w:rFonts w:hint="default" w:ascii="Times New Roman" w:hAnsi="Times New Roman" w:eastAsia="仿宋_GB2312" w:cs="Times New Roman"/>
                      <w:b/>
                      <w:bCs/>
                      <w:color w:val="auto"/>
                      <w:sz w:val="21"/>
                      <w:szCs w:val="21"/>
                    </w:rPr>
                    <w:t>件</w:t>
                  </w:r>
                </w:p>
              </w:tc>
              <w:tc>
                <w:tcPr>
                  <w:tcW w:w="1872" w:type="pct"/>
                  <w:tcBorders>
                    <w:right w:val="nil"/>
                  </w:tcBorders>
                  <w:shd w:val="clear" w:color="auto" w:fill="auto"/>
                  <w:noWrap w:val="0"/>
                  <w:vAlign w:val="center"/>
                </w:tcPr>
                <w:p w14:paraId="4D1CB356">
                  <w:pPr>
                    <w:pStyle w:val="48"/>
                    <w:spacing w:before="0"/>
                    <w:rPr>
                      <w:rFonts w:hint="default" w:ascii="Times New Roman" w:hAnsi="Times New Roman" w:eastAsia="仿宋_GB2312" w:cs="Times New Roman"/>
                      <w:b/>
                      <w:bCs/>
                      <w:snapToGrid w:val="0"/>
                      <w:color w:val="auto"/>
                      <w:kern w:val="2"/>
                      <w:sz w:val="21"/>
                      <w:szCs w:val="21"/>
                      <w:lang w:val="en-US" w:eastAsia="zh-CN" w:bidi="ar-SA"/>
                    </w:rPr>
                  </w:pPr>
                  <w:r>
                    <w:rPr>
                      <w:rFonts w:hint="default" w:ascii="Times New Roman" w:hAnsi="Times New Roman" w:eastAsia="仿宋_GB2312" w:cs="Times New Roman"/>
                      <w:b/>
                      <w:bCs/>
                      <w:color w:val="auto"/>
                      <w:sz w:val="21"/>
                      <w:szCs w:val="21"/>
                    </w:rPr>
                    <w:t>相符性分析</w:t>
                  </w:r>
                </w:p>
              </w:tc>
            </w:tr>
            <w:tr w14:paraId="20EDB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48" w:type="pct"/>
                  <w:tcBorders>
                    <w:left w:val="nil"/>
                  </w:tcBorders>
                  <w:noWrap w:val="0"/>
                  <w:vAlign w:val="center"/>
                </w:tcPr>
                <w:p w14:paraId="25B46EFA">
                  <w:pPr>
                    <w:pStyle w:val="48"/>
                    <w:spacing w:before="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1</w:t>
                  </w:r>
                </w:p>
              </w:tc>
              <w:tc>
                <w:tcPr>
                  <w:tcW w:w="2579" w:type="pct"/>
                  <w:noWrap w:val="0"/>
                  <w:vAlign w:val="center"/>
                </w:tcPr>
                <w:p w14:paraId="0E9B64FF">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《市场准入负面清单》（2025年版）</w:t>
                  </w:r>
                </w:p>
              </w:tc>
              <w:tc>
                <w:tcPr>
                  <w:tcW w:w="1872" w:type="pct"/>
                  <w:tcBorders>
                    <w:right w:val="nil"/>
                  </w:tcBorders>
                  <w:noWrap w:val="0"/>
                  <w:vAlign w:val="center"/>
                </w:tcPr>
                <w:p w14:paraId="1E27ED50">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不属于禁止准入类项目</w:t>
                  </w:r>
                </w:p>
              </w:tc>
            </w:tr>
            <w:tr w14:paraId="1E7CE9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48" w:type="pct"/>
                  <w:tcBorders>
                    <w:left w:val="nil"/>
                  </w:tcBorders>
                  <w:noWrap w:val="0"/>
                  <w:vAlign w:val="center"/>
                </w:tcPr>
                <w:p w14:paraId="496296F4">
                  <w:pPr>
                    <w:pStyle w:val="48"/>
                    <w:spacing w:before="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2</w:t>
                  </w:r>
                </w:p>
              </w:tc>
              <w:tc>
                <w:tcPr>
                  <w:tcW w:w="2579" w:type="pct"/>
                  <w:noWrap w:val="0"/>
                  <w:vAlign w:val="center"/>
                </w:tcPr>
                <w:p w14:paraId="0DBC51C1">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《产业结构调整指导目录（2024年本）》</w:t>
                  </w:r>
                </w:p>
              </w:tc>
              <w:tc>
                <w:tcPr>
                  <w:tcW w:w="1872" w:type="pct"/>
                  <w:tcBorders>
                    <w:right w:val="nil"/>
                  </w:tcBorders>
                  <w:noWrap w:val="0"/>
                  <w:vAlign w:val="center"/>
                </w:tcPr>
                <w:p w14:paraId="084BA44B">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属于鼓励类“五十、社会事业与服务业”中“119、加油、加气站”</w:t>
                  </w:r>
                </w:p>
              </w:tc>
            </w:tr>
            <w:tr w14:paraId="301C0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48" w:type="pct"/>
                  <w:tcBorders>
                    <w:left w:val="nil"/>
                  </w:tcBorders>
                  <w:noWrap w:val="0"/>
                  <w:vAlign w:val="center"/>
                </w:tcPr>
                <w:p w14:paraId="38729054">
                  <w:pPr>
                    <w:pStyle w:val="48"/>
                    <w:spacing w:before="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3</w:t>
                  </w:r>
                </w:p>
              </w:tc>
              <w:tc>
                <w:tcPr>
                  <w:tcW w:w="2579" w:type="pct"/>
                  <w:noWrap w:val="0"/>
                  <w:vAlign w:val="center"/>
                </w:tcPr>
                <w:p w14:paraId="2F1BF77B">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《自然资源要素支撑产业高质量发展指导目录（2024年本）》</w:t>
                  </w:r>
                </w:p>
              </w:tc>
              <w:tc>
                <w:tcPr>
                  <w:tcW w:w="1872" w:type="pct"/>
                  <w:tcBorders>
                    <w:right w:val="nil"/>
                  </w:tcBorders>
                  <w:noWrap w:val="0"/>
                  <w:vAlign w:val="center"/>
                </w:tcPr>
                <w:p w14:paraId="0BA08158">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不属于限制和禁止用地</w:t>
                  </w:r>
                </w:p>
              </w:tc>
            </w:tr>
            <w:tr w14:paraId="2339AC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48" w:type="pct"/>
                  <w:tcBorders>
                    <w:left w:val="nil"/>
                  </w:tcBorders>
                  <w:noWrap w:val="0"/>
                  <w:vAlign w:val="center"/>
                </w:tcPr>
                <w:p w14:paraId="4BD5C28D">
                  <w:pPr>
                    <w:pStyle w:val="48"/>
                    <w:spacing w:before="0"/>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w:t>
                  </w:r>
                </w:p>
              </w:tc>
              <w:tc>
                <w:tcPr>
                  <w:tcW w:w="2579" w:type="pct"/>
                  <w:noWrap w:val="0"/>
                  <w:vAlign w:val="center"/>
                </w:tcPr>
                <w:p w14:paraId="4B4A6B24">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《长江经济带发展负面清单指南》（试行，2022年版）</w:t>
                  </w:r>
                </w:p>
              </w:tc>
              <w:tc>
                <w:tcPr>
                  <w:tcW w:w="1872" w:type="pct"/>
                  <w:tcBorders>
                    <w:right w:val="nil"/>
                  </w:tcBorders>
                  <w:noWrap w:val="0"/>
                  <w:vAlign w:val="center"/>
                </w:tcPr>
                <w:p w14:paraId="26CB5130">
                  <w:pPr>
                    <w:widowControl/>
                    <w:jc w:val="both"/>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不属于禁止类项目</w:t>
                  </w:r>
                </w:p>
              </w:tc>
            </w:tr>
            <w:tr w14:paraId="1C9CF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548" w:type="pct"/>
                  <w:tcBorders>
                    <w:left w:val="nil"/>
                  </w:tcBorders>
                  <w:noWrap w:val="0"/>
                  <w:vAlign w:val="center"/>
                </w:tcPr>
                <w:p w14:paraId="6F9DF222">
                  <w:pPr>
                    <w:pStyle w:val="48"/>
                    <w:spacing w:before="0"/>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5</w:t>
                  </w:r>
                </w:p>
              </w:tc>
              <w:tc>
                <w:tcPr>
                  <w:tcW w:w="2579" w:type="pct"/>
                  <w:noWrap w:val="0"/>
                  <w:vAlign w:val="center"/>
                </w:tcPr>
                <w:p w14:paraId="679809AD">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《安徽省长江经济带发展负面清单实施细则（试行，2022年版）》</w:t>
                  </w:r>
                </w:p>
              </w:tc>
              <w:tc>
                <w:tcPr>
                  <w:tcW w:w="1872" w:type="pct"/>
                  <w:tcBorders>
                    <w:right w:val="nil"/>
                  </w:tcBorders>
                  <w:noWrap w:val="0"/>
                  <w:vAlign w:val="center"/>
                </w:tcPr>
                <w:p w14:paraId="4CFC0481">
                  <w:pPr>
                    <w:widowControl/>
                    <w:jc w:val="both"/>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不属于禁止类项目</w:t>
                  </w:r>
                </w:p>
              </w:tc>
            </w:tr>
          </w:tbl>
          <w:p w14:paraId="08B27CE7">
            <w:pPr>
              <w:pStyle w:val="42"/>
              <w:keepNext w:val="0"/>
              <w:keepLines w:val="0"/>
              <w:pageBreakBefore w:val="0"/>
              <w:widowControl w:val="0"/>
              <w:kinsoku/>
              <w:wordWrap/>
              <w:overflowPunct/>
              <w:topLinePunct w:val="0"/>
              <w:autoSpaceDE/>
              <w:autoSpaceDN/>
              <w:bidi w:val="0"/>
              <w:adjustRightInd/>
              <w:snapToGrid/>
              <w:spacing w:before="157" w:beforeLines="50" w:line="360" w:lineRule="auto"/>
              <w:ind w:firstLine="480"/>
              <w:jc w:val="both"/>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综上分析，建设单位在落实本“报告表”提出的各项污染防治措施及环境管理要求的前提下，本项目建设符合“三线一单”的要求。</w:t>
            </w:r>
          </w:p>
          <w:p w14:paraId="0E489221">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（5）分区管控要求</w:t>
            </w:r>
          </w:p>
          <w:p w14:paraId="3D54BC88">
            <w:pPr>
              <w:autoSpaceDE w:val="0"/>
              <w:autoSpaceDN w:val="0"/>
              <w:adjustRightInd w:val="0"/>
              <w:snapToGrid w:val="0"/>
              <w:spacing w:line="360" w:lineRule="auto"/>
              <w:ind w:firstLine="480" w:firstLineChars="200"/>
              <w:rPr>
                <w:rFonts w:hint="default" w:ascii="Times New Roman" w:hAnsi="Times New Roman" w:eastAsia="仿宋_GB2312" w:cs="Times New Roman"/>
                <w:color w:val="auto"/>
                <w:kern w:val="0"/>
                <w:sz w:val="24"/>
                <w:szCs w:val="24"/>
                <w:lang w:eastAsia="zh-CN"/>
              </w:rPr>
            </w:pPr>
            <w:r>
              <w:rPr>
                <w:rFonts w:hint="default" w:ascii="Times New Roman" w:hAnsi="Times New Roman" w:eastAsia="仿宋_GB2312" w:cs="Times New Roman"/>
                <w:color w:val="auto"/>
                <w:kern w:val="0"/>
                <w:sz w:val="24"/>
                <w:szCs w:val="24"/>
                <w:lang w:eastAsia="zh-CN"/>
              </w:rPr>
              <w:t>对照安徽省“三线一单”公众服务平台，本项目选址涉及的环境管控单元如下表</w:t>
            </w:r>
            <w:r>
              <w:rPr>
                <w:rFonts w:hint="default" w:ascii="Times New Roman" w:hAnsi="Times New Roman" w:eastAsia="仿宋_GB2312" w:cs="Times New Roman"/>
                <w:color w:val="auto"/>
                <w:kern w:val="0"/>
                <w:sz w:val="24"/>
                <w:szCs w:val="24"/>
                <w:lang w:val="en-US" w:eastAsia="zh-CN"/>
              </w:rPr>
              <w:t>1-2及图1-1，安徽“三线一单”管控要求查询报告见附件11</w:t>
            </w:r>
            <w:r>
              <w:rPr>
                <w:rFonts w:hint="default" w:ascii="Times New Roman" w:hAnsi="Times New Roman" w:eastAsia="仿宋_GB2312" w:cs="Times New Roman"/>
                <w:color w:val="auto"/>
                <w:kern w:val="0"/>
                <w:sz w:val="24"/>
                <w:szCs w:val="24"/>
                <w:lang w:eastAsia="zh-CN"/>
              </w:rPr>
              <w:t>。</w:t>
            </w:r>
          </w:p>
          <w:p w14:paraId="17F6F562">
            <w:pPr>
              <w:pStyle w:val="49"/>
              <w:adjustRightInd w:val="0"/>
              <w:spacing w:line="240" w:lineRule="auto"/>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eastAsia="zh-CN"/>
              </w:rPr>
              <w:t>表</w:t>
            </w:r>
            <w:r>
              <w:rPr>
                <w:rFonts w:hint="default" w:ascii="Times New Roman" w:hAnsi="Times New Roman" w:eastAsia="仿宋_GB2312" w:cs="Times New Roman"/>
                <w:color w:val="auto"/>
                <w:sz w:val="24"/>
                <w:szCs w:val="24"/>
                <w:lang w:val="en-US" w:eastAsia="zh-CN"/>
              </w:rPr>
              <w:t>1-2 本项目选址涉及环境管控单元清单</w:t>
            </w:r>
          </w:p>
          <w:tbl>
            <w:tblPr>
              <w:tblStyle w:val="20"/>
              <w:tblW w:w="7980"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492"/>
              <w:gridCol w:w="2788"/>
              <w:gridCol w:w="2700"/>
            </w:tblGrid>
            <w:tr w14:paraId="5DA2368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492" w:type="dxa"/>
                  <w:tcBorders>
                    <w:tl2br w:val="nil"/>
                    <w:tr2bl w:val="nil"/>
                  </w:tcBorders>
                  <w:shd w:val="clear" w:color="auto" w:fill="auto"/>
                  <w:vAlign w:val="center"/>
                </w:tcPr>
                <w:p w14:paraId="28561389">
                  <w:pPr>
                    <w:jc w:val="center"/>
                    <w:rPr>
                      <w:rFonts w:hint="default" w:ascii="Times New Roman" w:hAnsi="Times New Roman" w:eastAsia="仿宋_GB2312" w:cs="Times New Roman"/>
                      <w:b/>
                      <w:bCs/>
                      <w:color w:val="auto"/>
                      <w:kern w:val="2"/>
                      <w:sz w:val="21"/>
                      <w:szCs w:val="21"/>
                      <w:highlight w:val="none"/>
                      <w:lang w:val="en-US" w:eastAsia="zh-CN" w:bidi="ar-SA"/>
                    </w:rPr>
                  </w:pPr>
                  <w:r>
                    <w:rPr>
                      <w:rFonts w:hint="default" w:ascii="Times New Roman" w:hAnsi="Times New Roman" w:eastAsia="仿宋_GB2312" w:cs="Times New Roman"/>
                      <w:b/>
                      <w:bCs/>
                      <w:color w:val="auto"/>
                      <w:sz w:val="21"/>
                      <w:szCs w:val="21"/>
                      <w:highlight w:val="none"/>
                      <w:lang w:val="en-US" w:eastAsia="zh-CN"/>
                    </w:rPr>
                    <w:t>管控单元编码</w:t>
                  </w:r>
                </w:p>
              </w:tc>
              <w:tc>
                <w:tcPr>
                  <w:tcW w:w="2788" w:type="dxa"/>
                  <w:tcBorders>
                    <w:tl2br w:val="nil"/>
                    <w:tr2bl w:val="nil"/>
                  </w:tcBorders>
                  <w:shd w:val="clear" w:color="auto" w:fill="auto"/>
                  <w:vAlign w:val="center"/>
                </w:tcPr>
                <w:p w14:paraId="460FDBD7">
                  <w:pPr>
                    <w:jc w:val="center"/>
                    <w:rPr>
                      <w:rFonts w:hint="default" w:ascii="Times New Roman" w:hAnsi="Times New Roman" w:eastAsia="仿宋_GB2312" w:cs="Times New Roman"/>
                      <w:b/>
                      <w:bCs/>
                      <w:color w:val="auto"/>
                      <w:kern w:val="2"/>
                      <w:sz w:val="21"/>
                      <w:szCs w:val="21"/>
                      <w:highlight w:val="none"/>
                      <w:lang w:val="en-US" w:eastAsia="zh-CN" w:bidi="ar-SA"/>
                    </w:rPr>
                  </w:pPr>
                  <w:r>
                    <w:rPr>
                      <w:rFonts w:hint="default" w:ascii="Times New Roman" w:hAnsi="Times New Roman" w:eastAsia="仿宋_GB2312" w:cs="Times New Roman"/>
                      <w:b/>
                      <w:bCs/>
                      <w:color w:val="auto"/>
                      <w:sz w:val="21"/>
                      <w:szCs w:val="21"/>
                      <w:highlight w:val="none"/>
                      <w:lang w:val="en-US" w:eastAsia="zh-CN"/>
                    </w:rPr>
                    <w:t>管控单元名称</w:t>
                  </w:r>
                </w:p>
              </w:tc>
              <w:tc>
                <w:tcPr>
                  <w:tcW w:w="2700" w:type="dxa"/>
                  <w:tcBorders>
                    <w:tl2br w:val="nil"/>
                    <w:tr2bl w:val="nil"/>
                  </w:tcBorders>
                  <w:shd w:val="clear" w:color="auto" w:fill="auto"/>
                  <w:vAlign w:val="center"/>
                </w:tcPr>
                <w:p w14:paraId="3B79362A">
                  <w:pPr>
                    <w:jc w:val="center"/>
                    <w:rPr>
                      <w:rFonts w:hint="default" w:ascii="Times New Roman" w:hAnsi="Times New Roman" w:eastAsia="仿宋_GB2312" w:cs="Times New Roman"/>
                      <w:b/>
                      <w:bCs/>
                      <w:color w:val="auto"/>
                      <w:kern w:val="2"/>
                      <w:sz w:val="21"/>
                      <w:szCs w:val="21"/>
                      <w:highlight w:val="none"/>
                      <w:lang w:val="en-US" w:eastAsia="zh-CN" w:bidi="ar-SA"/>
                    </w:rPr>
                  </w:pPr>
                  <w:r>
                    <w:rPr>
                      <w:rFonts w:hint="default" w:ascii="Times New Roman" w:hAnsi="Times New Roman" w:eastAsia="仿宋_GB2312" w:cs="Times New Roman"/>
                      <w:b/>
                      <w:bCs/>
                      <w:color w:val="auto"/>
                      <w:sz w:val="21"/>
                      <w:szCs w:val="21"/>
                      <w:highlight w:val="none"/>
                      <w:lang w:val="en-US" w:eastAsia="zh-CN"/>
                    </w:rPr>
                    <w:t>管控单元分类</w:t>
                  </w:r>
                </w:p>
              </w:tc>
            </w:tr>
            <w:tr w14:paraId="1CB2734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492" w:type="dxa"/>
                  <w:tcBorders>
                    <w:tl2br w:val="nil"/>
                    <w:tr2bl w:val="nil"/>
                  </w:tcBorders>
                  <w:vAlign w:val="center"/>
                </w:tcPr>
                <w:p w14:paraId="6F5A3D0A">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r>
                    <w:rPr>
                      <w:rFonts w:hint="default" w:ascii="Times New Roman" w:hAnsi="Times New Roman" w:eastAsia="仿宋_GB2312" w:cs="Times New Roman"/>
                      <w:color w:val="auto"/>
                      <w:kern w:val="0"/>
                      <w:sz w:val="21"/>
                      <w:szCs w:val="21"/>
                      <w:lang w:eastAsia="zh-CN" w:bidi="ar"/>
                    </w:rPr>
                    <w:t>ZH34172110010</w:t>
                  </w:r>
                </w:p>
              </w:tc>
              <w:tc>
                <w:tcPr>
                  <w:tcW w:w="2788" w:type="dxa"/>
                  <w:tcBorders>
                    <w:tl2br w:val="nil"/>
                    <w:tr2bl w:val="nil"/>
                  </w:tcBorders>
                  <w:vAlign w:val="center"/>
                </w:tcPr>
                <w:p w14:paraId="328BDF57">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r>
                    <w:rPr>
                      <w:rFonts w:hint="default" w:ascii="Times New Roman" w:hAnsi="Times New Roman" w:eastAsia="仿宋_GB2312" w:cs="Times New Roman"/>
                      <w:color w:val="auto"/>
                      <w:kern w:val="0"/>
                      <w:sz w:val="21"/>
                      <w:szCs w:val="21"/>
                      <w:lang w:eastAsia="zh-CN" w:bidi="ar"/>
                    </w:rPr>
                    <w:t>优先保护单元10</w:t>
                  </w:r>
                </w:p>
              </w:tc>
              <w:tc>
                <w:tcPr>
                  <w:tcW w:w="2700" w:type="dxa"/>
                  <w:tcBorders>
                    <w:tl2br w:val="nil"/>
                    <w:tr2bl w:val="nil"/>
                  </w:tcBorders>
                  <w:vAlign w:val="center"/>
                </w:tcPr>
                <w:p w14:paraId="37FF0767">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r>
                    <w:rPr>
                      <w:rFonts w:hint="default" w:ascii="Times New Roman" w:hAnsi="Times New Roman" w:eastAsia="仿宋_GB2312" w:cs="Times New Roman"/>
                      <w:color w:val="auto"/>
                      <w:kern w:val="0"/>
                      <w:sz w:val="21"/>
                      <w:szCs w:val="21"/>
                      <w:lang w:eastAsia="zh-CN" w:bidi="ar"/>
                    </w:rPr>
                    <w:t>优先保护单元</w:t>
                  </w:r>
                </w:p>
              </w:tc>
            </w:tr>
          </w:tbl>
          <w:p w14:paraId="21AD159B">
            <w:pPr>
              <w:autoSpaceDE w:val="0"/>
              <w:autoSpaceDN w:val="0"/>
              <w:adjustRightInd w:val="0"/>
              <w:snapToGrid w:val="0"/>
              <w:spacing w:line="360" w:lineRule="auto"/>
              <w:rPr>
                <w:rFonts w:hint="default" w:ascii="Times New Roman" w:hAnsi="Times New Roman" w:eastAsia="仿宋_GB2312" w:cs="Times New Roman"/>
                <w:color w:val="auto"/>
                <w:sz w:val="24"/>
                <w:szCs w:val="24"/>
              </w:rPr>
            </w:pPr>
          </w:p>
          <w:p w14:paraId="4508C0F4">
            <w:pPr>
              <w:autoSpaceDE w:val="0"/>
              <w:autoSpaceDN w:val="0"/>
              <w:adjustRightInd w:val="0"/>
              <w:snapToGrid w:val="0"/>
              <w:spacing w:line="360" w:lineRule="auto"/>
              <w:jc w:val="center"/>
              <w:rPr>
                <w:rFonts w:hint="default" w:ascii="Times New Roman" w:hAnsi="Times New Roman" w:eastAsia="仿宋_GB2312" w:cs="Times New Roman"/>
                <w:color w:val="auto"/>
                <w:kern w:val="0"/>
                <w:sz w:val="24"/>
                <w:szCs w:val="24"/>
                <w:lang w:eastAsia="zh-CN"/>
              </w:rPr>
            </w:pPr>
            <w:r>
              <w:rPr>
                <w:color w:val="auto"/>
                <w:sz w:val="24"/>
              </w:rPr>
              <mc:AlternateContent>
                <mc:Choice Requires="wpg">
                  <w:drawing>
                    <wp:anchor distT="0" distB="0" distL="114300" distR="114300" simplePos="0" relativeHeight="251671552" behindDoc="0" locked="0" layoutInCell="1" allowOverlap="1">
                      <wp:simplePos x="0" y="0"/>
                      <wp:positionH relativeFrom="column">
                        <wp:posOffset>1172210</wp:posOffset>
                      </wp:positionH>
                      <wp:positionV relativeFrom="paragraph">
                        <wp:posOffset>429895</wp:posOffset>
                      </wp:positionV>
                      <wp:extent cx="1728470" cy="683260"/>
                      <wp:effectExtent l="0" t="0" r="3810" b="20320"/>
                      <wp:wrapNone/>
                      <wp:docPr id="81" name="组合 81"/>
                      <wp:cNvGraphicFramePr/>
                      <a:graphic xmlns:a="http://schemas.openxmlformats.org/drawingml/2006/main">
                        <a:graphicData uri="http://schemas.microsoft.com/office/word/2010/wordprocessingGroup">
                          <wpg:wgp>
                            <wpg:cNvGrpSpPr/>
                            <wpg:grpSpPr>
                              <a:xfrm>
                                <a:off x="0" y="0"/>
                                <a:ext cx="1728470" cy="683260"/>
                                <a:chOff x="6494" y="133313"/>
                                <a:chExt cx="2722" cy="1076"/>
                              </a:xfrm>
                            </wpg:grpSpPr>
                            <wps:wsp>
                              <wps:cNvPr id="93" name="直接箭头连接符 93"/>
                              <wps:cNvCnPr/>
                              <wps:spPr>
                                <a:xfrm>
                                  <a:off x="7454" y="133695"/>
                                  <a:ext cx="1763" cy="694"/>
                                </a:xfrm>
                                <a:prstGeom prst="straightConnector1">
                                  <a:avLst/>
                                </a:prstGeom>
                                <a:ln>
                                  <a:solidFill>
                                    <a:schemeClr val="accent1">
                                      <a:alpha val="80000"/>
                                    </a:schemeClr>
                                  </a:solidFill>
                                  <a:tailEnd type="arrow"/>
                                </a:ln>
                              </wps:spPr>
                              <wps:style>
                                <a:lnRef idx="2">
                                  <a:schemeClr val="accent1"/>
                                </a:lnRef>
                                <a:fillRef idx="0">
                                  <a:srgbClr val="FFFFFF"/>
                                </a:fillRef>
                                <a:effectRef idx="0">
                                  <a:srgbClr val="FFFFFF"/>
                                </a:effectRef>
                                <a:fontRef idx="minor">
                                  <a:schemeClr val="tx1"/>
                                </a:fontRef>
                              </wps:style>
                              <wps:bodyPr/>
                            </wps:wsp>
                            <wps:wsp>
                              <wps:cNvPr id="94" name="文本框 94"/>
                              <wps:cNvSpPr txBox="1"/>
                              <wps:spPr>
                                <a:xfrm>
                                  <a:off x="6494" y="133313"/>
                                  <a:ext cx="1210" cy="58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4D7A92">
                                    <w:pPr>
                                      <w:rPr>
                                        <w:rFonts w:hint="eastAsia" w:eastAsia="宋体"/>
                                        <w:b/>
                                        <w:bCs/>
                                        <w:color w:val="0000FF"/>
                                        <w:lang w:eastAsia="zh-CN"/>
                                      </w:rPr>
                                    </w:pPr>
                                    <w:r>
                                      <w:rPr>
                                        <w:rFonts w:hint="eastAsia"/>
                                        <w:b/>
                                        <w:bCs/>
                                        <w:color w:val="0000FF"/>
                                        <w:lang w:eastAsia="zh-CN"/>
                                      </w:rPr>
                                      <w:t>本项目</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92.3pt;margin-top:33.85pt;height:53.8pt;width:136.1pt;z-index:251671552;mso-width-relative:page;mso-height-relative:page;" coordorigin="6494,133313" coordsize="2722,1076" o:gfxdata="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">
                      <o:lock v:ext="edit" aspectratio="f"/>
                      <v:shape id="_x0000_s1026" o:spid="_x0000_s1026" o:spt="32" type="#_x0000_t32" style="position:absolute;left:7454;top:133695;height:694;width:1763;" filled="f" stroked="t" coordsize="21600,21600" o:gfxdata="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AGQ68AAAA&#10;2wAAAA8AAAAAAAAAAQAgAAAAIgAAAGRycy9kb3ducmV2LnhtbFBLAQIUABQAAAAIAIdO4kAzLwWe&#10;OwAAADkAAAAQAAAAAAAAAAEAIAAAAAsBAABkcnMvc2hhcGV4bWwueG1sUEsFBgAAAAAGAAYAWwEA&#10;ALUDAAAAAA==&#10;">
                        <v:fill on="f" focussize="0,0"/>
                        <v:stroke weight="2pt" color="#4F81BD [3204]" opacity="52428f" joinstyle="round" endarrow="open"/>
                        <v:imagedata o:title=""/>
                        <o:lock v:ext="edit" aspectratio="f"/>
                      </v:shape>
                      <v:shape id="_x0000_s1026" o:spid="_x0000_s1026" o:spt="202" type="#_x0000_t202" style="position:absolute;left:6494;top:133313;height:581;width:1210;" filled="f" stroked="f" coordsize="21600,21600" o:gfxdata="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cxM2b4A&#10;AADb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14:paraId="534D7A92">
                              <w:pPr>
                                <w:rPr>
                                  <w:rFonts w:hint="eastAsia" w:eastAsia="宋体"/>
                                  <w:b/>
                                  <w:bCs/>
                                  <w:color w:val="0000FF"/>
                                  <w:lang w:eastAsia="zh-CN"/>
                                </w:rPr>
                              </w:pPr>
                              <w:r>
                                <w:rPr>
                                  <w:rFonts w:hint="eastAsia"/>
                                  <w:b/>
                                  <w:bCs/>
                                  <w:color w:val="0000FF"/>
                                  <w:lang w:eastAsia="zh-CN"/>
                                </w:rPr>
                                <w:t>本项目</w:t>
                              </w:r>
                            </w:p>
                          </w:txbxContent>
                        </v:textbox>
                      </v:shape>
                    </v:group>
                  </w:pict>
                </mc:Fallback>
              </mc:AlternateContent>
            </w:r>
            <w:r>
              <w:rPr>
                <w:rFonts w:hint="default" w:ascii="Times New Roman" w:hAnsi="Times New Roman" w:eastAsia="仿宋_GB2312" w:cs="Times New Roman"/>
                <w:color w:val="auto"/>
                <w:kern w:val="0"/>
                <w:sz w:val="24"/>
                <w:szCs w:val="24"/>
                <w:lang w:eastAsia="zh-CN"/>
              </w:rPr>
              <w:drawing>
                <wp:inline distT="0" distB="0" distL="114300" distR="114300">
                  <wp:extent cx="4745355" cy="3051175"/>
                  <wp:effectExtent l="0" t="0" r="17145" b="15875"/>
                  <wp:docPr id="9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8"/>
                          <pic:cNvPicPr>
                            <a:picLocks noChangeAspect="1"/>
                          </pic:cNvPicPr>
                        </pic:nvPicPr>
                        <pic:blipFill>
                          <a:blip r:embed="rId11"/>
                          <a:stretch>
                            <a:fillRect/>
                          </a:stretch>
                        </pic:blipFill>
                        <pic:spPr>
                          <a:xfrm>
                            <a:off x="0" y="0"/>
                            <a:ext cx="4745355" cy="3051175"/>
                          </a:xfrm>
                          <a:prstGeom prst="rect">
                            <a:avLst/>
                          </a:prstGeom>
                          <a:noFill/>
                          <a:ln>
                            <a:noFill/>
                          </a:ln>
                        </pic:spPr>
                      </pic:pic>
                    </a:graphicData>
                  </a:graphic>
                </wp:inline>
              </w:drawing>
            </w:r>
          </w:p>
          <w:p w14:paraId="132C6A01">
            <w:pPr>
              <w:pStyle w:val="49"/>
              <w:adjustRightInd w:val="0"/>
              <w:spacing w:line="240" w:lineRule="auto"/>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图1-1 项目与环境管控单元交叠图</w:t>
            </w:r>
          </w:p>
          <w:p w14:paraId="08FA1604">
            <w:pPr>
              <w:autoSpaceDE w:val="0"/>
              <w:autoSpaceDN w:val="0"/>
              <w:adjustRightInd w:val="0"/>
              <w:snapToGri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kern w:val="0"/>
                <w:sz w:val="24"/>
                <w:szCs w:val="24"/>
                <w:lang w:eastAsia="zh-CN"/>
              </w:rPr>
              <w:t>对照《中华人民共和国长江保护法》、《中共安徽省委、安徽省人民政府关于全面打造水清岸绿产业优美丽长江（安徽）经济带的实施意见（升级版）》、《安徽省长江经济带发展负面清单实施细则（试行）》等，拟建项目与相关分区管控要求相符性见下表</w:t>
            </w:r>
            <w:r>
              <w:rPr>
                <w:rFonts w:hint="default" w:ascii="Times New Roman" w:hAnsi="Times New Roman" w:eastAsia="仿宋_GB2312" w:cs="Times New Roman"/>
                <w:color w:val="auto"/>
                <w:kern w:val="0"/>
                <w:sz w:val="24"/>
                <w:szCs w:val="24"/>
                <w:lang w:val="en-US" w:eastAsia="zh-CN"/>
              </w:rPr>
              <w:t>1-3。</w:t>
            </w:r>
          </w:p>
          <w:p w14:paraId="695231CD">
            <w:pPr>
              <w:autoSpaceDE w:val="0"/>
              <w:autoSpaceDN w:val="0"/>
              <w:adjustRightInd w:val="0"/>
              <w:snapToGrid w:val="0"/>
              <w:spacing w:line="360" w:lineRule="auto"/>
              <w:ind w:firstLine="480" w:firstLineChars="200"/>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根据《</w:t>
            </w:r>
            <w:r>
              <w:rPr>
                <w:rFonts w:hint="default" w:ascii="Times New Roman" w:hAnsi="Times New Roman" w:eastAsia="仿宋_GB2312" w:cs="Times New Roman"/>
                <w:color w:val="auto"/>
                <w:kern w:val="0"/>
                <w:sz w:val="24"/>
                <w:szCs w:val="24"/>
                <w:lang w:eastAsia="zh-CN"/>
              </w:rPr>
              <w:t>长江经济带战略环境评价池州市</w:t>
            </w:r>
            <w:r>
              <w:rPr>
                <w:rFonts w:hint="default" w:ascii="Times New Roman" w:hAnsi="Times New Roman" w:eastAsia="仿宋_GB2312" w:cs="Times New Roman"/>
                <w:color w:val="auto"/>
                <w:kern w:val="0"/>
                <w:sz w:val="24"/>
                <w:szCs w:val="24"/>
              </w:rPr>
              <w:t>“三线一单”文本》，本项目所在区域属于城镇生活污染重点管控区</w:t>
            </w:r>
            <w:r>
              <w:rPr>
                <w:rFonts w:hint="default" w:ascii="Times New Roman" w:hAnsi="Times New Roman" w:eastAsia="仿宋_GB2312" w:cs="Times New Roman"/>
                <w:color w:val="auto"/>
                <w:kern w:val="0"/>
                <w:sz w:val="24"/>
                <w:szCs w:val="24"/>
                <w:lang w:eastAsia="zh-CN"/>
              </w:rPr>
              <w:t>，不涉及生态保护红线</w:t>
            </w:r>
            <w:r>
              <w:rPr>
                <w:rFonts w:hint="default" w:ascii="Times New Roman" w:hAnsi="Times New Roman" w:eastAsia="仿宋_GB2312" w:cs="Times New Roman"/>
                <w:color w:val="auto"/>
                <w:kern w:val="0"/>
                <w:sz w:val="24"/>
                <w:szCs w:val="24"/>
              </w:rPr>
              <w:t>。</w:t>
            </w:r>
          </w:p>
          <w:p w14:paraId="7988C9BA">
            <w:pPr>
              <w:pStyle w:val="49"/>
              <w:adjustRightInd w:val="0"/>
              <w:spacing w:line="240" w:lineRule="auto"/>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表</w:t>
            </w:r>
            <w:r>
              <w:rPr>
                <w:rFonts w:hint="default" w:ascii="Times New Roman" w:hAnsi="Times New Roman" w:eastAsia="仿宋_GB2312" w:cs="Times New Roman"/>
                <w:color w:val="auto"/>
                <w:sz w:val="24"/>
                <w:szCs w:val="24"/>
                <w:lang w:val="en-US" w:eastAsia="zh-CN"/>
              </w:rPr>
              <w:t>1-3</w:t>
            </w:r>
            <w:r>
              <w:rPr>
                <w:rFonts w:hint="default" w:ascii="Times New Roman" w:hAnsi="Times New Roman" w:eastAsia="仿宋_GB2312" w:cs="Times New Roman"/>
                <w:color w:val="auto"/>
                <w:sz w:val="24"/>
                <w:szCs w:val="24"/>
              </w:rPr>
              <w:t xml:space="preserve"> </w:t>
            </w:r>
            <w:r>
              <w:rPr>
                <w:rFonts w:hint="default" w:ascii="Times New Roman" w:hAnsi="Times New Roman" w:eastAsia="仿宋_GB2312" w:cs="Times New Roman"/>
                <w:color w:val="auto"/>
                <w:sz w:val="24"/>
                <w:szCs w:val="24"/>
                <w:lang w:eastAsia="zh-CN"/>
              </w:rPr>
              <w:t>项目</w:t>
            </w:r>
            <w:r>
              <w:rPr>
                <w:rFonts w:hint="default" w:ascii="Times New Roman" w:hAnsi="Times New Roman" w:eastAsia="仿宋_GB2312" w:cs="Times New Roman"/>
                <w:color w:val="auto"/>
                <w:sz w:val="24"/>
                <w:szCs w:val="24"/>
              </w:rPr>
              <w:t>与</w:t>
            </w:r>
            <w:r>
              <w:rPr>
                <w:rFonts w:hint="default" w:ascii="Times New Roman" w:hAnsi="Times New Roman" w:eastAsia="仿宋_GB2312" w:cs="Times New Roman"/>
                <w:color w:val="auto"/>
                <w:sz w:val="24"/>
                <w:szCs w:val="24"/>
                <w:lang w:eastAsia="zh-CN"/>
              </w:rPr>
              <w:t>安徽省重点区域生态环境</w:t>
            </w:r>
            <w:r>
              <w:rPr>
                <w:rFonts w:hint="default" w:ascii="Times New Roman" w:hAnsi="Times New Roman" w:eastAsia="仿宋_GB2312" w:cs="Times New Roman"/>
                <w:color w:val="auto"/>
                <w:sz w:val="24"/>
                <w:szCs w:val="24"/>
              </w:rPr>
              <w:t>分区管控要求的</w:t>
            </w:r>
            <w:r>
              <w:rPr>
                <w:rFonts w:hint="default" w:ascii="Times New Roman" w:hAnsi="Times New Roman" w:eastAsia="仿宋_GB2312" w:cs="Times New Roman"/>
                <w:color w:val="auto"/>
                <w:sz w:val="24"/>
                <w:szCs w:val="24"/>
                <w:lang w:eastAsia="zh-CN"/>
              </w:rPr>
              <w:t>相符性</w:t>
            </w:r>
            <w:r>
              <w:rPr>
                <w:rFonts w:hint="default" w:ascii="Times New Roman" w:hAnsi="Times New Roman" w:eastAsia="仿宋_GB2312" w:cs="Times New Roman"/>
                <w:color w:val="auto"/>
                <w:sz w:val="24"/>
                <w:szCs w:val="24"/>
              </w:rPr>
              <w:t>分析</w:t>
            </w:r>
          </w:p>
          <w:tbl>
            <w:tblPr>
              <w:tblStyle w:val="19"/>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8"/>
              <w:gridCol w:w="4680"/>
              <w:gridCol w:w="2442"/>
            </w:tblGrid>
            <w:tr w14:paraId="5373334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485" w:type="pct"/>
                  <w:gridSpan w:val="2"/>
                  <w:tcBorders>
                    <w:tl2br w:val="nil"/>
                    <w:tr2bl w:val="nil"/>
                  </w:tcBorders>
                  <w:noWrap w:val="0"/>
                  <w:vAlign w:val="center"/>
                </w:tcPr>
                <w:p w14:paraId="3644E892">
                  <w:pPr>
                    <w:widowControl/>
                    <w:autoSpaceDE w:val="0"/>
                    <w:autoSpaceDN w:val="0"/>
                    <w:adjustRightInd w:val="0"/>
                    <w:snapToGrid w:val="0"/>
                    <w:jc w:val="center"/>
                    <w:rPr>
                      <w:rFonts w:hint="default" w:ascii="Times New Roman" w:hAnsi="Times New Roman" w:eastAsia="仿宋_GB2312" w:cs="Times New Roman"/>
                      <w:b/>
                      <w:bCs/>
                      <w:color w:val="auto"/>
                      <w:kern w:val="0"/>
                      <w:sz w:val="21"/>
                      <w:szCs w:val="21"/>
                    </w:rPr>
                  </w:pPr>
                  <w:r>
                    <w:rPr>
                      <w:rFonts w:hint="default" w:ascii="Times New Roman" w:hAnsi="Times New Roman" w:eastAsia="仿宋_GB2312" w:cs="Times New Roman"/>
                      <w:b/>
                      <w:bCs/>
                      <w:color w:val="auto"/>
                      <w:kern w:val="0"/>
                      <w:sz w:val="21"/>
                      <w:szCs w:val="21"/>
                      <w:lang w:bidi="ar"/>
                    </w:rPr>
                    <w:t>环境管控要求</w:t>
                  </w:r>
                </w:p>
              </w:tc>
              <w:tc>
                <w:tcPr>
                  <w:tcW w:w="1514" w:type="pct"/>
                  <w:tcBorders>
                    <w:tl2br w:val="nil"/>
                    <w:tr2bl w:val="nil"/>
                  </w:tcBorders>
                  <w:noWrap w:val="0"/>
                  <w:vAlign w:val="center"/>
                </w:tcPr>
                <w:p w14:paraId="7E4372F2">
                  <w:pPr>
                    <w:widowControl/>
                    <w:autoSpaceDE w:val="0"/>
                    <w:autoSpaceDN w:val="0"/>
                    <w:adjustRightInd w:val="0"/>
                    <w:snapToGrid w:val="0"/>
                    <w:jc w:val="center"/>
                    <w:rPr>
                      <w:rFonts w:hint="default" w:ascii="Times New Roman" w:hAnsi="Times New Roman" w:eastAsia="仿宋_GB2312" w:cs="Times New Roman"/>
                      <w:b/>
                      <w:bCs/>
                      <w:color w:val="auto"/>
                      <w:kern w:val="0"/>
                      <w:sz w:val="21"/>
                      <w:szCs w:val="21"/>
                    </w:rPr>
                  </w:pPr>
                  <w:r>
                    <w:rPr>
                      <w:rFonts w:hint="default" w:ascii="Times New Roman" w:hAnsi="Times New Roman" w:eastAsia="仿宋_GB2312" w:cs="Times New Roman"/>
                      <w:b/>
                      <w:bCs/>
                      <w:color w:val="auto"/>
                      <w:kern w:val="0"/>
                      <w:sz w:val="21"/>
                      <w:szCs w:val="21"/>
                      <w:lang w:eastAsia="zh-CN" w:bidi="ar"/>
                    </w:rPr>
                    <w:t>相符性</w:t>
                  </w:r>
                  <w:r>
                    <w:rPr>
                      <w:rFonts w:hint="default" w:ascii="Times New Roman" w:hAnsi="Times New Roman" w:eastAsia="仿宋_GB2312" w:cs="Times New Roman"/>
                      <w:b/>
                      <w:bCs/>
                      <w:color w:val="auto"/>
                      <w:kern w:val="0"/>
                      <w:sz w:val="21"/>
                      <w:szCs w:val="21"/>
                      <w:lang w:bidi="ar"/>
                    </w:rPr>
                    <w:t>分析</w:t>
                  </w:r>
                </w:p>
              </w:tc>
            </w:tr>
            <w:tr w14:paraId="414F19C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tcBorders>
                    <w:tl2br w:val="nil"/>
                    <w:tr2bl w:val="nil"/>
                  </w:tcBorders>
                  <w:noWrap w:val="0"/>
                  <w:vAlign w:val="center"/>
                </w:tcPr>
                <w:p w14:paraId="605FC93C">
                  <w:pPr>
                    <w:widowControl/>
                    <w:autoSpaceDE w:val="0"/>
                    <w:autoSpaceDN w:val="0"/>
                    <w:adjustRightInd w:val="0"/>
                    <w:snapToGrid w:val="0"/>
                    <w:jc w:val="center"/>
                    <w:rPr>
                      <w:rFonts w:hint="default" w:ascii="Times New Roman" w:hAnsi="Times New Roman" w:eastAsia="仿宋_GB2312" w:cs="Times New Roman"/>
                      <w:b/>
                      <w:bCs/>
                      <w:color w:val="auto"/>
                      <w:kern w:val="0"/>
                      <w:sz w:val="21"/>
                      <w:szCs w:val="21"/>
                      <w:lang w:val="en-US" w:eastAsia="zh-CN" w:bidi="ar"/>
                    </w:rPr>
                  </w:pPr>
                  <w:r>
                    <w:rPr>
                      <w:rFonts w:hint="default" w:ascii="Times New Roman" w:hAnsi="Times New Roman" w:eastAsia="仿宋_GB2312" w:cs="Times New Roman"/>
                      <w:b/>
                      <w:bCs/>
                      <w:color w:val="auto"/>
                      <w:kern w:val="0"/>
                      <w:sz w:val="21"/>
                      <w:szCs w:val="21"/>
                      <w:lang w:eastAsia="zh-CN" w:bidi="ar"/>
                    </w:rPr>
                    <w:t>沿江绿色生态廊道区</w:t>
                  </w:r>
                  <w:r>
                    <w:rPr>
                      <w:rFonts w:hint="default" w:ascii="Times New Roman" w:hAnsi="Times New Roman" w:eastAsia="仿宋_GB2312" w:cs="Times New Roman"/>
                      <w:b/>
                      <w:bCs/>
                      <w:color w:val="auto"/>
                      <w:kern w:val="0"/>
                      <w:sz w:val="21"/>
                      <w:szCs w:val="21"/>
                      <w:lang w:val="en-US" w:eastAsia="zh-CN" w:bidi="ar"/>
                    </w:rPr>
                    <w:t>-重点管控单元</w:t>
                  </w:r>
                </w:p>
              </w:tc>
            </w:tr>
            <w:tr w14:paraId="2A0006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restart"/>
                  <w:tcBorders>
                    <w:tl2br w:val="nil"/>
                    <w:tr2bl w:val="nil"/>
                  </w:tcBorders>
                  <w:noWrap w:val="0"/>
                  <w:vAlign w:val="center"/>
                </w:tcPr>
                <w:p w14:paraId="49B7692D">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rPr>
                  </w:pPr>
                  <w:r>
                    <w:rPr>
                      <w:rFonts w:hint="default" w:ascii="Times New Roman" w:hAnsi="Times New Roman" w:eastAsia="仿宋_GB2312" w:cs="Times New Roman"/>
                      <w:color w:val="auto"/>
                      <w:kern w:val="0"/>
                      <w:sz w:val="21"/>
                      <w:szCs w:val="21"/>
                      <w:lang w:eastAsia="zh-CN" w:bidi="ar"/>
                    </w:rPr>
                    <w:t>空间布局约束</w:t>
                  </w:r>
                </w:p>
              </w:tc>
              <w:tc>
                <w:tcPr>
                  <w:tcW w:w="2904" w:type="pct"/>
                  <w:tcBorders>
                    <w:tl2br w:val="nil"/>
                    <w:tr2bl w:val="nil"/>
                  </w:tcBorders>
                  <w:noWrap w:val="0"/>
                  <w:vAlign w:val="center"/>
                </w:tcPr>
                <w:p w14:paraId="15505684">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both"/>
                    <w:textAlignment w:val="auto"/>
                    <w:rPr>
                      <w:rFonts w:hint="default" w:ascii="Times New Roman" w:hAnsi="Times New Roman" w:eastAsia="仿宋_GB2312" w:cs="Times New Roman"/>
                      <w:color w:val="auto"/>
                      <w:kern w:val="0"/>
                      <w:sz w:val="21"/>
                      <w:szCs w:val="21"/>
                    </w:rPr>
                  </w:pPr>
                  <w:r>
                    <w:rPr>
                      <w:rFonts w:hint="default" w:ascii="Times New Roman" w:hAnsi="Times New Roman" w:eastAsia="仿宋_GB2312" w:cs="Times New Roman"/>
                      <w:color w:val="auto"/>
                      <w:kern w:val="0"/>
                      <w:sz w:val="21"/>
                      <w:szCs w:val="21"/>
                    </w:rPr>
                    <w:t>长江干流及主要支流岸线1公里范围内，除必须实施的事关公共安全及公众利益的建设项目，以及长江岸线规划确定的城市建设区内非工业项目外，不得新批建设项目，不得布局新的工业园区。</w:t>
                  </w:r>
                </w:p>
              </w:tc>
              <w:tc>
                <w:tcPr>
                  <w:tcW w:w="1514" w:type="pct"/>
                  <w:vMerge w:val="restart"/>
                  <w:tcBorders>
                    <w:tl2br w:val="nil"/>
                    <w:tr2bl w:val="nil"/>
                  </w:tcBorders>
                  <w:noWrap w:val="0"/>
                  <w:vAlign w:val="center"/>
                </w:tcPr>
                <w:p w14:paraId="3F46472A">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kern w:val="0"/>
                      <w:sz w:val="21"/>
                      <w:szCs w:val="21"/>
                      <w:lang w:eastAsia="zh-CN"/>
                    </w:rPr>
                    <w:t>本项目位于池州市东至县，不在长江干支流岸线</w:t>
                  </w:r>
                  <w:r>
                    <w:rPr>
                      <w:rFonts w:hint="default" w:ascii="Times New Roman" w:hAnsi="Times New Roman" w:eastAsia="仿宋_GB2312" w:cs="Times New Roman"/>
                      <w:color w:val="auto"/>
                      <w:kern w:val="0"/>
                      <w:sz w:val="21"/>
                      <w:szCs w:val="21"/>
                      <w:lang w:val="en-US" w:eastAsia="zh-CN"/>
                    </w:rPr>
                    <w:t>15公里范围内。</w:t>
                  </w:r>
                </w:p>
              </w:tc>
            </w:tr>
            <w:tr w14:paraId="2A10350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49F09DAD">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77A2ABAF">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长江干流岸线5公里范围内严禁新建布局重化工园区。</w:t>
                  </w:r>
                </w:p>
              </w:tc>
              <w:tc>
                <w:tcPr>
                  <w:tcW w:w="1514" w:type="pct"/>
                  <w:vMerge w:val="continue"/>
                  <w:tcBorders>
                    <w:tl2br w:val="nil"/>
                    <w:tr2bl w:val="nil"/>
                  </w:tcBorders>
                  <w:noWrap w:val="0"/>
                  <w:vAlign w:val="center"/>
                </w:tcPr>
                <w:p w14:paraId="42E75F9B">
                  <w:pPr>
                    <w:widowControl/>
                    <w:jc w:val="center"/>
                    <w:rPr>
                      <w:rFonts w:hint="default" w:ascii="Times New Roman" w:hAnsi="Times New Roman" w:eastAsia="仿宋_GB2312" w:cs="Times New Roman"/>
                      <w:i w:val="0"/>
                      <w:iCs w:val="0"/>
                      <w:caps w:val="0"/>
                      <w:color w:val="auto"/>
                      <w:spacing w:val="0"/>
                      <w:sz w:val="21"/>
                      <w:szCs w:val="21"/>
                      <w:shd w:val="clear" w:color="auto" w:fill="FFFFFF"/>
                    </w:rPr>
                  </w:pPr>
                </w:p>
              </w:tc>
            </w:tr>
            <w:tr w14:paraId="268662A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2CA1F552">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6F4ED9BC">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长江干流及主要支流岸线15公里范围内严管新建项目，严把各类项目准入门槛，严格执行环境保护标准，禁止建设没有环境容量和减排总量的项目。</w:t>
                  </w:r>
                </w:p>
              </w:tc>
              <w:tc>
                <w:tcPr>
                  <w:tcW w:w="1514" w:type="pct"/>
                  <w:vMerge w:val="continue"/>
                  <w:tcBorders>
                    <w:tl2br w:val="nil"/>
                    <w:tr2bl w:val="nil"/>
                  </w:tcBorders>
                  <w:noWrap w:val="0"/>
                  <w:vAlign w:val="center"/>
                </w:tcPr>
                <w:p w14:paraId="78DB0338">
                  <w:pPr>
                    <w:widowControl/>
                    <w:jc w:val="center"/>
                    <w:rPr>
                      <w:rFonts w:hint="default" w:ascii="Times New Roman" w:hAnsi="Times New Roman" w:eastAsia="仿宋_GB2312" w:cs="Times New Roman"/>
                      <w:i w:val="0"/>
                      <w:iCs w:val="0"/>
                      <w:caps w:val="0"/>
                      <w:color w:val="auto"/>
                      <w:spacing w:val="0"/>
                      <w:sz w:val="21"/>
                      <w:szCs w:val="21"/>
                      <w:shd w:val="clear" w:color="auto" w:fill="FFFFFF"/>
                    </w:rPr>
                  </w:pPr>
                </w:p>
              </w:tc>
            </w:tr>
            <w:tr w14:paraId="5283B20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017E338D">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075213F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在城市城区及其近郊禁止新建、扩建钢铁、有色、石化、水泥、化工等重污染企业，严格执行国家关于“两高”产业准入目录和产能总量控制政策措施。禁止建设生产和使用高挥发性有机物含量涂料、油墨、胶粘剂、清洗剂等项目。在城市规划区内禁止新建、扩建大气污染严重的建设项目。</w:t>
                  </w:r>
                </w:p>
              </w:tc>
              <w:tc>
                <w:tcPr>
                  <w:tcW w:w="1514" w:type="pct"/>
                  <w:tcBorders>
                    <w:tl2br w:val="nil"/>
                    <w:tr2bl w:val="nil"/>
                  </w:tcBorders>
                  <w:noWrap w:val="0"/>
                  <w:vAlign w:val="center"/>
                </w:tcPr>
                <w:p w14:paraId="1F0CD949">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本项目不属于禁止类。</w:t>
                  </w:r>
                </w:p>
                <w:p w14:paraId="0FB48EB3">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对照《安徽省“两高”项目管理目录（试行）》（皖节能[2022]2号），本项目不属于“两高”类。</w:t>
                  </w:r>
                </w:p>
              </w:tc>
            </w:tr>
            <w:tr w14:paraId="2BC5B01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7DCBB4E0">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63C7AFA3">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在机关、学校、医院、居民住宅区等人口集中地区和其他依法需要特殊保护的区域内，禁止从事下列生产活动：（1）橡胶制品生产、经营性喷漆、制骨胶、制骨粉、屠宰、畜禽养殖、生物发酵等产生恶臭、有毒有害气体的生产经营活动；（2）露天焚烧油毡、沥青、橡胶、塑料、皮革、垃圾或者其他可能产生恶臭、有毒有害气体的活动。</w:t>
                  </w:r>
                </w:p>
              </w:tc>
              <w:tc>
                <w:tcPr>
                  <w:tcW w:w="1514" w:type="pct"/>
                  <w:tcBorders>
                    <w:tl2br w:val="nil"/>
                    <w:tr2bl w:val="nil"/>
                  </w:tcBorders>
                  <w:noWrap w:val="0"/>
                  <w:vAlign w:val="center"/>
                </w:tcPr>
                <w:p w14:paraId="06C4F712">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本项目不在依法需要特殊保护的区域内。</w:t>
                  </w:r>
                </w:p>
              </w:tc>
            </w:tr>
            <w:tr w14:paraId="1475475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restart"/>
                  <w:tcBorders>
                    <w:tl2br w:val="nil"/>
                    <w:tr2bl w:val="nil"/>
                  </w:tcBorders>
                  <w:noWrap w:val="0"/>
                  <w:vAlign w:val="center"/>
                </w:tcPr>
                <w:p w14:paraId="4C7704DD">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r>
                    <w:rPr>
                      <w:rFonts w:hint="default" w:ascii="Times New Roman" w:hAnsi="Times New Roman" w:eastAsia="仿宋_GB2312" w:cs="Times New Roman"/>
                      <w:color w:val="auto"/>
                      <w:kern w:val="0"/>
                      <w:sz w:val="21"/>
                      <w:szCs w:val="21"/>
                      <w:lang w:eastAsia="zh-CN" w:bidi="ar"/>
                    </w:rPr>
                    <w:t>污染物排放管控</w:t>
                  </w:r>
                </w:p>
              </w:tc>
              <w:tc>
                <w:tcPr>
                  <w:tcW w:w="2904" w:type="pct"/>
                  <w:tcBorders>
                    <w:tl2br w:val="nil"/>
                    <w:tr2bl w:val="nil"/>
                  </w:tcBorders>
                  <w:noWrap w:val="0"/>
                  <w:vAlign w:val="center"/>
                </w:tcPr>
                <w:p w14:paraId="409E6820">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严格合理控制煤炭消费增长，大气污染防治重点区域内新、改、扩建用煤项目实施煤炭消费等量或减量替代。重点削减非电力用煤，各市将减煤目标按年度分解落实到重点耗煤企业，实施“一企一策”减煤诊断。</w:t>
                  </w:r>
                </w:p>
              </w:tc>
              <w:tc>
                <w:tcPr>
                  <w:tcW w:w="1514" w:type="pct"/>
                  <w:tcBorders>
                    <w:tl2br w:val="nil"/>
                    <w:tr2bl w:val="nil"/>
                  </w:tcBorders>
                  <w:noWrap w:val="0"/>
                  <w:vAlign w:val="center"/>
                </w:tcPr>
                <w:p w14:paraId="135261D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本项目不涉及煤炭使用。</w:t>
                  </w:r>
                </w:p>
              </w:tc>
            </w:tr>
            <w:tr w14:paraId="32EF181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4CF2D1BF">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418F7661">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进一步强化区域协作机制，完善重污染天气应对和重点行业绩效分级管理体系，突出PM</w:t>
                  </w:r>
                  <w:r>
                    <w:rPr>
                      <w:rFonts w:hint="default" w:ascii="Times New Roman" w:hAnsi="Times New Roman" w:eastAsia="仿宋_GB2312" w:cs="Times New Roman"/>
                      <w:color w:val="auto"/>
                      <w:sz w:val="21"/>
                      <w:szCs w:val="21"/>
                      <w:vertAlign w:val="subscript"/>
                      <w:lang w:val="en-US" w:eastAsia="zh-CN"/>
                    </w:rPr>
                    <w:t>2.5</w:t>
                  </w:r>
                  <w:r>
                    <w:rPr>
                      <w:rFonts w:hint="default" w:ascii="Times New Roman" w:hAnsi="Times New Roman" w:eastAsia="仿宋_GB2312" w:cs="Times New Roman"/>
                      <w:color w:val="auto"/>
                      <w:sz w:val="21"/>
                      <w:szCs w:val="21"/>
                      <w:lang w:val="en-US" w:eastAsia="zh-CN"/>
                    </w:rPr>
                    <w:t>和臭氧协同控制，加大钢铁、水泥、焦化、玻璃等行业以及工业锅炉、炉窑、移动源氮氧化物减排力度。</w:t>
                  </w:r>
                </w:p>
              </w:tc>
              <w:tc>
                <w:tcPr>
                  <w:tcW w:w="1514" w:type="pct"/>
                  <w:tcBorders>
                    <w:tl2br w:val="nil"/>
                    <w:tr2bl w:val="nil"/>
                  </w:tcBorders>
                  <w:noWrap w:val="0"/>
                  <w:vAlign w:val="center"/>
                </w:tcPr>
                <w:p w14:paraId="10DEA559">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本项目不涉及颗粒物和臭氧的排放。</w:t>
                  </w:r>
                </w:p>
              </w:tc>
            </w:tr>
            <w:tr w14:paraId="1A24D5B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42CBCA2B">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2B1CD2E5">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全面推动挥发性有机物纳入排污许可管理。禁止建设生产和使用高挥发性有机物含量涂料、油墨、胶粘剂、清洗剂等项目。加快推进石化、化工、涂装、医药、包装印刷和油品储运销等重点行业挥发性有机物深度治理，全面提升废气收集率、治理设施同步运行率和去除率，提高水性、高固体分、溶剂、粉末、辐射固化等低挥发性有机物含量产品的比重。</w:t>
                  </w:r>
                </w:p>
              </w:tc>
              <w:tc>
                <w:tcPr>
                  <w:tcW w:w="1514" w:type="pct"/>
                  <w:tcBorders>
                    <w:tl2br w:val="nil"/>
                    <w:tr2bl w:val="nil"/>
                  </w:tcBorders>
                  <w:noWrap w:val="0"/>
                  <w:vAlign w:val="center"/>
                </w:tcPr>
                <w:p w14:paraId="45584BC1">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本项目不涉及生产和使用涂料、油墨、胶粘剂、清洗剂等；不属于石化、化工等重点行业。</w:t>
                  </w:r>
                </w:p>
              </w:tc>
            </w:tr>
            <w:tr w14:paraId="78FCA91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restart"/>
                  <w:tcBorders>
                    <w:tl2br w:val="nil"/>
                    <w:tr2bl w:val="nil"/>
                  </w:tcBorders>
                  <w:noWrap w:val="0"/>
                  <w:vAlign w:val="center"/>
                </w:tcPr>
                <w:p w14:paraId="404BEF85">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r>
                    <w:rPr>
                      <w:rFonts w:hint="default" w:ascii="Times New Roman" w:hAnsi="Times New Roman" w:eastAsia="仿宋_GB2312" w:cs="Times New Roman"/>
                      <w:color w:val="auto"/>
                      <w:kern w:val="0"/>
                      <w:sz w:val="21"/>
                      <w:szCs w:val="21"/>
                      <w:lang w:eastAsia="zh-CN" w:bidi="ar"/>
                    </w:rPr>
                    <w:t>资源开发效率要求</w:t>
                  </w:r>
                </w:p>
              </w:tc>
              <w:tc>
                <w:tcPr>
                  <w:tcW w:w="2904" w:type="pct"/>
                  <w:tcBorders>
                    <w:tl2br w:val="nil"/>
                    <w:tr2bl w:val="nil"/>
                  </w:tcBorders>
                  <w:noWrap w:val="0"/>
                  <w:vAlign w:val="center"/>
                </w:tcPr>
                <w:p w14:paraId="76DBCBA5">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坚持集中式与分布式建设并举，因地制宜建设集中式光伏发电项目，推动整县（市、区）屋顶分布式光伏发电试点工作。</w:t>
                  </w:r>
                </w:p>
              </w:tc>
              <w:tc>
                <w:tcPr>
                  <w:tcW w:w="1514" w:type="pct"/>
                  <w:tcBorders>
                    <w:tl2br w:val="nil"/>
                    <w:tr2bl w:val="nil"/>
                  </w:tcBorders>
                  <w:noWrap w:val="0"/>
                  <w:vAlign w:val="center"/>
                </w:tcPr>
                <w:p w14:paraId="3393884A">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本项目不属于光伏发电项目。</w:t>
                  </w:r>
                </w:p>
              </w:tc>
            </w:tr>
            <w:tr w14:paraId="7724577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2E0CC0E3">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78DAB6C3">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推动煤电行业实施节能降耗改造、供热改造和灵活性改造“三改联动”。加快供热管网建设，淘汰管网覆盖范围内的燃煤锅炉和散煤。</w:t>
                  </w:r>
                </w:p>
              </w:tc>
              <w:tc>
                <w:tcPr>
                  <w:tcW w:w="1514" w:type="pct"/>
                  <w:tcBorders>
                    <w:tl2br w:val="nil"/>
                    <w:tr2bl w:val="nil"/>
                  </w:tcBorders>
                  <w:noWrap w:val="0"/>
                  <w:vAlign w:val="center"/>
                </w:tcPr>
                <w:p w14:paraId="5F089AAA">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本项目不属于煤电行业。</w:t>
                  </w:r>
                </w:p>
              </w:tc>
            </w:tr>
            <w:tr w14:paraId="63296B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581" w:type="pct"/>
                  <w:vMerge w:val="continue"/>
                  <w:tcBorders>
                    <w:tl2br w:val="nil"/>
                    <w:tr2bl w:val="nil"/>
                  </w:tcBorders>
                  <w:noWrap w:val="0"/>
                  <w:vAlign w:val="center"/>
                </w:tcPr>
                <w:p w14:paraId="6037B5C5">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09F8FA62">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实施“煤改气”和“以电代煤”。在陶瓷、玻璃、铸造等行业积极推进天然气替代煤气化工程，有序实施燃煤设施煤改气。结合区域和行业用能特点，积极推进工业生产、建筑供暖供冷、交通运输、农业生产、居民生活五大领域实施“以电代煤”，着力提高电能占终端能源消费比重。</w:t>
                  </w:r>
                </w:p>
              </w:tc>
              <w:tc>
                <w:tcPr>
                  <w:tcW w:w="1514" w:type="pct"/>
                  <w:tcBorders>
                    <w:tl2br w:val="nil"/>
                    <w:tr2bl w:val="nil"/>
                  </w:tcBorders>
                  <w:noWrap w:val="0"/>
                  <w:vAlign w:val="center"/>
                </w:tcPr>
                <w:p w14:paraId="34E0637F">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本项目不涉及煤炭使用，不属于“以电代煤”五大领域。</w:t>
                  </w:r>
                </w:p>
              </w:tc>
            </w:tr>
            <w:tr w14:paraId="2655DC6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3"/>
                  <w:tcBorders>
                    <w:tl2br w:val="nil"/>
                    <w:tr2bl w:val="nil"/>
                  </w:tcBorders>
                  <w:noWrap w:val="0"/>
                  <w:vAlign w:val="center"/>
                </w:tcPr>
                <w:p w14:paraId="28E3222E">
                  <w:pPr>
                    <w:widowControl/>
                    <w:jc w:val="center"/>
                    <w:rPr>
                      <w:rFonts w:hint="default" w:ascii="Times New Roman" w:hAnsi="Times New Roman" w:eastAsia="仿宋_GB2312" w:cs="Times New Roman"/>
                      <w:i w:val="0"/>
                      <w:iCs w:val="0"/>
                      <w:caps w:val="0"/>
                      <w:color w:val="auto"/>
                      <w:spacing w:val="0"/>
                      <w:sz w:val="21"/>
                      <w:szCs w:val="21"/>
                      <w:shd w:val="clear" w:color="auto" w:fill="FFFFFF"/>
                      <w:lang w:val="en-US" w:eastAsia="zh-CN"/>
                    </w:rPr>
                  </w:pPr>
                  <w:r>
                    <w:rPr>
                      <w:rFonts w:hint="default" w:ascii="Times New Roman" w:hAnsi="Times New Roman" w:eastAsia="仿宋_GB2312" w:cs="Times New Roman"/>
                      <w:b/>
                      <w:bCs/>
                      <w:color w:val="auto"/>
                      <w:kern w:val="0"/>
                      <w:sz w:val="21"/>
                      <w:szCs w:val="21"/>
                      <w:lang w:eastAsia="zh-CN" w:bidi="ar"/>
                    </w:rPr>
                    <w:t>皖南山地生态屏障区</w:t>
                  </w:r>
                  <w:r>
                    <w:rPr>
                      <w:rFonts w:hint="default" w:ascii="Times New Roman" w:hAnsi="Times New Roman" w:eastAsia="仿宋_GB2312" w:cs="Times New Roman"/>
                      <w:b/>
                      <w:bCs/>
                      <w:color w:val="auto"/>
                      <w:kern w:val="0"/>
                      <w:sz w:val="21"/>
                      <w:szCs w:val="21"/>
                      <w:lang w:val="en-US" w:eastAsia="zh-CN" w:bidi="ar"/>
                    </w:rPr>
                    <w:t>-重点管控单元</w:t>
                  </w:r>
                </w:p>
              </w:tc>
            </w:tr>
            <w:tr w14:paraId="7D9CAC5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restart"/>
                  <w:tcBorders>
                    <w:tl2br w:val="nil"/>
                    <w:tr2bl w:val="nil"/>
                  </w:tcBorders>
                  <w:noWrap w:val="0"/>
                  <w:vAlign w:val="center"/>
                </w:tcPr>
                <w:p w14:paraId="28B11B5E">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r>
                    <w:rPr>
                      <w:rFonts w:hint="default" w:ascii="Times New Roman" w:hAnsi="Times New Roman" w:eastAsia="仿宋_GB2312" w:cs="Times New Roman"/>
                      <w:color w:val="auto"/>
                      <w:kern w:val="0"/>
                      <w:sz w:val="21"/>
                      <w:szCs w:val="21"/>
                      <w:lang w:eastAsia="zh-CN" w:bidi="ar"/>
                    </w:rPr>
                    <w:t>空间布局约束</w:t>
                  </w:r>
                </w:p>
              </w:tc>
              <w:tc>
                <w:tcPr>
                  <w:tcW w:w="2904" w:type="pct"/>
                  <w:tcBorders>
                    <w:tl2br w:val="nil"/>
                    <w:tr2bl w:val="nil"/>
                  </w:tcBorders>
                  <w:noWrap w:val="0"/>
                  <w:vAlign w:val="center"/>
                </w:tcPr>
                <w:p w14:paraId="04CC83A6">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禁止在生态功能保护区范围内从事下列可能导致生态功能退化的开发活动： （1）在水源涵养生态功能保护区内从事毁林、毁草、破坏湿地等活动; （2）在水土保持生态功能保护区内从事毁林、烧荒、开垦陡坡地等活动; （3）在生物多样性维护生态功能保护区内从事滥捕、乱挖野生动植物等活动。</w:t>
                  </w:r>
                </w:p>
              </w:tc>
              <w:tc>
                <w:tcPr>
                  <w:tcW w:w="1514" w:type="pct"/>
                  <w:tcBorders>
                    <w:tl2br w:val="nil"/>
                    <w:tr2bl w:val="nil"/>
                  </w:tcBorders>
                  <w:noWrap w:val="0"/>
                  <w:vAlign w:val="center"/>
                </w:tcPr>
                <w:p w14:paraId="50C269DC">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本项目选址不涉及水源涵养生态功能区、水土保持生态功能保护区、生物多样性维护保护区。</w:t>
                  </w:r>
                </w:p>
              </w:tc>
            </w:tr>
            <w:tr w14:paraId="56B7777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55DFBDC8">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5248F10A">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严格禁止发展高污染、高耗能产业。国家重点生态功能区禁止、限制开发建设活动执行《安徽省国家重点生态功能区产业准入负面清单（试行）》。</w:t>
                  </w:r>
                </w:p>
              </w:tc>
              <w:tc>
                <w:tcPr>
                  <w:tcW w:w="1514" w:type="pct"/>
                  <w:tcBorders>
                    <w:tl2br w:val="nil"/>
                    <w:tr2bl w:val="nil"/>
                  </w:tcBorders>
                  <w:noWrap w:val="0"/>
                  <w:vAlign w:val="center"/>
                </w:tcPr>
                <w:p w14:paraId="23063A4E">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本项目不属于“两高”项目，不在《安徽省国家重点生态功能区产业准入负面清单（试行）》内。</w:t>
                  </w:r>
                </w:p>
              </w:tc>
            </w:tr>
            <w:tr w14:paraId="7A1DD6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restart"/>
                  <w:tcBorders>
                    <w:tl2br w:val="nil"/>
                    <w:tr2bl w:val="nil"/>
                  </w:tcBorders>
                  <w:noWrap w:val="0"/>
                  <w:vAlign w:val="center"/>
                </w:tcPr>
                <w:p w14:paraId="5CFC0298">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r>
                    <w:rPr>
                      <w:rFonts w:hint="default" w:ascii="Times New Roman" w:hAnsi="Times New Roman" w:eastAsia="仿宋_GB2312" w:cs="Times New Roman"/>
                      <w:color w:val="auto"/>
                      <w:kern w:val="0"/>
                      <w:sz w:val="21"/>
                      <w:szCs w:val="21"/>
                      <w:lang w:eastAsia="zh-CN" w:bidi="ar"/>
                    </w:rPr>
                    <w:t>污染物排放管控</w:t>
                  </w:r>
                </w:p>
              </w:tc>
              <w:tc>
                <w:tcPr>
                  <w:tcW w:w="2904" w:type="pct"/>
                  <w:tcBorders>
                    <w:tl2br w:val="nil"/>
                    <w:tr2bl w:val="nil"/>
                  </w:tcBorders>
                  <w:noWrap w:val="0"/>
                  <w:vAlign w:val="center"/>
                </w:tcPr>
                <w:p w14:paraId="272D181B">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城市建成区排放污水的工业企业应依法持有排污许可证，并严格按证排污。排入城镇水体的工业污水应符合相关行业标准及地方标准要求，严禁任何企业、单位超标和超总量排污，对超标或超总量的排污单位一律限制生产或停产整顿。</w:t>
                  </w:r>
                </w:p>
              </w:tc>
              <w:tc>
                <w:tcPr>
                  <w:tcW w:w="1514" w:type="pct"/>
                  <w:tcBorders>
                    <w:tl2br w:val="nil"/>
                    <w:tr2bl w:val="nil"/>
                  </w:tcBorders>
                  <w:noWrap w:val="0"/>
                  <w:vAlign w:val="center"/>
                </w:tcPr>
                <w:p w14:paraId="1942115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本项目已落实排污许可证制度和总量控制制度。</w:t>
                  </w:r>
                </w:p>
              </w:tc>
            </w:tr>
            <w:tr w14:paraId="6890C66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03E62338">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4E495ECD">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严肃执法监督，严格执行排污许可、排水许可制度，严禁生活污水和工业废水直排水体。</w:t>
                  </w:r>
                </w:p>
              </w:tc>
              <w:tc>
                <w:tcPr>
                  <w:tcW w:w="1514" w:type="pct"/>
                  <w:tcBorders>
                    <w:tl2br w:val="nil"/>
                    <w:tr2bl w:val="nil"/>
                  </w:tcBorders>
                  <w:noWrap w:val="0"/>
                  <w:vAlign w:val="center"/>
                </w:tcPr>
                <w:p w14:paraId="27D5A0F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本项目污</w:t>
                  </w:r>
                  <w:r>
                    <w:rPr>
                      <w:rFonts w:hint="eastAsia" w:eastAsia="仿宋_GB2312" w:cs="Times New Roman"/>
                      <w:color w:val="auto"/>
                      <w:sz w:val="21"/>
                      <w:szCs w:val="21"/>
                      <w:lang w:val="en-US" w:eastAsia="zh-CN"/>
                    </w:rPr>
                    <w:t>水</w:t>
                  </w:r>
                  <w:r>
                    <w:rPr>
                      <w:rFonts w:hint="default" w:ascii="Times New Roman" w:hAnsi="Times New Roman" w:eastAsia="仿宋_GB2312" w:cs="Times New Roman"/>
                      <w:color w:val="auto"/>
                      <w:sz w:val="21"/>
                      <w:szCs w:val="21"/>
                      <w:lang w:val="en-US" w:eastAsia="zh-CN"/>
                    </w:rPr>
                    <w:t>经地埋式一体化污水处理装置处理、废水经隔油池沉淀后接市政管网，不属于直排项目。</w:t>
                  </w:r>
                </w:p>
              </w:tc>
            </w:tr>
            <w:tr w14:paraId="072FBA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restart"/>
                  <w:tcBorders>
                    <w:tl2br w:val="nil"/>
                    <w:tr2bl w:val="nil"/>
                  </w:tcBorders>
                  <w:noWrap w:val="0"/>
                  <w:vAlign w:val="center"/>
                </w:tcPr>
                <w:p w14:paraId="2F55A4C3">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r>
                    <w:rPr>
                      <w:rFonts w:hint="default" w:ascii="Times New Roman" w:hAnsi="Times New Roman" w:eastAsia="仿宋_GB2312" w:cs="Times New Roman"/>
                      <w:color w:val="auto"/>
                      <w:kern w:val="0"/>
                      <w:sz w:val="21"/>
                      <w:szCs w:val="21"/>
                      <w:lang w:eastAsia="zh-CN" w:bidi="ar"/>
                    </w:rPr>
                    <w:t>环境风险防控</w:t>
                  </w:r>
                </w:p>
              </w:tc>
              <w:tc>
                <w:tcPr>
                  <w:tcW w:w="2904" w:type="pct"/>
                  <w:tcBorders>
                    <w:tl2br w:val="nil"/>
                    <w:tr2bl w:val="nil"/>
                  </w:tcBorders>
                  <w:noWrap w:val="0"/>
                  <w:vAlign w:val="center"/>
                </w:tcPr>
                <w:p w14:paraId="31710628">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强化风险管控和修复工程事中和事后监管，防止转运污染土壤非法处置，以及农药类等污染地块风险管控和修复过程中产生的异味等二次污染。</w:t>
                  </w:r>
                </w:p>
              </w:tc>
              <w:tc>
                <w:tcPr>
                  <w:tcW w:w="1514" w:type="pct"/>
                  <w:tcBorders>
                    <w:tl2br w:val="nil"/>
                    <w:tr2bl w:val="nil"/>
                  </w:tcBorders>
                  <w:noWrap w:val="0"/>
                  <w:vAlign w:val="center"/>
                </w:tcPr>
                <w:p w14:paraId="6837CEBF">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本项目不涉及农药类等土壤污染，不涉及污染土壤转运处置。</w:t>
                  </w:r>
                </w:p>
              </w:tc>
            </w:tr>
            <w:tr w14:paraId="7DB48A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vMerge w:val="continue"/>
                  <w:tcBorders>
                    <w:tl2br w:val="nil"/>
                    <w:tr2bl w:val="nil"/>
                  </w:tcBorders>
                  <w:noWrap w:val="0"/>
                  <w:vAlign w:val="center"/>
                </w:tcPr>
                <w:p w14:paraId="3CC31535">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p>
              </w:tc>
              <w:tc>
                <w:tcPr>
                  <w:tcW w:w="2904" w:type="pct"/>
                  <w:tcBorders>
                    <w:tl2br w:val="nil"/>
                    <w:tr2bl w:val="nil"/>
                  </w:tcBorders>
                  <w:noWrap w:val="0"/>
                  <w:vAlign w:val="center"/>
                </w:tcPr>
                <w:p w14:paraId="6BF3FB4D">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强尾矿库安全管理，禁止库区和尾矿坝上存在未按批准的设计方案进行开采、挖掘、爆破等活动；禁止坝体超过设计坝高、或超设计库容储存尾矿；禁止尾矿堆积坝上升速率大于设计堆积上升速率。禁止设计以外的尾矿、废料或者废水进库等。</w:t>
                  </w:r>
                </w:p>
              </w:tc>
              <w:tc>
                <w:tcPr>
                  <w:tcW w:w="1514" w:type="pct"/>
                  <w:tcBorders>
                    <w:tl2br w:val="nil"/>
                    <w:tr2bl w:val="nil"/>
                  </w:tcBorders>
                  <w:noWrap w:val="0"/>
                  <w:vAlign w:val="center"/>
                </w:tcPr>
                <w:p w14:paraId="718E96F5">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本项目不涉及尾矿库。</w:t>
                  </w:r>
                </w:p>
              </w:tc>
            </w:tr>
            <w:tr w14:paraId="1E7439C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81" w:type="pct"/>
                  <w:tcBorders>
                    <w:tl2br w:val="nil"/>
                    <w:tr2bl w:val="nil"/>
                  </w:tcBorders>
                  <w:noWrap w:val="0"/>
                  <w:vAlign w:val="center"/>
                </w:tcPr>
                <w:p w14:paraId="3ECE15A6">
                  <w:pPr>
                    <w:widowControl/>
                    <w:autoSpaceDE w:val="0"/>
                    <w:autoSpaceDN w:val="0"/>
                    <w:adjustRightInd w:val="0"/>
                    <w:snapToGrid w:val="0"/>
                    <w:jc w:val="center"/>
                    <w:rPr>
                      <w:rFonts w:hint="default" w:ascii="Times New Roman" w:hAnsi="Times New Roman" w:eastAsia="仿宋_GB2312" w:cs="Times New Roman"/>
                      <w:color w:val="auto"/>
                      <w:kern w:val="0"/>
                      <w:sz w:val="21"/>
                      <w:szCs w:val="21"/>
                      <w:lang w:eastAsia="zh-CN" w:bidi="ar"/>
                    </w:rPr>
                  </w:pPr>
                  <w:r>
                    <w:rPr>
                      <w:rFonts w:hint="default" w:ascii="Times New Roman" w:hAnsi="Times New Roman" w:eastAsia="仿宋_GB2312" w:cs="Times New Roman"/>
                      <w:color w:val="auto"/>
                      <w:kern w:val="0"/>
                      <w:sz w:val="21"/>
                      <w:szCs w:val="21"/>
                      <w:lang w:eastAsia="zh-CN" w:bidi="ar"/>
                    </w:rPr>
                    <w:t>资源开发效率要求</w:t>
                  </w:r>
                </w:p>
              </w:tc>
              <w:tc>
                <w:tcPr>
                  <w:tcW w:w="2904" w:type="pct"/>
                  <w:tcBorders>
                    <w:tl2br w:val="nil"/>
                    <w:tr2bl w:val="nil"/>
                  </w:tcBorders>
                  <w:noWrap w:val="0"/>
                  <w:vAlign w:val="center"/>
                </w:tcPr>
                <w:p w14:paraId="499C5069">
                  <w:pPr>
                    <w:widowControl/>
                    <w:jc w:val="both"/>
                    <w:rPr>
                      <w:rFonts w:hint="default" w:ascii="Times New Roman" w:hAnsi="Times New Roman" w:eastAsia="仿宋_GB2312" w:cs="Times New Roman"/>
                      <w:i w:val="0"/>
                      <w:iCs w:val="0"/>
                      <w:caps w:val="0"/>
                      <w:color w:val="auto"/>
                      <w:spacing w:val="0"/>
                      <w:sz w:val="21"/>
                      <w:szCs w:val="21"/>
                      <w:shd w:val="clear" w:color="auto" w:fill="FFFFFF"/>
                    </w:rPr>
                  </w:pPr>
                  <w:r>
                    <w:rPr>
                      <w:rFonts w:hint="default" w:ascii="Times New Roman" w:hAnsi="Times New Roman" w:eastAsia="仿宋_GB2312" w:cs="Times New Roman"/>
                      <w:i w:val="0"/>
                      <w:iCs w:val="0"/>
                      <w:caps w:val="0"/>
                      <w:color w:val="auto"/>
                      <w:spacing w:val="0"/>
                      <w:sz w:val="21"/>
                      <w:szCs w:val="21"/>
                      <w:shd w:val="clear" w:color="auto" w:fill="FFFFFF"/>
                    </w:rPr>
                    <w:t>严格城市规划蓝线管理，城市规划区范围内应</w:t>
                  </w:r>
                  <w:r>
                    <w:rPr>
                      <w:rFonts w:hint="default" w:ascii="Times New Roman" w:hAnsi="Times New Roman" w:eastAsia="仿宋_GB2312" w:cs="Times New Roman"/>
                      <w:color w:val="auto"/>
                      <w:sz w:val="21"/>
                      <w:szCs w:val="21"/>
                      <w:lang w:val="en-US" w:eastAsia="zh-CN"/>
                    </w:rPr>
                    <w:t>保留一定比例的水域面积，现有水域面积不得减少。新建项目一律不得违规占用水域。严格水域岸线用途管制，土地开发利用应按照有关法律法规和技术标准要求，留足河道、湖泊的管理和保护范围，非法挤占的应限期退出。</w:t>
                  </w:r>
                </w:p>
              </w:tc>
              <w:tc>
                <w:tcPr>
                  <w:tcW w:w="1514" w:type="pct"/>
                  <w:tcBorders>
                    <w:tl2br w:val="nil"/>
                    <w:tr2bl w:val="nil"/>
                  </w:tcBorders>
                  <w:noWrap w:val="0"/>
                  <w:vAlign w:val="center"/>
                </w:tcPr>
                <w:p w14:paraId="0C55CF98">
                  <w:pPr>
                    <w:widowControl/>
                    <w:jc w:val="center"/>
                    <w:rPr>
                      <w:rFonts w:hint="default" w:ascii="Times New Roman" w:hAnsi="Times New Roman" w:eastAsia="仿宋_GB2312" w:cs="Times New Roman"/>
                      <w:i w:val="0"/>
                      <w:iCs w:val="0"/>
                      <w:caps w:val="0"/>
                      <w:color w:val="auto"/>
                      <w:spacing w:val="0"/>
                      <w:sz w:val="21"/>
                      <w:szCs w:val="21"/>
                      <w:shd w:val="clear" w:color="auto" w:fill="FFFFFF"/>
                      <w:lang w:eastAsia="zh-CN"/>
                    </w:rPr>
                  </w:pPr>
                  <w:r>
                    <w:rPr>
                      <w:rFonts w:hint="default" w:ascii="Times New Roman" w:hAnsi="Times New Roman" w:eastAsia="仿宋_GB2312" w:cs="Times New Roman"/>
                      <w:i w:val="0"/>
                      <w:iCs w:val="0"/>
                      <w:caps w:val="0"/>
                      <w:color w:val="auto"/>
                      <w:spacing w:val="0"/>
                      <w:sz w:val="21"/>
                      <w:szCs w:val="21"/>
                      <w:shd w:val="clear" w:color="auto" w:fill="FFFFFF"/>
                      <w:lang w:eastAsia="zh-CN"/>
                    </w:rPr>
                    <w:t>本项目不涉及占用水域及水域岸线。</w:t>
                  </w:r>
                </w:p>
              </w:tc>
            </w:tr>
          </w:tbl>
          <w:p w14:paraId="6CE09306">
            <w:pPr>
              <w:pStyle w:val="42"/>
              <w:spacing w:line="360" w:lineRule="auto"/>
              <w:ind w:firstLine="480"/>
              <w:jc w:val="both"/>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lang w:val="en-US" w:eastAsia="zh-CN"/>
              </w:rPr>
              <w:t>由表1-3，本项目符合安徽省重点区域生态环境分区管控要求。综上所述，项目建设符合生态保护红线要求，本项目不</w:t>
            </w:r>
            <w:r>
              <w:rPr>
                <w:rFonts w:hint="default" w:ascii="Times New Roman" w:hAnsi="Times New Roman" w:eastAsia="仿宋_GB2312" w:cs="Times New Roman"/>
                <w:color w:val="auto"/>
                <w:sz w:val="24"/>
                <w:szCs w:val="24"/>
                <w:highlight w:val="none"/>
                <w:lang w:val="en-US" w:eastAsia="zh-CN"/>
              </w:rPr>
              <w:t>涉及生态保护红线区域，选址符合要求，本项目与池州市生态保护红线位置关系见附图</w:t>
            </w:r>
            <w:r>
              <w:rPr>
                <w:rFonts w:hint="eastAsia" w:cs="Times New Roman"/>
                <w:color w:val="auto"/>
                <w:sz w:val="24"/>
                <w:szCs w:val="24"/>
                <w:highlight w:val="none"/>
                <w:lang w:val="en-US" w:eastAsia="zh-CN"/>
              </w:rPr>
              <w:t>10</w:t>
            </w:r>
            <w:r>
              <w:rPr>
                <w:rFonts w:hint="default" w:ascii="Times New Roman" w:hAnsi="Times New Roman" w:eastAsia="仿宋_GB2312" w:cs="Times New Roman"/>
                <w:color w:val="auto"/>
                <w:sz w:val="24"/>
                <w:szCs w:val="24"/>
                <w:highlight w:val="none"/>
                <w:lang w:val="en-US" w:eastAsia="zh-CN"/>
              </w:rPr>
              <w:t>。</w:t>
            </w:r>
          </w:p>
          <w:p w14:paraId="4ECA3239">
            <w:pPr>
              <w:pStyle w:val="42"/>
              <w:spacing w:line="360" w:lineRule="auto"/>
              <w:ind w:firstLine="480"/>
              <w:jc w:val="both"/>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3、其他规划符合性分析</w:t>
            </w:r>
          </w:p>
          <w:p w14:paraId="25D7498C">
            <w:pPr>
              <w:pStyle w:val="49"/>
              <w:adjustRightInd w:val="0"/>
              <w:spacing w:line="240" w:lineRule="auto"/>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color w:val="auto"/>
                <w:sz w:val="24"/>
                <w:szCs w:val="24"/>
              </w:rPr>
              <w:t>表</w:t>
            </w:r>
            <w:r>
              <w:rPr>
                <w:rFonts w:hint="default" w:ascii="Times New Roman" w:hAnsi="Times New Roman" w:eastAsia="仿宋_GB2312" w:cs="Times New Roman"/>
                <w:b/>
                <w:color w:val="auto"/>
                <w:sz w:val="24"/>
                <w:szCs w:val="24"/>
                <w:lang w:val="en-US" w:eastAsia="zh-CN"/>
              </w:rPr>
              <w:t>1</w:t>
            </w:r>
            <w:r>
              <w:rPr>
                <w:rFonts w:hint="default" w:ascii="Times New Roman" w:hAnsi="Times New Roman" w:eastAsia="仿宋_GB2312" w:cs="Times New Roman"/>
                <w:b/>
                <w:color w:val="auto"/>
                <w:sz w:val="24"/>
                <w:szCs w:val="24"/>
              </w:rPr>
              <w:t>-</w:t>
            </w:r>
            <w:r>
              <w:rPr>
                <w:rFonts w:hint="default" w:ascii="Times New Roman" w:hAnsi="Times New Roman" w:eastAsia="仿宋_GB2312" w:cs="Times New Roman"/>
                <w:b/>
                <w:color w:val="auto"/>
                <w:sz w:val="24"/>
                <w:szCs w:val="24"/>
                <w:lang w:val="en-US" w:eastAsia="zh-CN"/>
              </w:rPr>
              <w:t>4</w:t>
            </w:r>
            <w:r>
              <w:rPr>
                <w:rFonts w:hint="default" w:ascii="Times New Roman" w:hAnsi="Times New Roman" w:eastAsia="仿宋_GB2312" w:cs="Times New Roman"/>
                <w:b/>
                <w:color w:val="auto"/>
                <w:sz w:val="24"/>
                <w:szCs w:val="24"/>
              </w:rPr>
              <w:t xml:space="preserve"> </w:t>
            </w:r>
            <w:r>
              <w:rPr>
                <w:rFonts w:hint="default" w:ascii="Times New Roman" w:hAnsi="Times New Roman" w:eastAsia="仿宋_GB2312" w:cs="Times New Roman"/>
                <w:b/>
                <w:bCs/>
                <w:color w:val="auto"/>
                <w:sz w:val="24"/>
                <w:szCs w:val="24"/>
                <w:lang w:eastAsia="zh-CN"/>
              </w:rPr>
              <w:t>项目与其他</w:t>
            </w:r>
            <w:r>
              <w:rPr>
                <w:rFonts w:hint="default" w:ascii="Times New Roman" w:hAnsi="Times New Roman" w:eastAsia="仿宋_GB2312" w:cs="Times New Roman"/>
                <w:b/>
                <w:bCs/>
                <w:color w:val="auto"/>
                <w:sz w:val="24"/>
                <w:szCs w:val="24"/>
                <w:lang w:val="en-US" w:eastAsia="zh-CN"/>
              </w:rPr>
              <w:t>相关</w:t>
            </w:r>
            <w:r>
              <w:rPr>
                <w:rFonts w:hint="default" w:ascii="Times New Roman" w:hAnsi="Times New Roman" w:eastAsia="仿宋_GB2312" w:cs="Times New Roman"/>
                <w:b/>
                <w:bCs/>
                <w:color w:val="auto"/>
                <w:sz w:val="24"/>
                <w:szCs w:val="24"/>
                <w:lang w:eastAsia="zh-CN"/>
              </w:rPr>
              <w:t>规划和技术标准的</w:t>
            </w:r>
            <w:r>
              <w:rPr>
                <w:rFonts w:hint="default" w:ascii="Times New Roman" w:hAnsi="Times New Roman" w:eastAsia="仿宋_GB2312" w:cs="Times New Roman"/>
                <w:b/>
                <w:bCs/>
                <w:color w:val="auto"/>
                <w:sz w:val="24"/>
                <w:szCs w:val="24"/>
              </w:rPr>
              <w:t>符合性分析</w:t>
            </w:r>
          </w:p>
          <w:tbl>
            <w:tblPr>
              <w:tblStyle w:val="19"/>
              <w:tblW w:w="4999" w:type="pct"/>
              <w:jc w:val="center"/>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Layout w:type="fixed"/>
              <w:tblCellMar>
                <w:top w:w="28" w:type="dxa"/>
                <w:left w:w="0" w:type="dxa"/>
                <w:bottom w:w="28" w:type="dxa"/>
                <w:right w:w="0" w:type="dxa"/>
              </w:tblCellMar>
            </w:tblPr>
            <w:tblGrid>
              <w:gridCol w:w="1340"/>
              <w:gridCol w:w="3919"/>
              <w:gridCol w:w="2800"/>
            </w:tblGrid>
            <w:tr w14:paraId="054FB400">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tcBorders>
                    <w:tl2br w:val="nil"/>
                    <w:tr2bl w:val="nil"/>
                  </w:tcBorders>
                  <w:noWrap w:val="0"/>
                  <w:vAlign w:val="center"/>
                </w:tcPr>
                <w:p w14:paraId="6E5DD9C8">
                  <w:pPr>
                    <w:pStyle w:val="48"/>
                    <w:spacing w:before="0"/>
                    <w:jc w:val="center"/>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环保政策</w:t>
                  </w:r>
                </w:p>
              </w:tc>
              <w:tc>
                <w:tcPr>
                  <w:tcW w:w="2431" w:type="pct"/>
                  <w:tcBorders>
                    <w:tl2br w:val="nil"/>
                    <w:tr2bl w:val="nil"/>
                  </w:tcBorders>
                  <w:noWrap w:val="0"/>
                  <w:vAlign w:val="center"/>
                </w:tcPr>
                <w:p w14:paraId="7E96E0F4">
                  <w:pPr>
                    <w:pStyle w:val="48"/>
                    <w:spacing w:before="0"/>
                    <w:jc w:val="center"/>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相关</w:t>
                  </w:r>
                  <w:r>
                    <w:rPr>
                      <w:rFonts w:hint="default" w:ascii="Times New Roman" w:hAnsi="Times New Roman" w:eastAsia="仿宋_GB2312" w:cs="Times New Roman"/>
                      <w:b/>
                      <w:bCs/>
                      <w:color w:val="auto"/>
                      <w:sz w:val="21"/>
                      <w:szCs w:val="21"/>
                    </w:rPr>
                    <w:t>要求</w:t>
                  </w:r>
                </w:p>
              </w:tc>
              <w:tc>
                <w:tcPr>
                  <w:tcW w:w="1736" w:type="pct"/>
                  <w:tcBorders>
                    <w:tl2br w:val="nil"/>
                    <w:tr2bl w:val="nil"/>
                  </w:tcBorders>
                  <w:noWrap w:val="0"/>
                  <w:vAlign w:val="center"/>
                </w:tcPr>
                <w:p w14:paraId="7BF6324D">
                  <w:pPr>
                    <w:pStyle w:val="48"/>
                    <w:keepNext w:val="0"/>
                    <w:keepLines w:val="0"/>
                    <w:pageBreakBefore w:val="0"/>
                    <w:widowControl w:val="0"/>
                    <w:kinsoku/>
                    <w:wordWrap/>
                    <w:overflowPunct/>
                    <w:topLinePunct w:val="0"/>
                    <w:autoSpaceDE/>
                    <w:autoSpaceDN/>
                    <w:bidi w:val="0"/>
                    <w:adjustRightInd w:val="0"/>
                    <w:snapToGrid w:val="0"/>
                    <w:spacing w:before="0"/>
                    <w:jc w:val="center"/>
                    <w:textAlignment w:val="auto"/>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kern w:val="0"/>
                      <w:sz w:val="21"/>
                      <w:szCs w:val="21"/>
                      <w:lang w:eastAsia="zh-CN" w:bidi="ar"/>
                    </w:rPr>
                    <w:t>相符性</w:t>
                  </w:r>
                  <w:r>
                    <w:rPr>
                      <w:rFonts w:hint="default" w:ascii="Times New Roman" w:hAnsi="Times New Roman" w:eastAsia="仿宋_GB2312" w:cs="Times New Roman"/>
                      <w:b/>
                      <w:bCs/>
                      <w:color w:val="auto"/>
                      <w:kern w:val="0"/>
                      <w:sz w:val="21"/>
                      <w:szCs w:val="21"/>
                      <w:lang w:bidi="ar"/>
                    </w:rPr>
                    <w:t>分析</w:t>
                  </w:r>
                </w:p>
              </w:tc>
            </w:tr>
            <w:tr w14:paraId="29C9C850">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589" w:hRule="atLeast"/>
                <w:jc w:val="center"/>
              </w:trPr>
              <w:tc>
                <w:tcPr>
                  <w:tcW w:w="832" w:type="pct"/>
                  <w:vMerge w:val="restart"/>
                  <w:tcBorders>
                    <w:tl2br w:val="nil"/>
                    <w:tr2bl w:val="nil"/>
                  </w:tcBorders>
                  <w:noWrap w:val="0"/>
                  <w:vAlign w:val="center"/>
                </w:tcPr>
                <w:p w14:paraId="600D1102">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安徽省“十四五”生态环境保护规划</w:t>
                  </w:r>
                </w:p>
              </w:tc>
              <w:tc>
                <w:tcPr>
                  <w:tcW w:w="2431" w:type="pct"/>
                  <w:tcBorders>
                    <w:tl2br w:val="nil"/>
                    <w:tr2bl w:val="nil"/>
                  </w:tcBorders>
                  <w:noWrap w:val="0"/>
                  <w:vAlign w:val="center"/>
                </w:tcPr>
                <w:p w14:paraId="5316EE23">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三、</w:t>
                  </w:r>
                  <w:r>
                    <w:rPr>
                      <w:rFonts w:hint="default" w:ascii="Times New Roman" w:hAnsi="Times New Roman" w:eastAsia="仿宋_GB2312" w:cs="Times New Roman"/>
                      <w:b/>
                      <w:bCs/>
                      <w:color w:val="auto"/>
                      <w:sz w:val="21"/>
                      <w:szCs w:val="21"/>
                      <w:lang w:val="en-US" w:eastAsia="zh-CN"/>
                    </w:rPr>
                    <w:t>（二）推动能源结构优化。</w:t>
                  </w:r>
                  <w:r>
                    <w:rPr>
                      <w:rFonts w:hint="default" w:ascii="Times New Roman" w:hAnsi="Times New Roman" w:eastAsia="仿宋_GB2312" w:cs="Times New Roman"/>
                      <w:color w:val="auto"/>
                      <w:sz w:val="21"/>
                      <w:szCs w:val="21"/>
                      <w:lang w:val="en-US" w:eastAsia="zh-CN"/>
                    </w:rPr>
                    <w:t>强化能源消费总量和强度双控制度，严格控制能耗强度，有效控制能源消费增量，坚决遏制“两高”项目盲目发展。严格控制煤炭消费总量，大气污染防治重点区域内新、改、扩建用煤项目严格实施煤炭等量或减量替代。完成30万千瓦及以上热电联产机组供热半径15公里范围内燃煤锅炉和低效燃煤热电关停整合。到2025年，完成国家对全省煤炭消费总量控制要求。加快各级开发区实施集中供热和清洁能源替代，加大燃煤热电、燃煤锅炉淘汰力度，有条件地发展大型燃气供热锅炉。</w:t>
                  </w:r>
                </w:p>
              </w:tc>
              <w:tc>
                <w:tcPr>
                  <w:tcW w:w="1736" w:type="pct"/>
                  <w:tcBorders>
                    <w:tl2br w:val="nil"/>
                    <w:tr2bl w:val="nil"/>
                  </w:tcBorders>
                  <w:noWrap w:val="0"/>
                  <w:vAlign w:val="center"/>
                </w:tcPr>
                <w:p w14:paraId="58116BF0">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对照《安徽省“两高”项目管理目录（试行）》（皖节能[2022]2号），本项目不属于“两高”项目，项目区不设锅炉。</w:t>
                  </w:r>
                </w:p>
              </w:tc>
            </w:tr>
            <w:tr w14:paraId="7FB506C3">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2856" w:hRule="atLeast"/>
                <w:jc w:val="center"/>
              </w:trPr>
              <w:tc>
                <w:tcPr>
                  <w:tcW w:w="832" w:type="pct"/>
                  <w:vMerge w:val="continue"/>
                  <w:tcBorders>
                    <w:tl2br w:val="nil"/>
                    <w:tr2bl w:val="nil"/>
                  </w:tcBorders>
                  <w:noWrap w:val="0"/>
                  <w:vAlign w:val="center"/>
                </w:tcPr>
                <w:p w14:paraId="59060E14">
                  <w:pPr>
                    <w:widowControl/>
                    <w:jc w:val="center"/>
                    <w:rPr>
                      <w:rFonts w:hint="default" w:ascii="Times New Roman" w:hAnsi="Times New Roman" w:eastAsia="仿宋_GB2312" w:cs="Times New Roman"/>
                      <w:i w:val="0"/>
                      <w:iCs w:val="0"/>
                      <w:caps w:val="0"/>
                      <w:color w:val="auto"/>
                      <w:spacing w:val="6"/>
                      <w:sz w:val="21"/>
                      <w:szCs w:val="21"/>
                      <w:shd w:val="clear" w:color="auto" w:fill="FFFFFF"/>
                      <w:lang w:eastAsia="zh-CN"/>
                    </w:rPr>
                  </w:pPr>
                </w:p>
              </w:tc>
              <w:tc>
                <w:tcPr>
                  <w:tcW w:w="2431" w:type="pct"/>
                  <w:tcBorders>
                    <w:tl2br w:val="nil"/>
                    <w:tr2bl w:val="nil"/>
                  </w:tcBorders>
                  <w:noWrap w:val="0"/>
                  <w:vAlign w:val="center"/>
                </w:tcPr>
                <w:p w14:paraId="26442176">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四、</w:t>
                  </w:r>
                  <w:r>
                    <w:rPr>
                      <w:rFonts w:hint="default" w:ascii="Times New Roman" w:hAnsi="Times New Roman" w:eastAsia="仿宋_GB2312" w:cs="Times New Roman"/>
                      <w:b/>
                      <w:bCs/>
                      <w:color w:val="auto"/>
                      <w:sz w:val="21"/>
                      <w:szCs w:val="21"/>
                      <w:lang w:val="en-US" w:eastAsia="zh-CN"/>
                    </w:rPr>
                    <w:t>（三）深入打好蓝天碧水净土保卫战。</w:t>
                  </w:r>
                </w:p>
                <w:p w14:paraId="556D42E0">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2）持续推进固定污染源治理。强化挥发性有机物（VOCs）治理精细化管理，在石化、化工、包装印刷、工业涂装等重点行业建立完善源头、过程和末端的VOCs全过程控制体系，实施VOCs排放总量控制；全面推进使用低VOCs含量涂料、油墨、胶粘剂、清洗剂等；加强汽修、干洗、餐饮等生活源VOCs综合治理。全面推进清洁城市行动，推行绿色施工，强化道路绿化用地扬尘治理，以煤炭、矿石、干散货码头物料堆场为重点，推进抑尘设施建设和物料输送系统封闭改造。</w:t>
                  </w:r>
                </w:p>
              </w:tc>
              <w:tc>
                <w:tcPr>
                  <w:tcW w:w="1736" w:type="pct"/>
                  <w:vMerge w:val="restart"/>
                  <w:tcBorders>
                    <w:tl2br w:val="nil"/>
                    <w:tr2bl w:val="nil"/>
                  </w:tcBorders>
                  <w:noWrap w:val="0"/>
                  <w:vAlign w:val="center"/>
                </w:tcPr>
                <w:p w14:paraId="4BC2724A">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本项目不属于石化、化工等重点行业；不涉及生产和使用涂料、油墨、胶粘剂、清洗剂等；</w:t>
                  </w:r>
                </w:p>
                <w:p w14:paraId="055781BA">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项目属于成品油销售，装卸、加油、存储等过程均设置油气回收装置，可最大程度削减VOCs排放；项目生活污水经地埋式一体化污水处理装置、场地清洗废水经隔油池沉淀后经市政管网进入东至国祯水处理有限公司，最终达标排放。</w:t>
                  </w:r>
                </w:p>
              </w:tc>
            </w:tr>
            <w:tr w14:paraId="30644E13">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1632" w:hRule="atLeast"/>
                <w:jc w:val="center"/>
              </w:trPr>
              <w:tc>
                <w:tcPr>
                  <w:tcW w:w="832" w:type="pct"/>
                  <w:vMerge w:val="continue"/>
                  <w:tcBorders>
                    <w:tl2br w:val="nil"/>
                    <w:tr2bl w:val="nil"/>
                  </w:tcBorders>
                  <w:noWrap w:val="0"/>
                  <w:vAlign w:val="center"/>
                </w:tcPr>
                <w:p w14:paraId="76425A8D">
                  <w:pPr>
                    <w:widowControl/>
                    <w:jc w:val="center"/>
                    <w:rPr>
                      <w:rFonts w:hint="default" w:ascii="Times New Roman" w:hAnsi="Times New Roman" w:eastAsia="仿宋_GB2312" w:cs="Times New Roman"/>
                      <w:color w:val="auto"/>
                      <w:sz w:val="21"/>
                      <w:szCs w:val="21"/>
                    </w:rPr>
                  </w:pPr>
                </w:p>
              </w:tc>
              <w:tc>
                <w:tcPr>
                  <w:tcW w:w="2431" w:type="pct"/>
                  <w:tcBorders>
                    <w:tl2br w:val="nil"/>
                    <w:tr2bl w:val="nil"/>
                  </w:tcBorders>
                  <w:noWrap w:val="0"/>
                  <w:vAlign w:val="center"/>
                </w:tcPr>
                <w:p w14:paraId="3D5934DC">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3）持续深化水污染治理。继续以重点排污企业和开发区为重点，推进污水处理设施分类管控。以补足城镇污水收集和处理设施短板为重点，持续实施污水处理提质增效行动，加大生活污水处理设施、配套管网建设和改造力度，推进污泥无害化资源化处理处置。</w:t>
                  </w:r>
                </w:p>
              </w:tc>
              <w:tc>
                <w:tcPr>
                  <w:tcW w:w="1736" w:type="pct"/>
                  <w:vMerge w:val="continue"/>
                  <w:tcBorders>
                    <w:tl2br w:val="nil"/>
                    <w:tr2bl w:val="nil"/>
                  </w:tcBorders>
                  <w:noWrap w:val="0"/>
                  <w:vAlign w:val="center"/>
                </w:tcPr>
                <w:p w14:paraId="56267DF0">
                  <w:pPr>
                    <w:widowControl/>
                    <w:jc w:val="both"/>
                    <w:rPr>
                      <w:rFonts w:hint="default" w:ascii="Times New Roman" w:hAnsi="Times New Roman" w:eastAsia="仿宋_GB2312" w:cs="Times New Roman"/>
                      <w:i w:val="0"/>
                      <w:iCs w:val="0"/>
                      <w:caps w:val="0"/>
                      <w:color w:val="auto"/>
                      <w:spacing w:val="6"/>
                      <w:sz w:val="21"/>
                      <w:szCs w:val="21"/>
                      <w:shd w:val="clear" w:color="auto" w:fill="FFFFFF"/>
                      <w:lang w:eastAsia="zh-CN"/>
                    </w:rPr>
                  </w:pPr>
                </w:p>
              </w:tc>
            </w:tr>
            <w:tr w14:paraId="31CE64A4">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tcBorders>
                    <w:tl2br w:val="nil"/>
                    <w:tr2bl w:val="nil"/>
                  </w:tcBorders>
                  <w:noWrap w:val="0"/>
                  <w:vAlign w:val="center"/>
                </w:tcPr>
                <w:p w14:paraId="65369AD4">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安徽省“十四五”噪声污染防治行动实施方案</w:t>
                  </w:r>
                </w:p>
              </w:tc>
              <w:tc>
                <w:tcPr>
                  <w:tcW w:w="2431" w:type="pct"/>
                  <w:tcBorders>
                    <w:tl2br w:val="nil"/>
                    <w:tr2bl w:val="nil"/>
                  </w:tcBorders>
                  <w:noWrap w:val="0"/>
                  <w:vAlign w:val="center"/>
                </w:tcPr>
                <w:p w14:paraId="66944E86">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三、严格噪声源头管理，控制污染新增。8.严格落实噪声污染防治要求。制定修改相关规划、建设对环境有影响的项目时，应依法开展环境影响评价，对可能产生噪声与振动的影响进行分析、预测和评估，并采取减振降噪的对策措施。建设项目的噪声污染防治设施应当与主体工程同时设计、同时施工、同时投产使用。</w:t>
                  </w:r>
                </w:p>
              </w:tc>
              <w:tc>
                <w:tcPr>
                  <w:tcW w:w="1736" w:type="pct"/>
                  <w:tcBorders>
                    <w:tl2br w:val="nil"/>
                    <w:tr2bl w:val="nil"/>
                  </w:tcBorders>
                  <w:noWrap w:val="0"/>
                  <w:vAlign w:val="center"/>
                </w:tcPr>
                <w:p w14:paraId="4E673A46">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项目施工期选用低噪声施工设备，合理设置施工位面，避免夜间施工；运营期噪声主要由加油</w:t>
                  </w:r>
                  <w:r>
                    <w:rPr>
                      <w:rFonts w:hint="eastAsia" w:eastAsia="仿宋_GB2312" w:cs="Times New Roman"/>
                      <w:color w:val="auto"/>
                      <w:sz w:val="21"/>
                      <w:szCs w:val="21"/>
                      <w:lang w:val="en-US" w:eastAsia="zh-CN"/>
                    </w:rPr>
                    <w:t>（气）</w:t>
                  </w:r>
                  <w:r>
                    <w:rPr>
                      <w:rFonts w:hint="default" w:ascii="Times New Roman" w:hAnsi="Times New Roman" w:eastAsia="仿宋_GB2312" w:cs="Times New Roman"/>
                      <w:color w:val="auto"/>
                      <w:sz w:val="21"/>
                      <w:szCs w:val="21"/>
                      <w:lang w:val="en-US" w:eastAsia="zh-CN"/>
                    </w:rPr>
                    <w:t>机、外来车辆产生，选用低噪声设备、合理操作，设减速带、低噪路面，加强绿化、静止鸣笛，噪声影响较小。</w:t>
                  </w:r>
                </w:p>
              </w:tc>
            </w:tr>
            <w:tr w14:paraId="75BFA681">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restart"/>
                  <w:tcBorders>
                    <w:tl2br w:val="nil"/>
                    <w:tr2bl w:val="nil"/>
                  </w:tcBorders>
                  <w:noWrap w:val="0"/>
                  <w:vAlign w:val="center"/>
                </w:tcPr>
                <w:p w14:paraId="34787E54">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安徽省“十四五”节能减排实施方案</w:t>
                  </w:r>
                </w:p>
              </w:tc>
              <w:tc>
                <w:tcPr>
                  <w:tcW w:w="2431" w:type="pct"/>
                  <w:tcBorders>
                    <w:tl2br w:val="nil"/>
                    <w:tr2bl w:val="nil"/>
                  </w:tcBorders>
                  <w:noWrap w:val="0"/>
                  <w:vAlign w:val="center"/>
                </w:tcPr>
                <w:p w14:paraId="0DB66963">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三、（十一）重点区域污染物减排工程。进一步强化区域协作机制，完善重污染天气应对和重点行业绩效分级管理体系，突出PM</w:t>
                  </w:r>
                  <w:r>
                    <w:rPr>
                      <w:rFonts w:hint="default" w:ascii="Times New Roman" w:hAnsi="Times New Roman" w:eastAsia="仿宋_GB2312" w:cs="Times New Roman"/>
                      <w:color w:val="auto"/>
                      <w:sz w:val="21"/>
                      <w:szCs w:val="21"/>
                      <w:vertAlign w:val="subscript"/>
                      <w:lang w:val="en-US" w:eastAsia="zh-CN"/>
                    </w:rPr>
                    <w:t>2.5</w:t>
                  </w:r>
                  <w:r>
                    <w:rPr>
                      <w:rFonts w:hint="default" w:ascii="Times New Roman" w:hAnsi="Times New Roman" w:eastAsia="仿宋_GB2312" w:cs="Times New Roman"/>
                      <w:color w:val="auto"/>
                      <w:sz w:val="21"/>
                      <w:szCs w:val="21"/>
                      <w:lang w:val="en-US" w:eastAsia="zh-CN"/>
                    </w:rPr>
                    <w:t>和臭氧协同控制，加大钢铁、水泥、焦化、玻璃等行业以及工业锅炉、炉窑、移动源氮氧化物减排力度。</w:t>
                  </w:r>
                </w:p>
              </w:tc>
              <w:tc>
                <w:tcPr>
                  <w:tcW w:w="1736" w:type="pct"/>
                  <w:tcBorders>
                    <w:tl2br w:val="nil"/>
                    <w:tr2bl w:val="nil"/>
                  </w:tcBorders>
                  <w:noWrap w:val="0"/>
                  <w:vAlign w:val="center"/>
                </w:tcPr>
                <w:p w14:paraId="65EDAF6F">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本项目不属于钢铁、水泥、焦化、玻璃等行业，项目不涉及工业锅炉、炉窑等。</w:t>
                  </w:r>
                </w:p>
              </w:tc>
            </w:tr>
            <w:tr w14:paraId="7EF417BC">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continue"/>
                  <w:tcBorders>
                    <w:tl2br w:val="nil"/>
                    <w:tr2bl w:val="nil"/>
                  </w:tcBorders>
                  <w:noWrap w:val="0"/>
                  <w:vAlign w:val="center"/>
                </w:tcPr>
                <w:p w14:paraId="206251ED">
                  <w:pPr>
                    <w:widowControl/>
                    <w:jc w:val="center"/>
                    <w:rPr>
                      <w:rFonts w:hint="default" w:ascii="Times New Roman" w:hAnsi="Times New Roman" w:eastAsia="仿宋_GB2312" w:cs="Times New Roman"/>
                      <w:i w:val="0"/>
                      <w:iCs w:val="0"/>
                      <w:caps w:val="0"/>
                      <w:color w:val="auto"/>
                      <w:spacing w:val="6"/>
                      <w:sz w:val="21"/>
                      <w:szCs w:val="21"/>
                      <w:shd w:val="clear" w:color="auto" w:fill="FFFFFF"/>
                      <w:lang w:eastAsia="zh-CN"/>
                    </w:rPr>
                  </w:pPr>
                </w:p>
              </w:tc>
              <w:tc>
                <w:tcPr>
                  <w:tcW w:w="2431" w:type="pct"/>
                  <w:tcBorders>
                    <w:tl2br w:val="nil"/>
                    <w:tr2bl w:val="nil"/>
                  </w:tcBorders>
                  <w:noWrap w:val="0"/>
                  <w:vAlign w:val="center"/>
                </w:tcPr>
                <w:p w14:paraId="5495BB5A">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挥发性有机物综合整治工程。全面推动挥发性有机物纳入排污许可管理。禁止建设生产和使用高挥发性有机物含量涂料、油墨、胶粘剂、清洗剂等项目。</w:t>
                  </w:r>
                </w:p>
              </w:tc>
              <w:tc>
                <w:tcPr>
                  <w:tcW w:w="1736" w:type="pct"/>
                  <w:tcBorders>
                    <w:tl2br w:val="nil"/>
                    <w:tr2bl w:val="nil"/>
                  </w:tcBorders>
                  <w:noWrap w:val="0"/>
                  <w:vAlign w:val="center"/>
                </w:tcPr>
                <w:p w14:paraId="552693D9">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本项目不涉及生产和使用高挥发性有机物含量涂料、油墨、胶粘剂、清洗剂等。</w:t>
                  </w:r>
                </w:p>
              </w:tc>
            </w:tr>
            <w:tr w14:paraId="41D70C48">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continue"/>
                  <w:tcBorders>
                    <w:tl2br w:val="nil"/>
                    <w:tr2bl w:val="nil"/>
                  </w:tcBorders>
                  <w:noWrap w:val="0"/>
                  <w:vAlign w:val="center"/>
                </w:tcPr>
                <w:p w14:paraId="6F34E712">
                  <w:pPr>
                    <w:widowControl/>
                    <w:jc w:val="center"/>
                    <w:rPr>
                      <w:rFonts w:hint="default" w:ascii="Times New Roman" w:hAnsi="Times New Roman" w:eastAsia="仿宋_GB2312" w:cs="Times New Roman"/>
                      <w:i w:val="0"/>
                      <w:iCs w:val="0"/>
                      <w:caps w:val="0"/>
                      <w:color w:val="auto"/>
                      <w:spacing w:val="6"/>
                      <w:sz w:val="21"/>
                      <w:szCs w:val="21"/>
                      <w:shd w:val="clear" w:color="auto" w:fill="FFFFFF"/>
                      <w:lang w:eastAsia="zh-CN"/>
                    </w:rPr>
                  </w:pPr>
                </w:p>
              </w:tc>
              <w:tc>
                <w:tcPr>
                  <w:tcW w:w="2431" w:type="pct"/>
                  <w:tcBorders>
                    <w:tl2br w:val="nil"/>
                    <w:tr2bl w:val="nil"/>
                  </w:tcBorders>
                  <w:noWrap w:val="0"/>
                  <w:vAlign w:val="center"/>
                </w:tcPr>
                <w:p w14:paraId="65628B5C">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四、（三）坚决遏制高耗能高排放项目盲目发展。明确高耗能高排放（以下简称“两高”）项目界定标准，全面排查在建、拟建、存量“两高”项目，实施清单管理、分类处置、动态监控。严格控制新增“两高”项目审批，认真分析评估拟建项目必要性、可行性和对产业高质量发展、能耗双控、碳排放和环境质量的影响，严格审查项目是否符合产业政策、产业规划、“三线一单”、规划环评要求，是否依法依规落实产能置换、能耗置换、煤炭消费减量替代、污染物排放区域削减等要求。</w:t>
                  </w:r>
                </w:p>
              </w:tc>
              <w:tc>
                <w:tcPr>
                  <w:tcW w:w="1736" w:type="pct"/>
                  <w:tcBorders>
                    <w:tl2br w:val="nil"/>
                    <w:tr2bl w:val="nil"/>
                  </w:tcBorders>
                  <w:noWrap w:val="0"/>
                  <w:vAlign w:val="center"/>
                </w:tcPr>
                <w:p w14:paraId="3524D8C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本项目不属于“两高”项目。</w:t>
                  </w:r>
                </w:p>
              </w:tc>
            </w:tr>
            <w:tr w14:paraId="46793071">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tcBorders>
                    <w:tl2br w:val="nil"/>
                    <w:tr2bl w:val="nil"/>
                  </w:tcBorders>
                  <w:noWrap w:val="0"/>
                  <w:vAlign w:val="center"/>
                </w:tcPr>
                <w:p w14:paraId="091B723F">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安徽省长江经济带发展负面清单实施细则（试行）</w:t>
                  </w:r>
                </w:p>
              </w:tc>
              <w:tc>
                <w:tcPr>
                  <w:tcW w:w="2431" w:type="pct"/>
                  <w:tcBorders>
                    <w:tl2br w:val="nil"/>
                    <w:tr2bl w:val="nil"/>
                  </w:tcBorders>
                  <w:noWrap w:val="0"/>
                  <w:vAlign w:val="center"/>
                </w:tcPr>
                <w:p w14:paraId="29AF51E8">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第十一条 禁止新建、扩建不符合国家石化、现代煤化工等产业布局规划的项目。</w:t>
                  </w:r>
                </w:p>
                <w:p w14:paraId="3ED9F476">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第十二条 禁止新建、扩建法律法规和相关政策明令禁止的落后产能项目。</w:t>
                  </w:r>
                </w:p>
                <w:p w14:paraId="309A4BDD">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第十三条 禁止新建、扩建不符合国家产能置换要求的钢铁、水泥、电解铝、平板玻璃等严重过剩产能行业的项目。</w:t>
                  </w:r>
                </w:p>
              </w:tc>
              <w:tc>
                <w:tcPr>
                  <w:tcW w:w="1736" w:type="pct"/>
                  <w:tcBorders>
                    <w:tl2br w:val="nil"/>
                    <w:tr2bl w:val="nil"/>
                  </w:tcBorders>
                  <w:noWrap w:val="0"/>
                  <w:vAlign w:val="center"/>
                </w:tcPr>
                <w:p w14:paraId="0236C2E4">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本项目不属于石化、煤化工等行业，不属于落后产能项目，不属于严重过剩产能行业。</w:t>
                  </w:r>
                </w:p>
              </w:tc>
            </w:tr>
            <w:tr w14:paraId="32C0C703">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restart"/>
                  <w:tcBorders>
                    <w:tl2br w:val="nil"/>
                    <w:tr2bl w:val="nil"/>
                  </w:tcBorders>
                  <w:noWrap w:val="0"/>
                  <w:vAlign w:val="center"/>
                </w:tcPr>
                <w:p w14:paraId="655D2855">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池州市“十四五”生态环境保护规划</w:t>
                  </w:r>
                </w:p>
              </w:tc>
              <w:tc>
                <w:tcPr>
                  <w:tcW w:w="2431" w:type="pct"/>
                  <w:tcBorders>
                    <w:tl2br w:val="nil"/>
                    <w:tr2bl w:val="nil"/>
                  </w:tcBorders>
                  <w:noWrap w:val="0"/>
                  <w:vAlign w:val="center"/>
                </w:tcPr>
                <w:p w14:paraId="45CE023D">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三、（三）推动能源结构优化。强化能源消费总量和强度双控制度，严格控制能耗强度，有效控制能源消费增量，坚决遏制两高项目盲目发展。鼓励有条件的园区实施集中供热和清洁能源替代，加大燃煤锅炉淘汰力度。</w:t>
                  </w:r>
                </w:p>
              </w:tc>
              <w:tc>
                <w:tcPr>
                  <w:tcW w:w="1736" w:type="pct"/>
                  <w:tcBorders>
                    <w:tl2br w:val="nil"/>
                    <w:tr2bl w:val="nil"/>
                  </w:tcBorders>
                  <w:noWrap w:val="0"/>
                  <w:vAlign w:val="center"/>
                </w:tcPr>
                <w:p w14:paraId="47150A91">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本项目不属于“两高”项目，项目区不设锅炉。</w:t>
                  </w:r>
                </w:p>
              </w:tc>
            </w:tr>
            <w:tr w14:paraId="0EA7723B">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continue"/>
                  <w:tcBorders>
                    <w:tl2br w:val="nil"/>
                    <w:tr2bl w:val="nil"/>
                  </w:tcBorders>
                  <w:noWrap w:val="0"/>
                  <w:vAlign w:val="center"/>
                </w:tcPr>
                <w:p w14:paraId="3047432E">
                  <w:pPr>
                    <w:widowControl/>
                    <w:jc w:val="both"/>
                    <w:rPr>
                      <w:rFonts w:hint="default" w:ascii="Times New Roman" w:hAnsi="Times New Roman" w:eastAsia="仿宋_GB2312" w:cs="Times New Roman"/>
                      <w:color w:val="auto"/>
                      <w:sz w:val="21"/>
                      <w:szCs w:val="21"/>
                      <w:lang w:val="en-US" w:eastAsia="zh-CN"/>
                    </w:rPr>
                  </w:pPr>
                </w:p>
              </w:tc>
              <w:tc>
                <w:tcPr>
                  <w:tcW w:w="2431" w:type="pct"/>
                  <w:tcBorders>
                    <w:tl2br w:val="nil"/>
                    <w:tr2bl w:val="nil"/>
                  </w:tcBorders>
                  <w:noWrap w:val="0"/>
                  <w:vAlign w:val="center"/>
                </w:tcPr>
                <w:p w14:paraId="0A224866">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四（一）持续改善大气环境质量。</w:t>
                  </w:r>
                  <w:r>
                    <w:rPr>
                      <w:rFonts w:hint="default" w:ascii="Times New Roman" w:hAnsi="Times New Roman" w:eastAsia="仿宋_GB2312" w:cs="Times New Roman"/>
                      <w:b/>
                      <w:bCs/>
                      <w:color w:val="auto"/>
                      <w:sz w:val="21"/>
                      <w:szCs w:val="21"/>
                      <w:lang w:val="en-US" w:eastAsia="zh-CN"/>
                    </w:rPr>
                    <w:t>1、推进重点行业深度治理。</w:t>
                  </w:r>
                  <w:r>
                    <w:rPr>
                      <w:rFonts w:hint="default" w:ascii="Times New Roman" w:hAnsi="Times New Roman" w:eastAsia="仿宋_GB2312" w:cs="Times New Roman"/>
                      <w:color w:val="auto"/>
                      <w:sz w:val="21"/>
                      <w:szCs w:val="21"/>
                      <w:lang w:val="en-US" w:eastAsia="zh-CN"/>
                    </w:rPr>
                    <w:t>实施重点行业污染物深度治理，加强大型燃煤设施的烟气净化设备的安装与管理，净化烟尘、二氧化硫和氮氧化物，重点开展水泥、钢铁、石灰和石膏、铸造等高污染排放行业的防治，全力推进钢铁行业超低排放改造。对全市无组织排放情况进行摸底排查，建立颗粒物无组织排放治理清单，深化工业企业生产工艺过程、物料储存、物料运输、厂区道路等无组织排放管控与治理。</w:t>
                  </w:r>
                  <w:r>
                    <w:rPr>
                      <w:rFonts w:hint="default" w:ascii="Times New Roman" w:hAnsi="Times New Roman" w:eastAsia="仿宋_GB2312" w:cs="Times New Roman"/>
                      <w:b/>
                      <w:bCs/>
                      <w:color w:val="auto"/>
                      <w:sz w:val="21"/>
                      <w:szCs w:val="21"/>
                      <w:lang w:val="en-US" w:eastAsia="zh-CN"/>
                    </w:rPr>
                    <w:t>4、加强细颗粒物和臭氧协同控制。</w:t>
                  </w:r>
                  <w:r>
                    <w:rPr>
                      <w:rFonts w:hint="default" w:ascii="Times New Roman" w:hAnsi="Times New Roman" w:eastAsia="仿宋_GB2312" w:cs="Times New Roman"/>
                      <w:color w:val="auto"/>
                      <w:sz w:val="21"/>
                      <w:szCs w:val="21"/>
                      <w:lang w:val="en-US" w:eastAsia="zh-CN"/>
                    </w:rPr>
                    <w:t>制定细颗粒物和臭氧协同控制持续改善空气质量行动计划，科学确定细颗粒物和臭氧减排目标和比例。实施氮氧化物和VOCs总量控制，深化涉VOCs园区和产业集群升级改造，推进重点行业氮氧化物治理，实施源头、过程、末端全流程、全链条、全环节管控，推动PM</w:t>
                  </w:r>
                  <w:r>
                    <w:rPr>
                      <w:rFonts w:hint="default" w:ascii="Times New Roman" w:hAnsi="Times New Roman" w:eastAsia="仿宋_GB2312" w:cs="Times New Roman"/>
                      <w:color w:val="auto"/>
                      <w:sz w:val="21"/>
                      <w:szCs w:val="21"/>
                      <w:vertAlign w:val="subscript"/>
                      <w:lang w:val="en-US" w:eastAsia="zh-CN"/>
                    </w:rPr>
                    <w:t>2.5</w:t>
                  </w:r>
                  <w:r>
                    <w:rPr>
                      <w:rFonts w:hint="default" w:ascii="Times New Roman" w:hAnsi="Times New Roman" w:eastAsia="仿宋_GB2312" w:cs="Times New Roman"/>
                      <w:color w:val="auto"/>
                      <w:sz w:val="21"/>
                      <w:szCs w:val="21"/>
                      <w:lang w:val="en-US" w:eastAsia="zh-CN"/>
                    </w:rPr>
                    <w:t>持续下降，有效遏制臭氧（O</w:t>
                  </w:r>
                  <w:r>
                    <w:rPr>
                      <w:rFonts w:hint="default" w:ascii="Times New Roman" w:hAnsi="Times New Roman" w:eastAsia="仿宋_GB2312" w:cs="Times New Roman"/>
                      <w:color w:val="auto"/>
                      <w:sz w:val="21"/>
                      <w:szCs w:val="21"/>
                      <w:vertAlign w:val="subscript"/>
                      <w:lang w:val="en-US" w:eastAsia="zh-CN"/>
                    </w:rPr>
                    <w:t>3</w:t>
                  </w:r>
                  <w:r>
                    <w:rPr>
                      <w:rFonts w:hint="default" w:ascii="Times New Roman" w:hAnsi="Times New Roman" w:eastAsia="仿宋_GB2312" w:cs="Times New Roman"/>
                      <w:color w:val="auto"/>
                      <w:sz w:val="21"/>
                      <w:szCs w:val="21"/>
                      <w:lang w:val="en-US" w:eastAsia="zh-CN"/>
                    </w:rPr>
                    <w:t>）增长趋势。</w:t>
                  </w:r>
                </w:p>
              </w:tc>
              <w:tc>
                <w:tcPr>
                  <w:tcW w:w="1736" w:type="pct"/>
                  <w:tcBorders>
                    <w:tl2br w:val="nil"/>
                    <w:tr2bl w:val="nil"/>
                  </w:tcBorders>
                  <w:noWrap w:val="0"/>
                  <w:vAlign w:val="center"/>
                </w:tcPr>
                <w:p w14:paraId="0461DC1D">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本项目不属于水泥、钢铁、石灰和石膏、铸造等高污染排放行业，不涉及煤炭的使用；项目不涉及颗粒物无组织排放。</w:t>
                  </w:r>
                </w:p>
              </w:tc>
            </w:tr>
            <w:tr w14:paraId="61B3EB67">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continue"/>
                  <w:tcBorders>
                    <w:tl2br w:val="nil"/>
                    <w:tr2bl w:val="nil"/>
                  </w:tcBorders>
                  <w:noWrap w:val="0"/>
                  <w:vAlign w:val="center"/>
                </w:tcPr>
                <w:p w14:paraId="7873EA1E">
                  <w:pPr>
                    <w:widowControl/>
                    <w:jc w:val="center"/>
                    <w:rPr>
                      <w:rFonts w:hint="default" w:ascii="Times New Roman" w:hAnsi="Times New Roman" w:eastAsia="仿宋_GB2312" w:cs="Times New Roman"/>
                      <w:i w:val="0"/>
                      <w:iCs w:val="0"/>
                      <w:caps w:val="0"/>
                      <w:color w:val="auto"/>
                      <w:spacing w:val="6"/>
                      <w:sz w:val="21"/>
                      <w:szCs w:val="21"/>
                      <w:shd w:val="clear" w:color="auto" w:fill="FFFFFF"/>
                      <w:lang w:eastAsia="zh-CN"/>
                    </w:rPr>
                  </w:pPr>
                </w:p>
              </w:tc>
              <w:tc>
                <w:tcPr>
                  <w:tcW w:w="2431" w:type="pct"/>
                  <w:tcBorders>
                    <w:tl2br w:val="nil"/>
                    <w:tr2bl w:val="nil"/>
                  </w:tcBorders>
                  <w:noWrap w:val="0"/>
                  <w:vAlign w:val="center"/>
                </w:tcPr>
                <w:p w14:paraId="4FC24C14">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四（二）持续改善流域生态环境质量。</w:t>
                  </w:r>
                  <w:r>
                    <w:rPr>
                      <w:rFonts w:hint="default" w:ascii="Times New Roman" w:hAnsi="Times New Roman" w:eastAsia="仿宋_GB2312" w:cs="Times New Roman"/>
                      <w:b/>
                      <w:bCs/>
                      <w:color w:val="auto"/>
                      <w:sz w:val="21"/>
                      <w:szCs w:val="21"/>
                      <w:lang w:val="en-US" w:eastAsia="zh-CN"/>
                    </w:rPr>
                    <w:t>2、实施水污染综合防治。</w:t>
                  </w:r>
                  <w:r>
                    <w:rPr>
                      <w:rFonts w:hint="default" w:ascii="Times New Roman" w:hAnsi="Times New Roman" w:eastAsia="仿宋_GB2312" w:cs="Times New Roman"/>
                      <w:color w:val="auto"/>
                      <w:sz w:val="21"/>
                      <w:szCs w:val="21"/>
                      <w:lang w:val="en-US" w:eastAsia="zh-CN"/>
                    </w:rPr>
                    <w:t>狠抓工业园区污染防治。开展城镇污水处理厂升级改造和配套管网建设，排查主城区老旧小区雨污管网，优化排水管网及调蓄设施建设，增强道路绿化带对雨水的消纳功能，加快城镇污水处理设施建设和改造，提高集中式污水处理厂处理能力和排放标准，缓解现有污水处理设施的压力。</w:t>
                  </w:r>
                </w:p>
              </w:tc>
              <w:tc>
                <w:tcPr>
                  <w:tcW w:w="1736" w:type="pct"/>
                  <w:tcBorders>
                    <w:tl2br w:val="nil"/>
                    <w:tr2bl w:val="nil"/>
                  </w:tcBorders>
                  <w:noWrap w:val="0"/>
                  <w:vAlign w:val="center"/>
                </w:tcPr>
                <w:p w14:paraId="430EB77C">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项目生活污水经地埋式一体化污水处理装置、场地清洗废水经隔油池沉淀后经市政管网进入东至国祯水处理有限公司</w:t>
                  </w:r>
                  <w:r>
                    <w:rPr>
                      <w:rFonts w:hint="eastAsia" w:eastAsia="仿宋_GB2312" w:cs="Times New Roman"/>
                      <w:color w:val="auto"/>
                      <w:sz w:val="21"/>
                      <w:szCs w:val="21"/>
                      <w:lang w:val="en-US" w:eastAsia="zh-CN"/>
                    </w:rPr>
                    <w:t>处理</w:t>
                  </w:r>
                  <w:r>
                    <w:rPr>
                      <w:rFonts w:hint="default" w:ascii="Times New Roman" w:hAnsi="Times New Roman" w:eastAsia="仿宋_GB2312" w:cs="Times New Roman"/>
                      <w:color w:val="auto"/>
                      <w:sz w:val="21"/>
                      <w:szCs w:val="21"/>
                      <w:lang w:val="en-US" w:eastAsia="zh-CN"/>
                    </w:rPr>
                    <w:t>。</w:t>
                  </w:r>
                </w:p>
              </w:tc>
            </w:tr>
            <w:tr w14:paraId="3912A0FA">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restart"/>
                  <w:tcBorders>
                    <w:tl2br w:val="nil"/>
                    <w:tr2bl w:val="nil"/>
                  </w:tcBorders>
                  <w:noWrap w:val="0"/>
                  <w:vAlign w:val="center"/>
                </w:tcPr>
                <w:p w14:paraId="380776E0">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池州市“十四五”水生态环境保护规划</w:t>
                  </w:r>
                </w:p>
              </w:tc>
              <w:tc>
                <w:tcPr>
                  <w:tcW w:w="2431" w:type="pct"/>
                  <w:tcBorders>
                    <w:tl2br w:val="nil"/>
                    <w:tr2bl w:val="nil"/>
                  </w:tcBorders>
                  <w:noWrap w:val="0"/>
                  <w:vAlign w:val="center"/>
                </w:tcPr>
                <w:p w14:paraId="2AE5C67D">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三（六）推动长江岸线保护开发。加强对长江岸线保护利用，恢复长江绿色生态廊道。严格按照相关法律法规针对岸线保护区、岸线保留区、岸线控制利用区和岸线开发利用区中已建和在建项目，实施严格的环境管控。</w:t>
                  </w:r>
                </w:p>
              </w:tc>
              <w:tc>
                <w:tcPr>
                  <w:tcW w:w="1736" w:type="pct"/>
                  <w:tcBorders>
                    <w:tl2br w:val="nil"/>
                    <w:tr2bl w:val="nil"/>
                  </w:tcBorders>
                  <w:noWrap w:val="0"/>
                  <w:vAlign w:val="center"/>
                </w:tcPr>
                <w:p w14:paraId="04593E8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本项目不在长江岸线保护区、岸线保留区、岸线控制利用区和岸线开发利用区。</w:t>
                  </w:r>
                </w:p>
              </w:tc>
            </w:tr>
            <w:tr w14:paraId="0AF114EC">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continue"/>
                  <w:tcBorders>
                    <w:tl2br w:val="nil"/>
                    <w:tr2bl w:val="nil"/>
                  </w:tcBorders>
                  <w:noWrap w:val="0"/>
                  <w:vAlign w:val="center"/>
                </w:tcPr>
                <w:p w14:paraId="463067E0">
                  <w:pPr>
                    <w:widowControl/>
                    <w:jc w:val="both"/>
                    <w:rPr>
                      <w:rFonts w:hint="default" w:ascii="Times New Roman" w:hAnsi="Times New Roman" w:eastAsia="仿宋_GB2312" w:cs="Times New Roman"/>
                      <w:color w:val="auto"/>
                      <w:sz w:val="21"/>
                      <w:szCs w:val="21"/>
                      <w:lang w:val="en-US" w:eastAsia="zh-CN"/>
                    </w:rPr>
                  </w:pPr>
                </w:p>
              </w:tc>
              <w:tc>
                <w:tcPr>
                  <w:tcW w:w="2431" w:type="pct"/>
                  <w:tcBorders>
                    <w:tl2br w:val="nil"/>
                    <w:tr2bl w:val="nil"/>
                  </w:tcBorders>
                  <w:noWrap w:val="0"/>
                  <w:vAlign w:val="center"/>
                </w:tcPr>
                <w:p w14:paraId="673A9F4A">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四（二）提升东至县城污水收集能力，减少污水溢流。加强对现有东至县城区污水管网改造。实施东至县老城区雨污分流改造工程项目，修复老旧小区破损的管网，减少降雨径流对污水处理厂进行浓度的稀释，保障进水水量和进水水质，提高污水处理效率。</w:t>
                  </w:r>
                </w:p>
              </w:tc>
              <w:tc>
                <w:tcPr>
                  <w:tcW w:w="1736" w:type="pct"/>
                  <w:tcBorders>
                    <w:tl2br w:val="nil"/>
                    <w:tr2bl w:val="nil"/>
                  </w:tcBorders>
                  <w:noWrap w:val="0"/>
                  <w:vAlign w:val="center"/>
                </w:tcPr>
                <w:p w14:paraId="10FDCCFC">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项目选址不在东至县老城区。</w:t>
                  </w:r>
                </w:p>
                <w:p w14:paraId="275A1F4E">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项目生活污水经地埋式一体化污水处理装置、场地清洗废水经隔油池沉淀后经市政管网进入东至国祯水处理有限公司</w:t>
                  </w:r>
                  <w:r>
                    <w:rPr>
                      <w:rFonts w:hint="eastAsia" w:eastAsia="仿宋_GB2312" w:cs="Times New Roman"/>
                      <w:color w:val="auto"/>
                      <w:sz w:val="21"/>
                      <w:szCs w:val="21"/>
                      <w:lang w:val="en-US" w:eastAsia="zh-CN"/>
                    </w:rPr>
                    <w:t>处理</w:t>
                  </w:r>
                  <w:r>
                    <w:rPr>
                      <w:rFonts w:hint="default" w:ascii="Times New Roman" w:hAnsi="Times New Roman" w:eastAsia="仿宋_GB2312" w:cs="Times New Roman"/>
                      <w:color w:val="auto"/>
                      <w:sz w:val="21"/>
                      <w:szCs w:val="21"/>
                      <w:lang w:val="en-US" w:eastAsia="zh-CN"/>
                    </w:rPr>
                    <w:t>。</w:t>
                  </w:r>
                </w:p>
              </w:tc>
            </w:tr>
            <w:tr w14:paraId="2A14EFFA">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restart"/>
                  <w:tcBorders>
                    <w:tl2br w:val="nil"/>
                    <w:tr2bl w:val="nil"/>
                  </w:tcBorders>
                  <w:noWrap w:val="0"/>
                  <w:vAlign w:val="center"/>
                </w:tcPr>
                <w:p w14:paraId="70D593F4">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池州市“十四五”节能减排实施方案</w:t>
                  </w:r>
                </w:p>
              </w:tc>
              <w:tc>
                <w:tcPr>
                  <w:tcW w:w="2431" w:type="pct"/>
                  <w:tcBorders>
                    <w:tl2br w:val="nil"/>
                    <w:tr2bl w:val="nil"/>
                  </w:tcBorders>
                  <w:noWrap w:val="0"/>
                  <w:vAlign w:val="center"/>
                </w:tcPr>
                <w:p w14:paraId="6956608C">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三（二）园区节能环保提升工程。持续开展危险废物规范化环境管理评估工作，强化固废、危废信息化监管，督促指导企业做好固废、危废申报登记，严格执行危废转移联单制度。</w:t>
                  </w:r>
                </w:p>
              </w:tc>
              <w:tc>
                <w:tcPr>
                  <w:tcW w:w="1736" w:type="pct"/>
                  <w:tcBorders>
                    <w:tl2br w:val="nil"/>
                    <w:tr2bl w:val="nil"/>
                  </w:tcBorders>
                  <w:noWrap w:val="0"/>
                  <w:vAlign w:val="center"/>
                </w:tcPr>
                <w:p w14:paraId="74441D8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本项目生活垃圾</w:t>
                  </w:r>
                  <w:r>
                    <w:rPr>
                      <w:rFonts w:hint="default" w:ascii="Times New Roman" w:hAnsi="Times New Roman" w:eastAsia="仿宋_GB2312" w:cs="Times New Roman"/>
                      <w:color w:val="auto"/>
                      <w:sz w:val="21"/>
                      <w:szCs w:val="21"/>
                      <w:lang w:val="zh-CN" w:eastAsia="zh-CN"/>
                    </w:rPr>
                    <w:t>交由环卫部门处理</w:t>
                  </w:r>
                  <w:r>
                    <w:rPr>
                      <w:rFonts w:hint="default" w:ascii="Times New Roman" w:hAnsi="Times New Roman" w:eastAsia="仿宋_GB2312" w:cs="Times New Roman"/>
                      <w:color w:val="auto"/>
                      <w:sz w:val="21"/>
                      <w:szCs w:val="21"/>
                      <w:lang w:val="en-US" w:eastAsia="zh-CN"/>
                    </w:rPr>
                    <w:t>；油罐清理残液由专业清理单位直接带走，交由有资质的单位处理处置</w:t>
                  </w:r>
                  <w:r>
                    <w:rPr>
                      <w:rFonts w:hint="eastAsia" w:eastAsia="仿宋_GB2312" w:cs="Times New Roman"/>
                      <w:color w:val="auto"/>
                      <w:sz w:val="21"/>
                      <w:szCs w:val="21"/>
                      <w:lang w:val="en-US" w:eastAsia="zh-CN"/>
                    </w:rPr>
                    <w:t>；含有污泥由运维单位清掏后集中收集，定期交有资质单位处置</w:t>
                  </w:r>
                  <w:r>
                    <w:rPr>
                      <w:rFonts w:hint="default" w:ascii="Times New Roman" w:hAnsi="Times New Roman" w:eastAsia="仿宋_GB2312" w:cs="Times New Roman"/>
                      <w:color w:val="auto"/>
                      <w:sz w:val="21"/>
                      <w:szCs w:val="21"/>
                      <w:lang w:val="en-US" w:eastAsia="zh-CN"/>
                    </w:rPr>
                    <w:t>。</w:t>
                  </w:r>
                </w:p>
              </w:tc>
            </w:tr>
            <w:tr w14:paraId="05E537A7">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continue"/>
                  <w:tcBorders>
                    <w:tl2br w:val="nil"/>
                    <w:tr2bl w:val="nil"/>
                  </w:tcBorders>
                  <w:noWrap w:val="0"/>
                  <w:vAlign w:val="center"/>
                </w:tcPr>
                <w:p w14:paraId="4D559EF4">
                  <w:pPr>
                    <w:widowControl/>
                    <w:jc w:val="both"/>
                    <w:rPr>
                      <w:rFonts w:hint="default" w:ascii="Times New Roman" w:hAnsi="Times New Roman" w:eastAsia="仿宋_GB2312" w:cs="Times New Roman"/>
                      <w:color w:val="auto"/>
                      <w:sz w:val="21"/>
                      <w:szCs w:val="21"/>
                      <w:lang w:val="en-US" w:eastAsia="zh-CN"/>
                    </w:rPr>
                  </w:pPr>
                </w:p>
              </w:tc>
              <w:tc>
                <w:tcPr>
                  <w:tcW w:w="2431" w:type="pct"/>
                  <w:tcBorders>
                    <w:tl2br w:val="nil"/>
                    <w:tr2bl w:val="nil"/>
                  </w:tcBorders>
                  <w:noWrap w:val="0"/>
                  <w:vAlign w:val="center"/>
                </w:tcPr>
                <w:p w14:paraId="05D9B8D2">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四（二）全面落实节能减排制度。落实污染物排放总量控制制度，将“十四五”四项主要污染物减排任务分解下达至各县区、管委会，开展全市主要污染物摸底排查，测算污染物排放总量，谋划减排项目，解决全市项目建设污染物排放总量需求；加强总量减排与排污许可、环境影响评价审批等制度衔接，提升总量减排核算信息化水平。</w:t>
                  </w:r>
                </w:p>
              </w:tc>
              <w:tc>
                <w:tcPr>
                  <w:tcW w:w="1736" w:type="pct"/>
                  <w:tcBorders>
                    <w:tl2br w:val="nil"/>
                    <w:tr2bl w:val="nil"/>
                  </w:tcBorders>
                  <w:noWrap w:val="0"/>
                  <w:vAlign w:val="center"/>
                </w:tcPr>
                <w:p w14:paraId="0E64F1D8">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本项目已落实总量控制制度，达到污染物总量控制要求。</w:t>
                  </w:r>
                </w:p>
              </w:tc>
            </w:tr>
            <w:tr w14:paraId="32C286B9">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continue"/>
                  <w:tcBorders>
                    <w:tl2br w:val="nil"/>
                    <w:tr2bl w:val="nil"/>
                  </w:tcBorders>
                  <w:noWrap w:val="0"/>
                  <w:vAlign w:val="center"/>
                </w:tcPr>
                <w:p w14:paraId="65CB073E">
                  <w:pPr>
                    <w:widowControl/>
                    <w:jc w:val="center"/>
                    <w:rPr>
                      <w:rFonts w:hint="default" w:ascii="Times New Roman" w:hAnsi="Times New Roman" w:eastAsia="仿宋_GB2312" w:cs="Times New Roman"/>
                      <w:i w:val="0"/>
                      <w:iCs w:val="0"/>
                      <w:caps w:val="0"/>
                      <w:color w:val="auto"/>
                      <w:spacing w:val="6"/>
                      <w:sz w:val="21"/>
                      <w:szCs w:val="21"/>
                      <w:shd w:val="clear" w:color="auto" w:fill="FFFFFF"/>
                      <w:lang w:eastAsia="zh-CN"/>
                    </w:rPr>
                  </w:pPr>
                </w:p>
              </w:tc>
              <w:tc>
                <w:tcPr>
                  <w:tcW w:w="2431" w:type="pct"/>
                  <w:tcBorders>
                    <w:tl2br w:val="nil"/>
                    <w:tr2bl w:val="nil"/>
                  </w:tcBorders>
                  <w:noWrap w:val="0"/>
                  <w:vAlign w:val="center"/>
                </w:tcPr>
                <w:p w14:paraId="1494FC7B">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四（三）坚决遏制“两高”项目盲目发展。加强“两高”项目分类处置，坚决查处不符合要求的“两高”项目。对拟建项目，强化源头管控，严格进行必要性、可行性论证，产品能效必须对标国际先进水平，必须按要求落实能耗置换、煤炭消费减量替代和污染物减排区域削减；对在建项目，对能效水平低于行业能耗限额准入值的，按规定停工整改，开展强制性清洁生产审核，推动能效水平应提尽提，力争达到先进水平。</w:t>
                  </w:r>
                </w:p>
              </w:tc>
              <w:tc>
                <w:tcPr>
                  <w:tcW w:w="1736" w:type="pct"/>
                  <w:tcBorders>
                    <w:tl2br w:val="nil"/>
                    <w:tr2bl w:val="nil"/>
                  </w:tcBorders>
                  <w:noWrap w:val="0"/>
                  <w:vAlign w:val="center"/>
                </w:tcPr>
                <w:p w14:paraId="5C73F7B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本项目不属于“两高”项目。</w:t>
                  </w:r>
                </w:p>
              </w:tc>
            </w:tr>
            <w:tr w14:paraId="5000CF7F">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restart"/>
                  <w:tcBorders>
                    <w:tl2br w:val="nil"/>
                    <w:tr2bl w:val="nil"/>
                  </w:tcBorders>
                  <w:noWrap w:val="0"/>
                  <w:vAlign w:val="center"/>
                </w:tcPr>
                <w:p w14:paraId="3BFE6244">
                  <w:pPr>
                    <w:widowControl/>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《重点行业挥发性有机物综合治理方案》环大气[2019]53号</w:t>
                  </w:r>
                </w:p>
              </w:tc>
              <w:tc>
                <w:tcPr>
                  <w:tcW w:w="2431" w:type="pct"/>
                  <w:tcBorders>
                    <w:tl2br w:val="nil"/>
                    <w:tr2bl w:val="nil"/>
                  </w:tcBorders>
                  <w:noWrap w:val="0"/>
                  <w:vAlign w:val="center"/>
                </w:tcPr>
                <w:p w14:paraId="281A075A">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全面加强无组织排放控制。重点对含VOCs物料（包括含VOCs原辅材料、含VOCs产品、含VOCs废料以及有机聚合物材料等）储存、转移和输送、设备与管线组件泄漏、敞开液面逸散以及工艺过程等五类排放源实施管控，通过采取设备与场所密闭、工艺改进、废气有效收集等措施，削减VOCs无组织排放。</w:t>
                  </w:r>
                </w:p>
              </w:tc>
              <w:tc>
                <w:tcPr>
                  <w:tcW w:w="1736" w:type="pct"/>
                  <w:tcBorders>
                    <w:tl2br w:val="nil"/>
                    <w:tr2bl w:val="nil"/>
                  </w:tcBorders>
                  <w:noWrap w:val="0"/>
                  <w:vAlign w:val="center"/>
                </w:tcPr>
                <w:p w14:paraId="4463767E">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本项目废气经油气回收装置回收于槽车或者储罐内，且管道均密闭、无泄漏，可最大程度削减VOCs无组织排放。</w:t>
                  </w:r>
                </w:p>
              </w:tc>
            </w:tr>
            <w:tr w14:paraId="4B403D1C">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continue"/>
                  <w:tcBorders>
                    <w:tl2br w:val="nil"/>
                    <w:tr2bl w:val="nil"/>
                  </w:tcBorders>
                  <w:noWrap w:val="0"/>
                  <w:vAlign w:val="center"/>
                </w:tcPr>
                <w:p w14:paraId="5E314334">
                  <w:pPr>
                    <w:widowControl/>
                    <w:jc w:val="center"/>
                    <w:rPr>
                      <w:rFonts w:hint="default" w:ascii="Times New Roman" w:hAnsi="Times New Roman" w:eastAsia="仿宋_GB2312" w:cs="Times New Roman"/>
                      <w:color w:val="auto"/>
                      <w:sz w:val="21"/>
                      <w:szCs w:val="21"/>
                      <w:lang w:val="en-US" w:eastAsia="zh-CN"/>
                    </w:rPr>
                  </w:pPr>
                </w:p>
              </w:tc>
              <w:tc>
                <w:tcPr>
                  <w:tcW w:w="2431" w:type="pct"/>
                  <w:tcBorders>
                    <w:tl2br w:val="nil"/>
                    <w:tr2bl w:val="nil"/>
                  </w:tcBorders>
                  <w:noWrap w:val="0"/>
                  <w:vAlign w:val="center"/>
                </w:tcPr>
                <w:p w14:paraId="66196CC6">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油品储运销VOCs综合治理。加大汽油（含乙醇汽油）、石脑油、煤油（含航空煤油）以及原油等VOCs排放控制，重点推进加油站、油罐车、储油库油气回收治理。重点区域还应推进油船油气回收治理工作。</w:t>
                  </w:r>
                </w:p>
                <w:p w14:paraId="134E1883">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深化加油站油气回收工作。埋地油罐全面采用电子液位仪进行汽油密闭测量。规范油气回收设施运行，自行或聘请第三方加强加油枪气液比、系统密闭性及管线液阻等检查，提高检测频次，重点区域原则上每半年开展一次，确保油气回收系统正常运行。</w:t>
                  </w:r>
                </w:p>
              </w:tc>
              <w:tc>
                <w:tcPr>
                  <w:tcW w:w="1736" w:type="pct"/>
                  <w:tcBorders>
                    <w:tl2br w:val="nil"/>
                    <w:tr2bl w:val="nil"/>
                  </w:tcBorders>
                  <w:noWrap w:val="0"/>
                  <w:vAlign w:val="center"/>
                </w:tcPr>
                <w:p w14:paraId="43DED2D1">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本项目是加油</w:t>
                  </w:r>
                  <w:r>
                    <w:rPr>
                      <w:rFonts w:hint="eastAsia" w:eastAsia="仿宋_GB2312" w:cs="Times New Roman"/>
                      <w:color w:val="auto"/>
                      <w:sz w:val="21"/>
                      <w:szCs w:val="21"/>
                      <w:lang w:val="en-US" w:eastAsia="zh-CN"/>
                    </w:rPr>
                    <w:t>加气</w:t>
                  </w:r>
                  <w:r>
                    <w:rPr>
                      <w:rFonts w:hint="default" w:ascii="Times New Roman" w:hAnsi="Times New Roman" w:eastAsia="仿宋_GB2312" w:cs="Times New Roman"/>
                      <w:color w:val="auto"/>
                      <w:sz w:val="21"/>
                      <w:szCs w:val="21"/>
                      <w:lang w:val="en-US" w:eastAsia="zh-CN"/>
                    </w:rPr>
                    <w:t>站，属于油品储运销行业，项目废气经油气回收装置回收于槽车或者储罐内。</w:t>
                  </w:r>
                </w:p>
                <w:p w14:paraId="486695D0">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规范环境管理，严格执行环境监测计划，保障油气回收系统正常运行。</w:t>
                  </w:r>
                </w:p>
              </w:tc>
            </w:tr>
            <w:tr w14:paraId="1BF4D1D6">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restart"/>
                  <w:tcBorders>
                    <w:tl2br w:val="nil"/>
                    <w:tr2bl w:val="nil"/>
                  </w:tcBorders>
                  <w:noWrap w:val="0"/>
                  <w:vAlign w:val="center"/>
                </w:tcPr>
                <w:p w14:paraId="71E7DAE5">
                  <w:pPr>
                    <w:widowControl/>
                    <w:jc w:val="center"/>
                    <w:rPr>
                      <w:rFonts w:hint="default" w:ascii="Times New Roman" w:hAnsi="Times New Roman" w:eastAsia="仿宋_GB2312" w:cs="Times New Roman"/>
                      <w:i w:val="0"/>
                      <w:iCs w:val="0"/>
                      <w:caps w:val="0"/>
                      <w:color w:val="auto"/>
                      <w:spacing w:val="6"/>
                      <w:sz w:val="21"/>
                      <w:szCs w:val="21"/>
                      <w:shd w:val="clear" w:color="auto" w:fill="FFFFFF"/>
                      <w:lang w:eastAsia="zh-CN"/>
                    </w:rPr>
                  </w:pPr>
                  <w:r>
                    <w:rPr>
                      <w:rFonts w:hint="default" w:ascii="Times New Roman" w:hAnsi="Times New Roman" w:eastAsia="仿宋_GB2312" w:cs="Times New Roman"/>
                      <w:color w:val="auto"/>
                      <w:sz w:val="21"/>
                      <w:szCs w:val="21"/>
                      <w:lang w:val="en-US" w:eastAsia="zh-CN"/>
                    </w:rPr>
                    <w:t>《挥发性有机物无组织排放控制标准》（GB 37822-2019）</w:t>
                  </w:r>
                </w:p>
              </w:tc>
              <w:tc>
                <w:tcPr>
                  <w:tcW w:w="2431" w:type="pct"/>
                  <w:tcBorders>
                    <w:tl2br w:val="nil"/>
                    <w:tr2bl w:val="nil"/>
                  </w:tcBorders>
                  <w:noWrap w:val="0"/>
                  <w:vAlign w:val="center"/>
                </w:tcPr>
                <w:p w14:paraId="7D6C4420">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废气收集系统要求：企业应考虑生产工艺、操作方式、废气性质、处理方法等因素，对VOCs废气进行分类收集。废气收集系统的输送管道应密闭。废气收集系统应在负压下运行，若处于正压状态，应对输送管道组件的密封点进行泄漏检测，泄漏检测值不应超过500umol/mol，亦不应有感官可察觉泄漏。</w:t>
                  </w:r>
                </w:p>
              </w:tc>
              <w:tc>
                <w:tcPr>
                  <w:tcW w:w="1736" w:type="pct"/>
                  <w:tcBorders>
                    <w:tl2br w:val="nil"/>
                    <w:tr2bl w:val="nil"/>
                  </w:tcBorders>
                  <w:noWrap w:val="0"/>
                  <w:vAlign w:val="center"/>
                </w:tcPr>
                <w:p w14:paraId="3714B5EB">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本项目废气经油气回收装置回收于槽车或者储罐内，且管道均密闭、无泄漏。</w:t>
                  </w:r>
                </w:p>
              </w:tc>
            </w:tr>
            <w:tr w14:paraId="4B1DEC60">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vMerge w:val="continue"/>
                  <w:tcBorders>
                    <w:tl2br w:val="nil"/>
                    <w:tr2bl w:val="nil"/>
                  </w:tcBorders>
                  <w:noWrap w:val="0"/>
                  <w:vAlign w:val="center"/>
                </w:tcPr>
                <w:p w14:paraId="6902BD34">
                  <w:pPr>
                    <w:widowControl/>
                    <w:jc w:val="center"/>
                    <w:rPr>
                      <w:rFonts w:hint="default" w:ascii="Times New Roman" w:hAnsi="Times New Roman" w:eastAsia="仿宋_GB2312" w:cs="Times New Roman"/>
                      <w:color w:val="auto"/>
                      <w:sz w:val="21"/>
                      <w:szCs w:val="21"/>
                      <w:lang w:val="en-US" w:eastAsia="zh-CN"/>
                    </w:rPr>
                  </w:pPr>
                </w:p>
              </w:tc>
              <w:tc>
                <w:tcPr>
                  <w:tcW w:w="2431" w:type="pct"/>
                  <w:tcBorders>
                    <w:tl2br w:val="nil"/>
                    <w:tr2bl w:val="nil"/>
                  </w:tcBorders>
                  <w:noWrap w:val="0"/>
                  <w:vAlign w:val="center"/>
                </w:tcPr>
                <w:p w14:paraId="0D3792FC">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VOCs排放控制要求：收集的废气中NMHC初始排放速率≥3kg/h时，应配置VOCs处理设施，处理效率不应低于80%；对于重点地区，收集的废气中NMHC初始排放速率≥2kg/h时，应配置VOCs处理设施，处理效率不低于80%；采用的原辅材料符合国家有关低VOCs含量产品规定的除外。</w:t>
                  </w:r>
                </w:p>
              </w:tc>
              <w:tc>
                <w:tcPr>
                  <w:tcW w:w="1736" w:type="pct"/>
                  <w:tcBorders>
                    <w:tl2br w:val="nil"/>
                    <w:tr2bl w:val="nil"/>
                  </w:tcBorders>
                  <w:noWrap w:val="0"/>
                  <w:vAlign w:val="center"/>
                </w:tcPr>
                <w:p w14:paraId="6CED5644">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highlight w:val="none"/>
                      <w:lang w:val="en-US" w:eastAsia="zh-CN"/>
                    </w:rPr>
                    <w:t>本项目VOCs产生量为</w:t>
                  </w:r>
                  <w:r>
                    <w:rPr>
                      <w:rFonts w:hint="eastAsia" w:eastAsia="仿宋_GB2312" w:cs="Times New Roman"/>
                      <w:color w:val="auto"/>
                      <w:sz w:val="21"/>
                      <w:szCs w:val="21"/>
                      <w:highlight w:val="none"/>
                      <w:lang w:val="en-US" w:eastAsia="zh-CN"/>
                    </w:rPr>
                    <w:t>1.0263</w:t>
                  </w:r>
                  <w:r>
                    <w:rPr>
                      <w:rFonts w:hint="default" w:ascii="Times New Roman" w:hAnsi="Times New Roman" w:eastAsia="仿宋_GB2312" w:cs="Times New Roman"/>
                      <w:color w:val="auto"/>
                      <w:sz w:val="21"/>
                      <w:szCs w:val="21"/>
                      <w:highlight w:val="none"/>
                      <w:lang w:val="en-US" w:eastAsia="zh-CN"/>
                    </w:rPr>
                    <w:t>t/a（0.1</w:t>
                  </w:r>
                  <w:r>
                    <w:rPr>
                      <w:rFonts w:hint="eastAsia" w:eastAsia="仿宋_GB2312" w:cs="Times New Roman"/>
                      <w:color w:val="auto"/>
                      <w:sz w:val="21"/>
                      <w:szCs w:val="21"/>
                      <w:highlight w:val="none"/>
                      <w:lang w:val="en-US" w:eastAsia="zh-CN"/>
                    </w:rPr>
                    <w:t>1</w:t>
                  </w:r>
                  <w:r>
                    <w:rPr>
                      <w:rFonts w:hint="default" w:ascii="Times New Roman" w:hAnsi="Times New Roman" w:eastAsia="仿宋_GB2312" w:cs="Times New Roman"/>
                      <w:color w:val="auto"/>
                      <w:sz w:val="21"/>
                      <w:szCs w:val="21"/>
                      <w:highlight w:val="none"/>
                      <w:lang w:val="en-US" w:eastAsia="zh-CN"/>
                    </w:rPr>
                    <w:t>7kg/h），排放量小于2kg/h</w:t>
                  </w:r>
                  <w:r>
                    <w:rPr>
                      <w:rFonts w:hint="default" w:ascii="Times New Roman" w:hAnsi="Times New Roman" w:eastAsia="仿宋_GB2312" w:cs="Times New Roman"/>
                      <w:color w:val="auto"/>
                      <w:sz w:val="21"/>
                      <w:szCs w:val="21"/>
                      <w:lang w:val="en-US" w:eastAsia="zh-CN"/>
                    </w:rPr>
                    <w:t>。</w:t>
                  </w:r>
                </w:p>
              </w:tc>
            </w:tr>
            <w:tr w14:paraId="53BA9641">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tcBorders>
                    <w:tl2br w:val="nil"/>
                    <w:tr2bl w:val="nil"/>
                  </w:tcBorders>
                  <w:noWrap w:val="0"/>
                  <w:vAlign w:val="center"/>
                </w:tcPr>
                <w:p w14:paraId="42DBF093">
                  <w:pPr>
                    <w:widowControl/>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《关于加快解决当前挥发性有机物治理突出问题的通知》环大气[2021]65号</w:t>
                  </w:r>
                </w:p>
              </w:tc>
              <w:tc>
                <w:tcPr>
                  <w:tcW w:w="2431" w:type="pct"/>
                  <w:tcBorders>
                    <w:tl2br w:val="nil"/>
                    <w:tr2bl w:val="nil"/>
                  </w:tcBorders>
                  <w:noWrap w:val="0"/>
                  <w:vAlign w:val="center"/>
                </w:tcPr>
                <w:p w14:paraId="595F5E9D">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各地要以石油炼制、石油化工、合成树脂等石化行业，有机化工、煤化工、焦化（含兰炭）、制药、农药、涂料、油墨、胶粘剂等化工行业，涉及工业涂装的汽车、家具、零部件、钢结构、彩涂板等行业，包装印刷行业以及油品储运销为重点，并结合本地特色产业，组织企业针对挥发性有机液体储罐、装卸、敞开液面、泄漏检测与修复（LDAR）、废气收集、废气旁路、治理设施、加油站、非正常工况、产品VOCs含量等10个关键环节，认真对照大气污染防治法、排污许可证、相关排放标准和产品VOCs含量限值标准等开展排查整治。</w:t>
                  </w:r>
                </w:p>
              </w:tc>
              <w:tc>
                <w:tcPr>
                  <w:tcW w:w="1736" w:type="pct"/>
                  <w:tcBorders>
                    <w:tl2br w:val="nil"/>
                    <w:tr2bl w:val="nil"/>
                  </w:tcBorders>
                  <w:noWrap w:val="0"/>
                  <w:vAlign w:val="center"/>
                </w:tcPr>
                <w:p w14:paraId="0F45002F">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本项目是加油</w:t>
                  </w:r>
                  <w:r>
                    <w:rPr>
                      <w:rFonts w:hint="eastAsia" w:eastAsia="仿宋_GB2312" w:cs="Times New Roman"/>
                      <w:color w:val="auto"/>
                      <w:sz w:val="21"/>
                      <w:szCs w:val="21"/>
                      <w:lang w:val="en-US" w:eastAsia="zh-CN"/>
                    </w:rPr>
                    <w:t>加气</w:t>
                  </w:r>
                  <w:r>
                    <w:rPr>
                      <w:rFonts w:hint="default" w:ascii="Times New Roman" w:hAnsi="Times New Roman" w:eastAsia="仿宋_GB2312" w:cs="Times New Roman"/>
                      <w:color w:val="auto"/>
                      <w:sz w:val="21"/>
                      <w:szCs w:val="21"/>
                      <w:lang w:val="en-US" w:eastAsia="zh-CN"/>
                    </w:rPr>
                    <w:t>站，属于油品储运销行业，项目废气经油气回收装置回收于槽车或者储罐内，且管道均密闭、无泄漏。</w:t>
                  </w:r>
                </w:p>
                <w:p w14:paraId="79908656">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加强环境管理，按照环境监测计划开展泄漏检测。</w:t>
                  </w:r>
                </w:p>
              </w:tc>
            </w:tr>
            <w:tr w14:paraId="3FD073F0">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tcBorders>
                    <w:tl2br w:val="nil"/>
                    <w:tr2bl w:val="nil"/>
                  </w:tcBorders>
                  <w:noWrap w:val="0"/>
                  <w:vAlign w:val="center"/>
                </w:tcPr>
                <w:p w14:paraId="4E8E30D1">
                  <w:pPr>
                    <w:widowControl/>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《安徽省大气办关于深入开展挥发性有机物污染治理工作的通知》皖大气办[2021]4号</w:t>
                  </w:r>
                </w:p>
              </w:tc>
              <w:tc>
                <w:tcPr>
                  <w:tcW w:w="2431" w:type="pct"/>
                  <w:tcBorders>
                    <w:tl2br w:val="nil"/>
                    <w:tr2bl w:val="nil"/>
                  </w:tcBorders>
                  <w:noWrap w:val="0"/>
                  <w:vAlign w:val="center"/>
                </w:tcPr>
                <w:p w14:paraId="69BEF6C8">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制定“一企一案”。借鉴上海市等先发地区重点行业VOCs综合治理企业“一厂一方案”编制经验，各地分行业分级指导企业编制优化“一企一案”，明确企业VOCs综合治理任务时间节点和工作目标。重点梳理石化、化工、工业涂装、包装印刷、油品储运销等重点领域重点行业，VOCs年排放量超过1吨的企业，督促9月30日前完成方案编制完善工作。243家涉VOCs省级重点企业（含省重点排污单位名录企业）及年排放量超过10吨的企业，8月31日前对方案进行评估完善，及时核实治理效果，并报至省大气办备案。</w:t>
                  </w:r>
                </w:p>
              </w:tc>
              <w:tc>
                <w:tcPr>
                  <w:tcW w:w="1736" w:type="pct"/>
                  <w:tcBorders>
                    <w:tl2br w:val="nil"/>
                    <w:tr2bl w:val="nil"/>
                  </w:tcBorders>
                  <w:noWrap w:val="0"/>
                  <w:vAlign w:val="center"/>
                </w:tcPr>
                <w:p w14:paraId="131DFCC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本项目是加油</w:t>
                  </w:r>
                  <w:r>
                    <w:rPr>
                      <w:rFonts w:hint="eastAsia" w:eastAsia="仿宋_GB2312" w:cs="Times New Roman"/>
                      <w:color w:val="auto"/>
                      <w:sz w:val="21"/>
                      <w:szCs w:val="21"/>
                      <w:lang w:val="en-US" w:eastAsia="zh-CN"/>
                    </w:rPr>
                    <w:t>加气</w:t>
                  </w:r>
                  <w:r>
                    <w:rPr>
                      <w:rFonts w:hint="default" w:ascii="Times New Roman" w:hAnsi="Times New Roman" w:eastAsia="仿宋_GB2312" w:cs="Times New Roman"/>
                      <w:color w:val="auto"/>
                      <w:sz w:val="21"/>
                      <w:szCs w:val="21"/>
                      <w:lang w:val="en-US" w:eastAsia="zh-CN"/>
                    </w:rPr>
                    <w:t>站，属于油品储运销行业，项目废气经油气回收装置回收于槽车或者储罐内，且管道均密闭、无泄漏。</w:t>
                  </w:r>
                </w:p>
                <w:p w14:paraId="32F91FA8">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加强环境管理，按照环境监测计划开展泄漏检测。</w:t>
                  </w:r>
                </w:p>
              </w:tc>
            </w:tr>
            <w:tr w14:paraId="79A3B565">
              <w:tblPrEx>
                <w:tblBorders>
                  <w:top w:val="single" w:color="000000" w:sz="8" w:space="0"/>
                  <w:left w:val="none" w:color="auto" w:sz="0" w:space="0"/>
                  <w:bottom w:val="single" w:color="000000" w:sz="8" w:space="0"/>
                  <w:right w:val="none" w:color="auto" w:sz="0" w:space="0"/>
                  <w:insideH w:val="single" w:color="000000" w:sz="4" w:space="0"/>
                  <w:insideV w:val="single" w:color="000000" w:sz="4" w:space="0"/>
                </w:tblBorders>
                <w:tblCellMar>
                  <w:top w:w="28" w:type="dxa"/>
                  <w:left w:w="0" w:type="dxa"/>
                  <w:bottom w:w="28" w:type="dxa"/>
                  <w:right w:w="0" w:type="dxa"/>
                </w:tblCellMar>
              </w:tblPrEx>
              <w:trPr>
                <w:trHeight w:val="340" w:hRule="atLeast"/>
                <w:jc w:val="center"/>
              </w:trPr>
              <w:tc>
                <w:tcPr>
                  <w:tcW w:w="832" w:type="pct"/>
                  <w:tcBorders>
                    <w:tl2br w:val="nil"/>
                    <w:tr2bl w:val="nil"/>
                  </w:tcBorders>
                  <w:noWrap w:val="0"/>
                  <w:vAlign w:val="center"/>
                </w:tcPr>
                <w:p w14:paraId="2F6DEFC8">
                  <w:pPr>
                    <w:widowControl/>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《加油站地下水污染防治技术指南（试行）》环办水体函[2017]323号</w:t>
                  </w:r>
                </w:p>
              </w:tc>
              <w:tc>
                <w:tcPr>
                  <w:tcW w:w="2431" w:type="pct"/>
                  <w:tcBorders>
                    <w:tl2br w:val="nil"/>
                    <w:tr2bl w:val="nil"/>
                  </w:tcBorders>
                  <w:noWrap w:val="0"/>
                  <w:vAlign w:val="center"/>
                </w:tcPr>
                <w:p w14:paraId="32B5EE67">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为防止加油站油品泄漏，污染土壤和地下水，加油站需要采取防渗漏和防渗漏检测措施。所有加油站的油罐需要更新为双层罐或设置防渗池，双层罐和防渗池应符合《汽车加油加气站设计与施工规范》（GB 50156）的要求，设置时可进行自行检查</w:t>
                  </w:r>
                  <w:r>
                    <w:rPr>
                      <w:rFonts w:hint="default" w:ascii="Times New Roman" w:hAnsi="Times New Roman" w:eastAsia="仿宋_GB2312" w:cs="Times New Roman"/>
                      <w:color w:val="auto"/>
                      <w:sz w:val="21"/>
                      <w:szCs w:val="21"/>
                      <w:u w:val="none"/>
                      <w:lang w:val="en-US" w:eastAsia="zh-CN"/>
                    </w:rPr>
                    <w:t>。加油站需要开展渗漏检测，设置常规地下水监测井，开展地下水常规监测。</w:t>
                  </w:r>
                </w:p>
              </w:tc>
              <w:tc>
                <w:tcPr>
                  <w:tcW w:w="1736" w:type="pct"/>
                  <w:tcBorders>
                    <w:tl2br w:val="nil"/>
                    <w:tr2bl w:val="nil"/>
                  </w:tcBorders>
                  <w:noWrap w:val="0"/>
                  <w:vAlign w:val="center"/>
                </w:tcPr>
                <w:p w14:paraId="241FEBBE">
                  <w:pPr>
                    <w:widowControl/>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本项目油罐采用双层埋地储罐，并按规范进行防腐防渗处理。储罐和输油管道均设置渗漏检测点和渗漏检测装置。项目通过“源头控制、分区防渗”措施切断污染源下渗途径，能有效防止地下水污染，</w:t>
                  </w:r>
                </w:p>
              </w:tc>
            </w:tr>
          </w:tbl>
          <w:p w14:paraId="4C3237EB">
            <w:pPr>
              <w:pStyle w:val="42"/>
              <w:keepNext w:val="0"/>
              <w:keepLines w:val="0"/>
              <w:pageBreakBefore w:val="0"/>
              <w:widowControl w:val="0"/>
              <w:kinsoku/>
              <w:wordWrap/>
              <w:overflowPunct/>
              <w:topLinePunct w:val="0"/>
              <w:autoSpaceDE/>
              <w:autoSpaceDN/>
              <w:bidi w:val="0"/>
              <w:adjustRightInd/>
              <w:snapToGrid/>
              <w:spacing w:before="157" w:beforeLines="50" w:line="360" w:lineRule="auto"/>
              <w:ind w:firstLine="480"/>
              <w:jc w:val="both"/>
              <w:textAlignment w:val="auto"/>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4、项目选址可行性分析</w:t>
            </w:r>
          </w:p>
          <w:p w14:paraId="2E057BA5">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（1）加油站等级</w:t>
            </w:r>
          </w:p>
          <w:p w14:paraId="31163276">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项目设30m</w:t>
            </w:r>
            <w:r>
              <w:rPr>
                <w:rFonts w:hint="default" w:ascii="Times New Roman" w:hAnsi="Times New Roman" w:eastAsia="仿宋_GB2312" w:cs="Times New Roman"/>
                <w:bCs/>
                <w:color w:val="auto"/>
                <w:sz w:val="24"/>
                <w:szCs w:val="24"/>
                <w:vertAlign w:val="superscript"/>
                <w:lang w:val="en-US" w:eastAsia="zh-CN"/>
              </w:rPr>
              <w:t>3</w:t>
            </w:r>
            <w:r>
              <w:rPr>
                <w:rFonts w:hint="default" w:ascii="Times New Roman" w:hAnsi="Times New Roman" w:eastAsia="仿宋_GB2312" w:cs="Times New Roman"/>
                <w:bCs/>
                <w:color w:val="auto"/>
                <w:sz w:val="24"/>
                <w:szCs w:val="24"/>
                <w:lang w:val="en-US" w:eastAsia="zh-CN"/>
              </w:rPr>
              <w:t>汽油储罐3个，50m</w:t>
            </w:r>
            <w:r>
              <w:rPr>
                <w:rFonts w:hint="default" w:ascii="Times New Roman" w:hAnsi="Times New Roman" w:eastAsia="仿宋_GB2312" w:cs="Times New Roman"/>
                <w:bCs/>
                <w:color w:val="auto"/>
                <w:sz w:val="24"/>
                <w:szCs w:val="24"/>
                <w:vertAlign w:val="superscript"/>
                <w:lang w:val="en-US" w:eastAsia="zh-CN"/>
              </w:rPr>
              <w:t>3</w:t>
            </w:r>
            <w:r>
              <w:rPr>
                <w:rFonts w:hint="default" w:ascii="Times New Roman" w:hAnsi="Times New Roman" w:eastAsia="仿宋_GB2312" w:cs="Times New Roman"/>
                <w:bCs/>
                <w:color w:val="auto"/>
                <w:sz w:val="24"/>
                <w:szCs w:val="24"/>
                <w:lang w:val="en-US" w:eastAsia="zh-CN"/>
              </w:rPr>
              <w:t>柴油储罐2个，均为埋地卧式双层罐，油品总容积为190m</w:t>
            </w:r>
            <w:r>
              <w:rPr>
                <w:rFonts w:hint="default" w:ascii="Times New Roman" w:hAnsi="Times New Roman" w:eastAsia="仿宋_GB2312" w:cs="Times New Roman"/>
                <w:bCs/>
                <w:color w:val="auto"/>
                <w:sz w:val="24"/>
                <w:szCs w:val="24"/>
                <w:vertAlign w:val="superscript"/>
                <w:lang w:val="en-US" w:eastAsia="zh-CN"/>
              </w:rPr>
              <w:t>3</w:t>
            </w:r>
            <w:r>
              <w:rPr>
                <w:rFonts w:hint="default" w:ascii="Times New Roman" w:hAnsi="Times New Roman" w:eastAsia="仿宋_GB2312" w:cs="Times New Roman"/>
                <w:bCs/>
                <w:color w:val="auto"/>
                <w:sz w:val="24"/>
                <w:szCs w:val="24"/>
                <w:vertAlign w:val="baseline"/>
                <w:lang w:val="en-US" w:eastAsia="zh-CN"/>
              </w:rPr>
              <w:t>，折合容积V</w:t>
            </w:r>
            <w:r>
              <w:rPr>
                <w:rFonts w:hint="default" w:ascii="Times New Roman" w:hAnsi="Times New Roman" w:eastAsia="仿宋_GB2312" w:cs="Times New Roman"/>
                <w:bCs/>
                <w:color w:val="auto"/>
                <w:sz w:val="24"/>
                <w:szCs w:val="24"/>
                <w:vertAlign w:val="subscript"/>
                <w:lang w:val="en-US" w:eastAsia="zh-CN"/>
              </w:rPr>
              <w:t>O</w:t>
            </w:r>
            <w:r>
              <w:rPr>
                <w:rFonts w:hint="default" w:ascii="Times New Roman" w:hAnsi="Times New Roman" w:eastAsia="仿宋_GB2312" w:cs="Times New Roman"/>
                <w:bCs/>
                <w:color w:val="auto"/>
                <w:sz w:val="24"/>
                <w:szCs w:val="24"/>
                <w:vertAlign w:val="baseline"/>
                <w:lang w:val="en-US" w:eastAsia="zh-CN"/>
              </w:rPr>
              <w:t>为140</w:t>
            </w:r>
            <w:r>
              <w:rPr>
                <w:rFonts w:hint="default" w:ascii="Times New Roman" w:hAnsi="Times New Roman" w:eastAsia="仿宋_GB2312" w:cs="Times New Roman"/>
                <w:bCs/>
                <w:color w:val="auto"/>
                <w:sz w:val="24"/>
                <w:szCs w:val="24"/>
                <w:lang w:val="en-US" w:eastAsia="zh-CN"/>
              </w:rPr>
              <w:t>m</w:t>
            </w:r>
            <w:r>
              <w:rPr>
                <w:rFonts w:hint="default" w:ascii="Times New Roman" w:hAnsi="Times New Roman" w:eastAsia="仿宋_GB2312" w:cs="Times New Roman"/>
                <w:bCs/>
                <w:color w:val="auto"/>
                <w:sz w:val="24"/>
                <w:szCs w:val="24"/>
                <w:vertAlign w:val="superscript"/>
                <w:lang w:val="en-US" w:eastAsia="zh-CN"/>
              </w:rPr>
              <w:t>3</w:t>
            </w:r>
            <w:r>
              <w:rPr>
                <w:rFonts w:hint="default" w:ascii="Times New Roman" w:hAnsi="Times New Roman" w:eastAsia="仿宋_GB2312" w:cs="Times New Roman"/>
                <w:bCs/>
                <w:color w:val="auto"/>
                <w:sz w:val="24"/>
                <w:szCs w:val="24"/>
                <w:vertAlign w:val="baseline"/>
                <w:lang w:val="en-US" w:eastAsia="zh-CN"/>
              </w:rPr>
              <w:t>；设60</w:t>
            </w:r>
            <w:r>
              <w:rPr>
                <w:rFonts w:hint="default" w:ascii="Times New Roman" w:hAnsi="Times New Roman" w:eastAsia="仿宋_GB2312" w:cs="Times New Roman"/>
                <w:bCs/>
                <w:color w:val="auto"/>
                <w:sz w:val="24"/>
                <w:szCs w:val="24"/>
                <w:lang w:val="en-US" w:eastAsia="zh-CN"/>
              </w:rPr>
              <w:t>m</w:t>
            </w:r>
            <w:r>
              <w:rPr>
                <w:rFonts w:hint="default" w:ascii="Times New Roman" w:hAnsi="Times New Roman" w:eastAsia="仿宋_GB2312" w:cs="Times New Roman"/>
                <w:bCs/>
                <w:color w:val="auto"/>
                <w:sz w:val="24"/>
                <w:szCs w:val="24"/>
                <w:vertAlign w:val="superscript"/>
                <w:lang w:val="en-US" w:eastAsia="zh-CN"/>
              </w:rPr>
              <w:t>3</w:t>
            </w:r>
            <w:r>
              <w:rPr>
                <w:rFonts w:hint="default" w:ascii="Times New Roman" w:hAnsi="Times New Roman" w:eastAsia="仿宋_GB2312" w:cs="Times New Roman"/>
                <w:bCs/>
                <w:color w:val="auto"/>
                <w:sz w:val="24"/>
                <w:szCs w:val="24"/>
                <w:vertAlign w:val="baseline"/>
                <w:lang w:val="en-US" w:eastAsia="zh-CN"/>
              </w:rPr>
              <w:t>LNG储罐1个</w:t>
            </w:r>
            <w:r>
              <w:rPr>
                <w:rFonts w:hint="default" w:ascii="Times New Roman" w:hAnsi="Times New Roman" w:eastAsia="仿宋_GB2312" w:cs="Times New Roman"/>
                <w:bCs/>
                <w:color w:val="auto"/>
                <w:sz w:val="24"/>
                <w:szCs w:val="24"/>
                <w:lang w:val="en-US" w:eastAsia="zh-CN"/>
              </w:rPr>
              <w:t>。参照</w:t>
            </w:r>
            <w:r>
              <w:rPr>
                <w:rFonts w:hint="default" w:ascii="Times New Roman" w:hAnsi="Times New Roman" w:eastAsia="仿宋_GB2312" w:cs="Times New Roman"/>
                <w:color w:val="auto"/>
                <w:sz w:val="24"/>
                <w:szCs w:val="24"/>
                <w:lang w:val="en-US" w:eastAsia="zh-CN"/>
              </w:rPr>
              <w:t>《汽车加油加气加氢站技术标准》（GB 50156-2021）关于加油站等级划分的规定，确定等级如下：</w:t>
            </w:r>
          </w:p>
          <w:p w14:paraId="7BD956C2">
            <w:pPr>
              <w:pStyle w:val="49"/>
              <w:adjustRightInd w:val="0"/>
              <w:spacing w:line="240" w:lineRule="auto"/>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w:t>表</w:t>
            </w:r>
            <w:r>
              <w:rPr>
                <w:rFonts w:hint="default" w:ascii="Times New Roman" w:hAnsi="Times New Roman" w:eastAsia="仿宋_GB2312" w:cs="Times New Roman"/>
                <w:color w:val="auto"/>
                <w:sz w:val="24"/>
                <w:szCs w:val="24"/>
                <w:lang w:val="en-US" w:eastAsia="zh-CN"/>
              </w:rPr>
              <w:t>1-5</w:t>
            </w:r>
            <w:r>
              <w:rPr>
                <w:rFonts w:hint="default" w:ascii="Times New Roman" w:hAnsi="Times New Roman" w:eastAsia="仿宋_GB2312" w:cs="Times New Roman"/>
                <w:color w:val="auto"/>
                <w:sz w:val="24"/>
                <w:szCs w:val="24"/>
              </w:rPr>
              <w:t xml:space="preserve"> </w:t>
            </w:r>
            <w:r>
              <w:rPr>
                <w:rFonts w:hint="default" w:ascii="Times New Roman" w:hAnsi="Times New Roman" w:eastAsia="仿宋_GB2312" w:cs="Times New Roman"/>
                <w:color w:val="auto"/>
                <w:sz w:val="24"/>
                <w:szCs w:val="24"/>
                <w:lang w:eastAsia="zh-CN"/>
              </w:rPr>
              <w:t>加油与</w:t>
            </w:r>
            <w:r>
              <w:rPr>
                <w:rFonts w:hint="default" w:ascii="Times New Roman" w:hAnsi="Times New Roman" w:eastAsia="仿宋_GB2312" w:cs="Times New Roman"/>
                <w:color w:val="auto"/>
                <w:sz w:val="24"/>
                <w:szCs w:val="24"/>
                <w:lang w:val="en-US" w:eastAsia="zh-CN"/>
              </w:rPr>
              <w:t>LNG加气合建站的等级划分</w:t>
            </w:r>
          </w:p>
          <w:tbl>
            <w:tblPr>
              <w:tblStyle w:val="20"/>
              <w:tblW w:w="808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9"/>
              <w:gridCol w:w="5499"/>
            </w:tblGrid>
            <w:tr w14:paraId="48C87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89" w:type="dxa"/>
                  <w:tcBorders>
                    <w:left w:val="nil"/>
                  </w:tcBorders>
                  <w:shd w:val="clear" w:color="auto" w:fill="auto"/>
                  <w:noWrap w:val="0"/>
                  <w:vAlign w:val="center"/>
                </w:tcPr>
                <w:p w14:paraId="0CC03FA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kern w:val="2"/>
                      <w:sz w:val="21"/>
                      <w:szCs w:val="21"/>
                      <w:highlight w:val="none"/>
                      <w:vertAlign w:val="baseline"/>
                      <w:lang w:val="en-US" w:eastAsia="zh-CN" w:bidi="ar-SA"/>
                    </w:rPr>
                  </w:pPr>
                  <w:r>
                    <w:rPr>
                      <w:rFonts w:hint="default" w:ascii="Times New Roman" w:hAnsi="Times New Roman" w:eastAsia="仿宋_GB2312" w:cs="Times New Roman"/>
                      <w:b/>
                      <w:bCs/>
                      <w:color w:val="auto"/>
                      <w:sz w:val="21"/>
                      <w:szCs w:val="21"/>
                      <w:highlight w:val="none"/>
                      <w:vertAlign w:val="baseline"/>
                      <w:lang w:val="en-US" w:eastAsia="zh-CN"/>
                    </w:rPr>
                    <w:t>合建站等级</w:t>
                  </w:r>
                </w:p>
              </w:tc>
              <w:tc>
                <w:tcPr>
                  <w:tcW w:w="5499" w:type="dxa"/>
                  <w:tcBorders>
                    <w:right w:val="nil"/>
                  </w:tcBorders>
                  <w:shd w:val="clear" w:color="auto" w:fill="auto"/>
                  <w:noWrap w:val="0"/>
                  <w:vAlign w:val="center"/>
                </w:tcPr>
                <w:p w14:paraId="557C1A7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kern w:val="2"/>
                      <w:sz w:val="21"/>
                      <w:szCs w:val="21"/>
                      <w:highlight w:val="none"/>
                      <w:vertAlign w:val="baseline"/>
                      <w:lang w:val="en-US" w:eastAsia="zh-CN" w:bidi="ar-SA"/>
                    </w:rPr>
                  </w:pPr>
                  <w:r>
                    <w:rPr>
                      <w:rFonts w:hint="default" w:ascii="Times New Roman" w:hAnsi="Times New Roman" w:eastAsia="仿宋_GB2312" w:cs="Times New Roman"/>
                      <w:b/>
                      <w:bCs/>
                      <w:color w:val="auto"/>
                      <w:sz w:val="21"/>
                      <w:szCs w:val="21"/>
                      <w:highlight w:val="none"/>
                      <w:vertAlign w:val="baseline"/>
                      <w:lang w:val="en-US" w:eastAsia="zh-CN"/>
                    </w:rPr>
                    <w:t>油罐与LNG储罐总容积计算公式</w:t>
                  </w:r>
                </w:p>
              </w:tc>
            </w:tr>
            <w:tr w14:paraId="1CD5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89" w:type="dxa"/>
                  <w:tcBorders>
                    <w:left w:val="nil"/>
                  </w:tcBorders>
                  <w:noWrap w:val="0"/>
                  <w:vAlign w:val="center"/>
                </w:tcPr>
                <w:p w14:paraId="5D2AA0D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一级</w:t>
                  </w:r>
                </w:p>
              </w:tc>
              <w:tc>
                <w:tcPr>
                  <w:tcW w:w="5499" w:type="dxa"/>
                  <w:tcBorders>
                    <w:right w:val="nil"/>
                  </w:tcBorders>
                  <w:noWrap w:val="0"/>
                  <w:vAlign w:val="center"/>
                </w:tcPr>
                <w:p w14:paraId="44DDAEA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position w:val="-12"/>
                      <w:sz w:val="21"/>
                      <w:szCs w:val="21"/>
                      <w:lang w:val="en-US" w:eastAsia="zh-CN"/>
                    </w:rPr>
                    <w:object>
                      <v:shape id="_x0000_i1025" o:spt="75" type="#_x0000_t75" style="height:18pt;width:118pt;" o:ole="t" filled="f" o:preferrelative="t" stroked="f" coordsize="21600,21600">
                        <v:path/>
                        <v:fill on="f" focussize="0,0"/>
                        <v:stroke on="f"/>
                        <v:imagedata r:id="rId13" o:title=""/>
                        <o:lock v:ext="edit" aspectratio="t"/>
                        <w10:wrap type="none"/>
                        <w10:anchorlock/>
                      </v:shape>
                      <o:OLEObject Type="Embed" ProgID="Equation.KSEE3" ShapeID="_x0000_i1025" DrawAspect="Content" ObjectID="_1468075725" r:id="rId12">
                        <o:LockedField>false</o:LockedField>
                      </o:OLEObject>
                    </w:object>
                  </w:r>
                </w:p>
              </w:tc>
            </w:tr>
            <w:tr w14:paraId="3B663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89" w:type="dxa"/>
                  <w:tcBorders>
                    <w:left w:val="nil"/>
                  </w:tcBorders>
                  <w:noWrap w:val="0"/>
                  <w:vAlign w:val="center"/>
                </w:tcPr>
                <w:p w14:paraId="037BA8B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二级</w:t>
                  </w:r>
                </w:p>
              </w:tc>
              <w:tc>
                <w:tcPr>
                  <w:tcW w:w="5499" w:type="dxa"/>
                  <w:tcBorders>
                    <w:right w:val="nil"/>
                  </w:tcBorders>
                  <w:noWrap w:val="0"/>
                  <w:vAlign w:val="center"/>
                </w:tcPr>
                <w:p w14:paraId="04E12A8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position w:val="-12"/>
                      <w:sz w:val="21"/>
                      <w:szCs w:val="21"/>
                      <w:lang w:val="en-US" w:eastAsia="zh-CN"/>
                    </w:rPr>
                    <w:object>
                      <v:shape id="_x0000_i1026" o:spt="75" type="#_x0000_t75" style="height:18pt;width:120pt;" o:ole="t" filled="f" o:preferrelative="t" stroked="f" coordsize="21600,21600">
                        <v:path/>
                        <v:fill on="f" focussize="0,0"/>
                        <v:stroke on="f"/>
                        <v:imagedata r:id="rId15" o:title=""/>
                        <o:lock v:ext="edit" aspectratio="t"/>
                        <w10:wrap type="none"/>
                        <w10:anchorlock/>
                      </v:shape>
                      <o:OLEObject Type="Embed" ProgID="Equation.KSEE3" ShapeID="_x0000_i1026" DrawAspect="Content" ObjectID="_1468075726" r:id="rId14">
                        <o:LockedField>false</o:LockedField>
                      </o:OLEObject>
                    </w:object>
                  </w:r>
                </w:p>
              </w:tc>
            </w:tr>
            <w:tr w14:paraId="0A5D8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89" w:type="dxa"/>
                  <w:tcBorders>
                    <w:left w:val="nil"/>
                  </w:tcBorders>
                  <w:noWrap w:val="0"/>
                  <w:vAlign w:val="center"/>
                </w:tcPr>
                <w:p w14:paraId="32109BF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三级</w:t>
                  </w:r>
                </w:p>
              </w:tc>
              <w:tc>
                <w:tcPr>
                  <w:tcW w:w="5499" w:type="dxa"/>
                  <w:tcBorders>
                    <w:right w:val="nil"/>
                  </w:tcBorders>
                  <w:noWrap w:val="0"/>
                  <w:vAlign w:val="center"/>
                </w:tcPr>
                <w:p w14:paraId="09BAE84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position w:val="-12"/>
                      <w:sz w:val="21"/>
                      <w:szCs w:val="21"/>
                      <w:lang w:val="en-US" w:eastAsia="zh-CN"/>
                    </w:rPr>
                    <w:object>
                      <v:shape id="_x0000_i1027" o:spt="75" type="#_x0000_t75" style="height:18pt;width:114pt;" o:ole="t" filled="f" o:preferrelative="t" stroked="f" coordsize="21600,21600">
                        <v:path/>
                        <v:fill on="f" focussize="0,0"/>
                        <v:stroke on="f"/>
                        <v:imagedata r:id="rId17" o:title=""/>
                        <o:lock v:ext="edit" aspectratio="t"/>
                        <w10:wrap type="none"/>
                        <w10:anchorlock/>
                      </v:shape>
                      <o:OLEObject Type="Embed" ProgID="Equation.KSEE3" ShapeID="_x0000_i1027" DrawAspect="Content" ObjectID="_1468075727" r:id="rId16">
                        <o:LockedField>false</o:LockedField>
                      </o:OLEObject>
                    </w:object>
                  </w:r>
                </w:p>
              </w:tc>
            </w:tr>
            <w:tr w14:paraId="60E9A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8" w:type="dxa"/>
                  <w:gridSpan w:val="2"/>
                  <w:noWrap w:val="0"/>
                  <w:vAlign w:val="center"/>
                </w:tcPr>
                <w:p w14:paraId="3F98C299">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注：1、V</w:t>
                  </w:r>
                  <w:r>
                    <w:rPr>
                      <w:rFonts w:hint="default" w:ascii="Times New Roman" w:hAnsi="Times New Roman" w:eastAsia="仿宋_GB2312" w:cs="Times New Roman"/>
                      <w:color w:val="auto"/>
                      <w:sz w:val="21"/>
                      <w:szCs w:val="21"/>
                      <w:highlight w:val="none"/>
                      <w:vertAlign w:val="subscript"/>
                      <w:lang w:val="en-US" w:eastAsia="zh-CN"/>
                    </w:rPr>
                    <w:t>O</w:t>
                  </w:r>
                  <w:r>
                    <w:rPr>
                      <w:rFonts w:hint="default" w:ascii="Times New Roman" w:hAnsi="Times New Roman" w:eastAsia="仿宋_GB2312" w:cs="Times New Roman"/>
                      <w:color w:val="auto"/>
                      <w:sz w:val="21"/>
                      <w:szCs w:val="21"/>
                      <w:highlight w:val="none"/>
                      <w:vertAlign w:val="baseline"/>
                      <w:lang w:val="en-US" w:eastAsia="zh-CN"/>
                    </w:rPr>
                    <w:t>为合建站中油品储罐总容积（m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）；V</w:t>
                  </w:r>
                  <w:r>
                    <w:rPr>
                      <w:rFonts w:hint="default" w:ascii="Times New Roman" w:hAnsi="Times New Roman" w:eastAsia="仿宋_GB2312" w:cs="Times New Roman"/>
                      <w:color w:val="auto"/>
                      <w:sz w:val="21"/>
                      <w:szCs w:val="21"/>
                      <w:highlight w:val="none"/>
                      <w:vertAlign w:val="subscript"/>
                      <w:lang w:val="en-US" w:eastAsia="zh-CN"/>
                    </w:rPr>
                    <w:t>LNG</w:t>
                  </w:r>
                  <w:r>
                    <w:rPr>
                      <w:rFonts w:hint="default" w:ascii="Times New Roman" w:hAnsi="Times New Roman" w:eastAsia="仿宋_GB2312" w:cs="Times New Roman"/>
                      <w:color w:val="auto"/>
                      <w:sz w:val="21"/>
                      <w:szCs w:val="21"/>
                      <w:highlight w:val="none"/>
                      <w:vertAlign w:val="baseline"/>
                      <w:lang w:val="en-US" w:eastAsia="zh-CN"/>
                    </w:rPr>
                    <w:t>为合建站中LNG储罐的总容积（m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p w14:paraId="2EBF7805">
                  <w:pPr>
                    <w:keepNext w:val="0"/>
                    <w:keepLines w:val="0"/>
                    <w:pageBreakBefore w:val="0"/>
                    <w:widowControl w:val="0"/>
                    <w:numPr>
                      <w:ilvl w:val="0"/>
                      <w:numId w:val="3"/>
                    </w:numPr>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柴油罐容积可折半计入油罐总容积。</w:t>
                  </w:r>
                </w:p>
                <w:p w14:paraId="037E5D4F">
                  <w:pPr>
                    <w:keepNext w:val="0"/>
                    <w:keepLines w:val="0"/>
                    <w:pageBreakBefore w:val="0"/>
                    <w:widowControl w:val="0"/>
                    <w:numPr>
                      <w:ilvl w:val="0"/>
                      <w:numId w:val="3"/>
                    </w:numPr>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当油罐总容积大于90m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时，油罐单罐容积不应大于50m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；当油罐总容积小于或等于90m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时，汽油罐单罐容积不应大于30m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，柴油罐单罐容积不应大于50m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p w14:paraId="0E30F8CD">
                  <w:pPr>
                    <w:keepNext w:val="0"/>
                    <w:keepLines w:val="0"/>
                    <w:pageBreakBefore w:val="0"/>
                    <w:widowControl w:val="0"/>
                    <w:numPr>
                      <w:ilvl w:val="0"/>
                      <w:numId w:val="3"/>
                    </w:numPr>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LNG储罐的单罐容积不应大于60m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tc>
            </w:tr>
          </w:tbl>
          <w:p w14:paraId="50BD11F4">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按一级计算公式可得：</w:t>
            </w:r>
            <w:r>
              <w:rPr>
                <w:rFonts w:hint="default" w:ascii="Times New Roman" w:hAnsi="Times New Roman" w:eastAsia="仿宋_GB2312" w:cs="Times New Roman"/>
                <w:color w:val="auto"/>
                <w:position w:val="-24"/>
                <w:sz w:val="24"/>
                <w:szCs w:val="24"/>
                <w:lang w:val="en-US" w:eastAsia="zh-CN"/>
              </w:rPr>
              <w:object>
                <v:shape id="_x0000_i1028" o:spt="75" type="#_x0000_t75" style="height:31pt;width:108pt;" o:ole="t" filled="f" o:preferrelative="t" stroked="f" coordsize="21600,21600">
                  <v:path/>
                  <v:fill on="f" focussize="0,0"/>
                  <v:stroke on="f"/>
                  <v:imagedata r:id="rId19" o:title=""/>
                  <o:lock v:ext="edit" aspectratio="t"/>
                  <w10:wrap type="none"/>
                  <w10:anchorlock/>
                </v:shape>
                <o:OLEObject Type="Embed" ProgID="Equation.KSEE3" ShapeID="_x0000_i1028" DrawAspect="Content" ObjectID="_1468075728" r:id="rId18">
                  <o:LockedField>false</o:LockedField>
                </o:OLEObject>
              </w:object>
            </w:r>
            <w:r>
              <w:rPr>
                <w:rFonts w:hint="default" w:ascii="Times New Roman" w:hAnsi="Times New Roman" w:eastAsia="仿宋_GB2312" w:cs="Times New Roman"/>
                <w:color w:val="auto"/>
                <w:sz w:val="24"/>
                <w:szCs w:val="24"/>
                <w:lang w:val="en-US" w:eastAsia="zh-CN"/>
              </w:rPr>
              <w:t>。</w:t>
            </w:r>
          </w:p>
          <w:p w14:paraId="67ED7C42">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lang w:val="en-US" w:eastAsia="zh-CN"/>
              </w:rPr>
              <w:t>综上所述，本项目属于一级加油加氢（LNG）合建站。</w:t>
            </w:r>
          </w:p>
          <w:p w14:paraId="15BEE72A">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（2）安全防护间距</w:t>
            </w:r>
          </w:p>
          <w:p w14:paraId="36797090">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bCs/>
                <w:color w:val="auto"/>
                <w:sz w:val="24"/>
                <w:szCs w:val="24"/>
                <w:lang w:val="en-US" w:eastAsia="zh-CN"/>
              </w:rPr>
              <w:t>依据</w:t>
            </w:r>
            <w:r>
              <w:rPr>
                <w:rFonts w:hint="default" w:ascii="Times New Roman" w:hAnsi="Times New Roman" w:eastAsia="仿宋_GB2312" w:cs="Times New Roman"/>
                <w:color w:val="auto"/>
                <w:sz w:val="24"/>
                <w:szCs w:val="24"/>
                <w:lang w:val="en-US" w:eastAsia="zh-CN"/>
              </w:rPr>
              <w:t>《汽车加油加气加氢站技术标准》（GB 50156-2021）关于加油加气站选址规定，确定站内工艺设备与站外建（构）筑物的安全距离，与设计数据的比对情况如下：</w:t>
            </w:r>
          </w:p>
          <w:p w14:paraId="163943EB">
            <w:pPr>
              <w:pStyle w:val="49"/>
              <w:adjustRightInd w:val="0"/>
              <w:spacing w:line="240" w:lineRule="auto"/>
              <w:jc w:val="center"/>
              <w:rPr>
                <w:rFonts w:hint="default" w:ascii="Times New Roman" w:hAnsi="Times New Roman" w:eastAsia="仿宋_GB2312" w:cs="Times New Roman"/>
                <w:color w:val="auto"/>
                <w:sz w:val="24"/>
                <w:szCs w:val="24"/>
              </w:rPr>
            </w:pPr>
          </w:p>
          <w:p w14:paraId="68359542">
            <w:pPr>
              <w:pStyle w:val="49"/>
              <w:adjustRightInd w:val="0"/>
              <w:spacing w:line="240" w:lineRule="auto"/>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w:t>表</w:t>
            </w:r>
            <w:r>
              <w:rPr>
                <w:rFonts w:hint="default" w:ascii="Times New Roman" w:hAnsi="Times New Roman" w:eastAsia="仿宋_GB2312" w:cs="Times New Roman"/>
                <w:color w:val="auto"/>
                <w:sz w:val="24"/>
                <w:szCs w:val="24"/>
                <w:lang w:val="en-US" w:eastAsia="zh-CN"/>
              </w:rPr>
              <w:t>1-6</w:t>
            </w:r>
            <w:r>
              <w:rPr>
                <w:rFonts w:hint="default" w:ascii="Times New Roman" w:hAnsi="Times New Roman" w:eastAsia="仿宋_GB2312" w:cs="Times New Roman"/>
                <w:color w:val="auto"/>
                <w:sz w:val="24"/>
                <w:szCs w:val="24"/>
              </w:rPr>
              <w:t xml:space="preserve"> </w:t>
            </w:r>
            <w:r>
              <w:rPr>
                <w:rFonts w:hint="default" w:ascii="Times New Roman" w:hAnsi="Times New Roman" w:eastAsia="仿宋_GB2312" w:cs="Times New Roman"/>
                <w:color w:val="auto"/>
                <w:sz w:val="24"/>
                <w:szCs w:val="24"/>
                <w:lang w:eastAsia="zh-CN"/>
              </w:rPr>
              <w:t>站内加油加气设备与站外建（构）筑物的安全距离（</w:t>
            </w:r>
            <w:r>
              <w:rPr>
                <w:rFonts w:hint="default" w:ascii="Times New Roman" w:hAnsi="Times New Roman" w:eastAsia="仿宋_GB2312" w:cs="Times New Roman"/>
                <w:color w:val="auto"/>
                <w:sz w:val="24"/>
                <w:szCs w:val="24"/>
                <w:lang w:val="en-US" w:eastAsia="zh-CN"/>
              </w:rPr>
              <w:t>m</w:t>
            </w:r>
            <w:r>
              <w:rPr>
                <w:rFonts w:hint="default" w:ascii="Times New Roman" w:hAnsi="Times New Roman" w:eastAsia="仿宋_GB2312" w:cs="Times New Roman"/>
                <w:color w:val="auto"/>
                <w:sz w:val="24"/>
                <w:szCs w:val="24"/>
                <w:lang w:eastAsia="zh-CN"/>
              </w:rPr>
              <w:t>）</w:t>
            </w:r>
          </w:p>
          <w:tbl>
            <w:tblPr>
              <w:tblStyle w:val="20"/>
              <w:tblW w:w="7928"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6"/>
              <w:gridCol w:w="770"/>
              <w:gridCol w:w="930"/>
              <w:gridCol w:w="1019"/>
              <w:gridCol w:w="1019"/>
              <w:gridCol w:w="1019"/>
              <w:gridCol w:w="1020"/>
              <w:gridCol w:w="888"/>
            </w:tblGrid>
            <w:tr w14:paraId="694AAFB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63" w:type="dxa"/>
                  <w:gridSpan w:val="4"/>
                  <w:vMerge w:val="restart"/>
                  <w:tcBorders>
                    <w:tl2br w:val="nil"/>
                    <w:tr2bl w:val="nil"/>
                  </w:tcBorders>
                  <w:noWrap w:val="0"/>
                  <w:vAlign w:val="center"/>
                </w:tcPr>
                <w:p w14:paraId="2DB1B2A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站外建（构）筑物</w:t>
                  </w:r>
                </w:p>
              </w:tc>
              <w:tc>
                <w:tcPr>
                  <w:tcW w:w="2038" w:type="dxa"/>
                  <w:gridSpan w:val="2"/>
                  <w:tcBorders>
                    <w:tl2br w:val="nil"/>
                    <w:tr2bl w:val="nil"/>
                  </w:tcBorders>
                  <w:noWrap w:val="0"/>
                  <w:vAlign w:val="center"/>
                </w:tcPr>
                <w:p w14:paraId="0DE2B2D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站内汽油（柴油）设备</w:t>
                  </w:r>
                </w:p>
              </w:tc>
              <w:tc>
                <w:tcPr>
                  <w:tcW w:w="2039" w:type="dxa"/>
                  <w:gridSpan w:val="2"/>
                  <w:tcBorders>
                    <w:tl2br w:val="nil"/>
                    <w:tr2bl w:val="nil"/>
                  </w:tcBorders>
                  <w:noWrap w:val="0"/>
                  <w:vAlign w:val="center"/>
                </w:tcPr>
                <w:p w14:paraId="19AF0EF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站内LNG设备</w:t>
                  </w:r>
                </w:p>
              </w:tc>
              <w:tc>
                <w:tcPr>
                  <w:tcW w:w="888" w:type="dxa"/>
                  <w:vMerge w:val="restart"/>
                  <w:tcBorders>
                    <w:tl2br w:val="nil"/>
                    <w:tr2bl w:val="nil"/>
                  </w:tcBorders>
                  <w:noWrap w:val="0"/>
                  <w:vAlign w:val="center"/>
                </w:tcPr>
                <w:p w14:paraId="26A1337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备注</w:t>
                  </w:r>
                </w:p>
              </w:tc>
            </w:tr>
            <w:tr w14:paraId="7F29FAD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963" w:type="dxa"/>
                  <w:gridSpan w:val="4"/>
                  <w:vMerge w:val="continue"/>
                  <w:tcBorders>
                    <w:tl2br w:val="nil"/>
                    <w:tr2bl w:val="nil"/>
                  </w:tcBorders>
                  <w:noWrap w:val="0"/>
                  <w:vAlign w:val="center"/>
                </w:tcPr>
                <w:p w14:paraId="75A6C9A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019" w:type="dxa"/>
                  <w:tcBorders>
                    <w:tl2br w:val="nil"/>
                    <w:tr2bl w:val="nil"/>
                  </w:tcBorders>
                  <w:noWrap w:val="0"/>
                  <w:vAlign w:val="center"/>
                </w:tcPr>
                <w:p w14:paraId="0D09904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一级埋地油罐</w:t>
                  </w:r>
                </w:p>
              </w:tc>
              <w:tc>
                <w:tcPr>
                  <w:tcW w:w="1019" w:type="dxa"/>
                  <w:tcBorders>
                    <w:tl2br w:val="nil"/>
                    <w:tr2bl w:val="nil"/>
                  </w:tcBorders>
                  <w:noWrap w:val="0"/>
                  <w:vAlign w:val="center"/>
                </w:tcPr>
                <w:p w14:paraId="65A5206D">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加油机、油罐通气管口、油气回收处理装置</w:t>
                  </w:r>
                </w:p>
              </w:tc>
              <w:tc>
                <w:tcPr>
                  <w:tcW w:w="1019" w:type="dxa"/>
                  <w:tcBorders>
                    <w:tl2br w:val="nil"/>
                    <w:tr2bl w:val="nil"/>
                  </w:tcBorders>
                  <w:noWrap w:val="0"/>
                  <w:vAlign w:val="center"/>
                </w:tcPr>
                <w:p w14:paraId="2E79206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一级LNG地下储罐</w:t>
                  </w:r>
                </w:p>
              </w:tc>
              <w:tc>
                <w:tcPr>
                  <w:tcW w:w="1020" w:type="dxa"/>
                  <w:tcBorders>
                    <w:tl2br w:val="nil"/>
                    <w:tr2bl w:val="nil"/>
                  </w:tcBorders>
                  <w:noWrap w:val="0"/>
                  <w:vAlign w:val="center"/>
                </w:tcPr>
                <w:p w14:paraId="5B9CE192">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放空管管口、LNG加气机、LNG卸车点</w:t>
                  </w:r>
                </w:p>
              </w:tc>
              <w:tc>
                <w:tcPr>
                  <w:tcW w:w="888" w:type="dxa"/>
                  <w:vMerge w:val="continue"/>
                  <w:tcBorders>
                    <w:tl2br w:val="nil"/>
                    <w:tr2bl w:val="nil"/>
                  </w:tcBorders>
                  <w:noWrap w:val="0"/>
                  <w:vAlign w:val="center"/>
                </w:tcPr>
                <w:p w14:paraId="78F50CCD">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3110F32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33" w:type="dxa"/>
                  <w:gridSpan w:val="3"/>
                  <w:vMerge w:val="restart"/>
                  <w:tcBorders>
                    <w:tl2br w:val="nil"/>
                    <w:tr2bl w:val="nil"/>
                  </w:tcBorders>
                  <w:noWrap w:val="0"/>
                  <w:vAlign w:val="center"/>
                </w:tcPr>
                <w:p w14:paraId="688D922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重要公共建筑物</w:t>
                  </w:r>
                </w:p>
              </w:tc>
              <w:tc>
                <w:tcPr>
                  <w:tcW w:w="930" w:type="dxa"/>
                  <w:tcBorders>
                    <w:tl2br w:val="nil"/>
                    <w:tr2bl w:val="nil"/>
                  </w:tcBorders>
                  <w:noWrap w:val="0"/>
                  <w:vAlign w:val="center"/>
                </w:tcPr>
                <w:p w14:paraId="3279C0E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739E7D6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35（25）</w:t>
                  </w:r>
                </w:p>
              </w:tc>
              <w:tc>
                <w:tcPr>
                  <w:tcW w:w="1019" w:type="dxa"/>
                  <w:tcBorders>
                    <w:tl2br w:val="nil"/>
                    <w:tr2bl w:val="nil"/>
                  </w:tcBorders>
                  <w:noWrap w:val="0"/>
                  <w:vAlign w:val="center"/>
                </w:tcPr>
                <w:p w14:paraId="2D2AABD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35（25）</w:t>
                  </w:r>
                </w:p>
              </w:tc>
              <w:tc>
                <w:tcPr>
                  <w:tcW w:w="1019" w:type="dxa"/>
                  <w:tcBorders>
                    <w:tl2br w:val="nil"/>
                    <w:tr2bl w:val="nil"/>
                  </w:tcBorders>
                  <w:noWrap w:val="0"/>
                  <w:vAlign w:val="center"/>
                </w:tcPr>
                <w:p w14:paraId="52B3EBF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80</w:t>
                  </w:r>
                </w:p>
              </w:tc>
              <w:tc>
                <w:tcPr>
                  <w:tcW w:w="1020" w:type="dxa"/>
                  <w:tcBorders>
                    <w:tl2br w:val="nil"/>
                    <w:tr2bl w:val="nil"/>
                  </w:tcBorders>
                  <w:noWrap w:val="0"/>
                  <w:vAlign w:val="center"/>
                </w:tcPr>
                <w:p w14:paraId="2FBE9E1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50</w:t>
                  </w:r>
                </w:p>
              </w:tc>
              <w:tc>
                <w:tcPr>
                  <w:tcW w:w="888" w:type="dxa"/>
                  <w:tcBorders>
                    <w:tl2br w:val="nil"/>
                    <w:tr2bl w:val="nil"/>
                  </w:tcBorders>
                  <w:noWrap w:val="0"/>
                  <w:vAlign w:val="center"/>
                </w:tcPr>
                <w:p w14:paraId="28C6E51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78B1317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continue"/>
                  <w:tcBorders>
                    <w:tl2br w:val="nil"/>
                    <w:tr2bl w:val="nil"/>
                  </w:tcBorders>
                  <w:noWrap w:val="0"/>
                  <w:vAlign w:val="center"/>
                </w:tcPr>
                <w:p w14:paraId="23B7746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2C92EA56">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4085CB6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446E96C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5EC9247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1756F07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0DE316A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6DA0BB1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restart"/>
                  <w:tcBorders>
                    <w:tl2br w:val="nil"/>
                    <w:tr2bl w:val="nil"/>
                  </w:tcBorders>
                  <w:noWrap w:val="0"/>
                  <w:vAlign w:val="center"/>
                </w:tcPr>
                <w:p w14:paraId="21D9EBB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明火或散发火花地点</w:t>
                  </w:r>
                </w:p>
              </w:tc>
              <w:tc>
                <w:tcPr>
                  <w:tcW w:w="930" w:type="dxa"/>
                  <w:tcBorders>
                    <w:tl2br w:val="nil"/>
                    <w:tr2bl w:val="nil"/>
                  </w:tcBorders>
                  <w:noWrap w:val="0"/>
                  <w:vAlign w:val="center"/>
                </w:tcPr>
                <w:p w14:paraId="51F4C85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6CF46CD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21（12.5）</w:t>
                  </w:r>
                </w:p>
              </w:tc>
              <w:tc>
                <w:tcPr>
                  <w:tcW w:w="1019" w:type="dxa"/>
                  <w:tcBorders>
                    <w:tl2br w:val="nil"/>
                    <w:tr2bl w:val="nil"/>
                  </w:tcBorders>
                  <w:noWrap w:val="0"/>
                  <w:vAlign w:val="center"/>
                </w:tcPr>
                <w:p w14:paraId="4040CA3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12.5（10）</w:t>
                  </w:r>
                </w:p>
              </w:tc>
              <w:tc>
                <w:tcPr>
                  <w:tcW w:w="1019" w:type="dxa"/>
                  <w:tcBorders>
                    <w:tl2br w:val="nil"/>
                    <w:tr2bl w:val="nil"/>
                  </w:tcBorders>
                  <w:noWrap w:val="0"/>
                  <w:vAlign w:val="center"/>
                </w:tcPr>
                <w:p w14:paraId="6D392E4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35</w:t>
                  </w:r>
                </w:p>
              </w:tc>
              <w:tc>
                <w:tcPr>
                  <w:tcW w:w="1020" w:type="dxa"/>
                  <w:tcBorders>
                    <w:tl2br w:val="nil"/>
                    <w:tr2bl w:val="nil"/>
                  </w:tcBorders>
                  <w:noWrap w:val="0"/>
                  <w:vAlign w:val="center"/>
                </w:tcPr>
                <w:p w14:paraId="7E83BF1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25</w:t>
                  </w:r>
                </w:p>
              </w:tc>
              <w:tc>
                <w:tcPr>
                  <w:tcW w:w="888" w:type="dxa"/>
                  <w:tcBorders>
                    <w:tl2br w:val="nil"/>
                    <w:tr2bl w:val="nil"/>
                  </w:tcBorders>
                  <w:noWrap w:val="0"/>
                  <w:vAlign w:val="center"/>
                </w:tcPr>
                <w:p w14:paraId="04FA3A0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01FD504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continue"/>
                  <w:tcBorders>
                    <w:tl2br w:val="nil"/>
                    <w:tr2bl w:val="nil"/>
                  </w:tcBorders>
                  <w:noWrap w:val="0"/>
                  <w:vAlign w:val="center"/>
                </w:tcPr>
                <w:p w14:paraId="2E9E248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0654F03A">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17B5238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1982625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1DE761D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602A442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261A590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282BBBC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63" w:type="dxa"/>
                  <w:gridSpan w:val="2"/>
                  <w:vMerge w:val="restart"/>
                  <w:tcBorders>
                    <w:tl2br w:val="nil"/>
                    <w:tr2bl w:val="nil"/>
                  </w:tcBorders>
                  <w:noWrap w:val="0"/>
                  <w:vAlign w:val="center"/>
                </w:tcPr>
                <w:p w14:paraId="12F15C2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民用建筑物保护类别</w:t>
                  </w:r>
                </w:p>
              </w:tc>
              <w:tc>
                <w:tcPr>
                  <w:tcW w:w="770" w:type="dxa"/>
                  <w:vMerge w:val="restart"/>
                  <w:tcBorders>
                    <w:tl2br w:val="nil"/>
                    <w:tr2bl w:val="nil"/>
                  </w:tcBorders>
                  <w:noWrap w:val="0"/>
                  <w:vAlign w:val="center"/>
                </w:tcPr>
                <w:p w14:paraId="59C9910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一类</w:t>
                  </w:r>
                </w:p>
              </w:tc>
              <w:tc>
                <w:tcPr>
                  <w:tcW w:w="930" w:type="dxa"/>
                  <w:tcBorders>
                    <w:tl2br w:val="nil"/>
                    <w:tr2bl w:val="nil"/>
                  </w:tcBorders>
                  <w:noWrap w:val="0"/>
                  <w:vAlign w:val="center"/>
                </w:tcPr>
                <w:p w14:paraId="4906987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1BD9344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17.5（6）</w:t>
                  </w:r>
                </w:p>
              </w:tc>
              <w:tc>
                <w:tcPr>
                  <w:tcW w:w="1019" w:type="dxa"/>
                  <w:tcBorders>
                    <w:tl2br w:val="nil"/>
                    <w:tr2bl w:val="nil"/>
                  </w:tcBorders>
                  <w:noWrap w:val="0"/>
                  <w:vAlign w:val="center"/>
                </w:tcPr>
                <w:p w14:paraId="4D2EA39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11（6）</w:t>
                  </w:r>
                </w:p>
              </w:tc>
              <w:tc>
                <w:tcPr>
                  <w:tcW w:w="1019" w:type="dxa"/>
                  <w:tcBorders>
                    <w:tl2br w:val="nil"/>
                    <w:tr2bl w:val="nil"/>
                  </w:tcBorders>
                  <w:noWrap w:val="0"/>
                  <w:vAlign w:val="center"/>
                </w:tcPr>
                <w:p w14:paraId="28CB1CF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35</w:t>
                  </w:r>
                </w:p>
              </w:tc>
              <w:tc>
                <w:tcPr>
                  <w:tcW w:w="1020" w:type="dxa"/>
                  <w:tcBorders>
                    <w:tl2br w:val="nil"/>
                    <w:tr2bl w:val="nil"/>
                  </w:tcBorders>
                  <w:noWrap w:val="0"/>
                  <w:vAlign w:val="center"/>
                </w:tcPr>
                <w:p w14:paraId="7560760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25</w:t>
                  </w:r>
                </w:p>
              </w:tc>
              <w:tc>
                <w:tcPr>
                  <w:tcW w:w="888" w:type="dxa"/>
                  <w:tcBorders>
                    <w:tl2br w:val="nil"/>
                    <w:tr2bl w:val="nil"/>
                  </w:tcBorders>
                  <w:noWrap w:val="0"/>
                  <w:vAlign w:val="center"/>
                </w:tcPr>
                <w:p w14:paraId="7E77521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68FAF05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63" w:type="dxa"/>
                  <w:gridSpan w:val="2"/>
                  <w:vMerge w:val="continue"/>
                  <w:tcBorders>
                    <w:tl2br w:val="nil"/>
                    <w:tr2bl w:val="nil"/>
                  </w:tcBorders>
                  <w:noWrap w:val="0"/>
                  <w:vAlign w:val="center"/>
                </w:tcPr>
                <w:p w14:paraId="76B1ABC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770" w:type="dxa"/>
                  <w:vMerge w:val="continue"/>
                  <w:tcBorders>
                    <w:tl2br w:val="nil"/>
                    <w:tr2bl w:val="nil"/>
                  </w:tcBorders>
                  <w:noWrap w:val="0"/>
                  <w:vAlign w:val="center"/>
                </w:tcPr>
                <w:p w14:paraId="5B6C482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07CEA7D0">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7BC4E02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6E38345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4A5CF6D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38ADD50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464092A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68138A3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63" w:type="dxa"/>
                  <w:gridSpan w:val="2"/>
                  <w:vMerge w:val="continue"/>
                  <w:tcBorders>
                    <w:tl2br w:val="nil"/>
                    <w:tr2bl w:val="nil"/>
                  </w:tcBorders>
                  <w:noWrap w:val="0"/>
                  <w:vAlign w:val="center"/>
                </w:tcPr>
                <w:p w14:paraId="491FB7D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p>
              </w:tc>
              <w:tc>
                <w:tcPr>
                  <w:tcW w:w="770" w:type="dxa"/>
                  <w:vMerge w:val="restart"/>
                  <w:tcBorders>
                    <w:tl2br w:val="nil"/>
                    <w:tr2bl w:val="nil"/>
                  </w:tcBorders>
                  <w:noWrap w:val="0"/>
                  <w:vAlign w:val="center"/>
                </w:tcPr>
                <w:p w14:paraId="11E82A7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2"/>
                      <w:sz w:val="21"/>
                      <w:szCs w:val="21"/>
                      <w:highlight w:val="none"/>
                      <w:vertAlign w:val="baseline"/>
                      <w:lang w:val="en-US" w:eastAsia="zh-CN" w:bidi="ar-SA"/>
                    </w:rPr>
                    <w:t>二类</w:t>
                  </w:r>
                </w:p>
              </w:tc>
              <w:tc>
                <w:tcPr>
                  <w:tcW w:w="930" w:type="dxa"/>
                  <w:tcBorders>
                    <w:tl2br w:val="nil"/>
                    <w:tr2bl w:val="nil"/>
                  </w:tcBorders>
                  <w:noWrap w:val="0"/>
                  <w:vAlign w:val="center"/>
                </w:tcPr>
                <w:p w14:paraId="210B3A7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4D1CFA0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14（6）</w:t>
                  </w:r>
                </w:p>
              </w:tc>
              <w:tc>
                <w:tcPr>
                  <w:tcW w:w="1019" w:type="dxa"/>
                  <w:tcBorders>
                    <w:tl2br w:val="nil"/>
                    <w:tr2bl w:val="nil"/>
                  </w:tcBorders>
                  <w:noWrap w:val="0"/>
                  <w:vAlign w:val="center"/>
                </w:tcPr>
                <w:p w14:paraId="7E8FDD0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8.5（6）</w:t>
                  </w:r>
                </w:p>
              </w:tc>
              <w:tc>
                <w:tcPr>
                  <w:tcW w:w="1019" w:type="dxa"/>
                  <w:tcBorders>
                    <w:tl2br w:val="nil"/>
                    <w:tr2bl w:val="nil"/>
                  </w:tcBorders>
                  <w:noWrap w:val="0"/>
                  <w:vAlign w:val="center"/>
                </w:tcPr>
                <w:p w14:paraId="24C79D4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25</w:t>
                  </w:r>
                </w:p>
              </w:tc>
              <w:tc>
                <w:tcPr>
                  <w:tcW w:w="1020" w:type="dxa"/>
                  <w:tcBorders>
                    <w:tl2br w:val="nil"/>
                    <w:tr2bl w:val="nil"/>
                  </w:tcBorders>
                  <w:noWrap w:val="0"/>
                  <w:vAlign w:val="center"/>
                </w:tcPr>
                <w:p w14:paraId="3EAF863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16</w:t>
                  </w:r>
                </w:p>
              </w:tc>
              <w:tc>
                <w:tcPr>
                  <w:tcW w:w="888" w:type="dxa"/>
                  <w:tcBorders>
                    <w:tl2br w:val="nil"/>
                    <w:tr2bl w:val="nil"/>
                  </w:tcBorders>
                  <w:noWrap w:val="0"/>
                  <w:vAlign w:val="center"/>
                </w:tcPr>
                <w:p w14:paraId="07C13FC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034AA59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63" w:type="dxa"/>
                  <w:gridSpan w:val="2"/>
                  <w:vMerge w:val="continue"/>
                  <w:tcBorders>
                    <w:tl2br w:val="nil"/>
                    <w:tr2bl w:val="nil"/>
                  </w:tcBorders>
                  <w:noWrap w:val="0"/>
                  <w:vAlign w:val="center"/>
                </w:tcPr>
                <w:p w14:paraId="4C19BF3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770" w:type="dxa"/>
                  <w:vMerge w:val="continue"/>
                  <w:tcBorders>
                    <w:tl2br w:val="nil"/>
                    <w:tr2bl w:val="nil"/>
                  </w:tcBorders>
                  <w:noWrap w:val="0"/>
                  <w:vAlign w:val="center"/>
                </w:tcPr>
                <w:p w14:paraId="2A7EAA3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6081F785">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0A5AD56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2C501F4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5853201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5B7E29B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6AA41D2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5E6CEF2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63" w:type="dxa"/>
                  <w:gridSpan w:val="2"/>
                  <w:vMerge w:val="continue"/>
                  <w:tcBorders>
                    <w:tl2br w:val="nil"/>
                    <w:tr2bl w:val="nil"/>
                  </w:tcBorders>
                  <w:noWrap w:val="0"/>
                  <w:vAlign w:val="center"/>
                </w:tcPr>
                <w:p w14:paraId="0156A5E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p>
              </w:tc>
              <w:tc>
                <w:tcPr>
                  <w:tcW w:w="770" w:type="dxa"/>
                  <w:vMerge w:val="restart"/>
                  <w:tcBorders>
                    <w:tl2br w:val="nil"/>
                    <w:tr2bl w:val="nil"/>
                  </w:tcBorders>
                  <w:noWrap w:val="0"/>
                  <w:vAlign w:val="center"/>
                </w:tcPr>
                <w:p w14:paraId="69F5540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2"/>
                      <w:sz w:val="21"/>
                      <w:szCs w:val="21"/>
                      <w:highlight w:val="none"/>
                      <w:vertAlign w:val="baseline"/>
                      <w:lang w:val="en-US" w:eastAsia="zh-CN" w:bidi="ar-SA"/>
                    </w:rPr>
                    <w:t>三类</w:t>
                  </w:r>
                </w:p>
              </w:tc>
              <w:tc>
                <w:tcPr>
                  <w:tcW w:w="930" w:type="dxa"/>
                  <w:tcBorders>
                    <w:tl2br w:val="nil"/>
                    <w:tr2bl w:val="nil"/>
                  </w:tcBorders>
                  <w:noWrap w:val="0"/>
                  <w:vAlign w:val="center"/>
                </w:tcPr>
                <w:p w14:paraId="7C2E905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11C5D11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11（6）</w:t>
                  </w:r>
                </w:p>
              </w:tc>
              <w:tc>
                <w:tcPr>
                  <w:tcW w:w="1019" w:type="dxa"/>
                  <w:tcBorders>
                    <w:tl2br w:val="nil"/>
                    <w:tr2bl w:val="nil"/>
                  </w:tcBorders>
                  <w:noWrap w:val="0"/>
                  <w:vAlign w:val="center"/>
                </w:tcPr>
                <w:p w14:paraId="68D3574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7（6）</w:t>
                  </w:r>
                </w:p>
              </w:tc>
              <w:tc>
                <w:tcPr>
                  <w:tcW w:w="1019" w:type="dxa"/>
                  <w:tcBorders>
                    <w:tl2br w:val="nil"/>
                    <w:tr2bl w:val="nil"/>
                  </w:tcBorders>
                  <w:noWrap w:val="0"/>
                  <w:vAlign w:val="center"/>
                </w:tcPr>
                <w:p w14:paraId="5D1F1DE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18</w:t>
                  </w:r>
                </w:p>
              </w:tc>
              <w:tc>
                <w:tcPr>
                  <w:tcW w:w="1020" w:type="dxa"/>
                  <w:tcBorders>
                    <w:tl2br w:val="nil"/>
                    <w:tr2bl w:val="nil"/>
                  </w:tcBorders>
                  <w:noWrap w:val="0"/>
                  <w:vAlign w:val="center"/>
                </w:tcPr>
                <w:p w14:paraId="0DA37AE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14</w:t>
                  </w:r>
                </w:p>
              </w:tc>
              <w:tc>
                <w:tcPr>
                  <w:tcW w:w="888" w:type="dxa"/>
                  <w:vMerge w:val="restart"/>
                  <w:tcBorders>
                    <w:tl2br w:val="nil"/>
                    <w:tr2bl w:val="nil"/>
                  </w:tcBorders>
                  <w:noWrap w:val="0"/>
                  <w:vAlign w:val="center"/>
                </w:tcPr>
                <w:p w14:paraId="499E8FD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0235B1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63" w:type="dxa"/>
                  <w:gridSpan w:val="2"/>
                  <w:vMerge w:val="continue"/>
                  <w:tcBorders>
                    <w:tl2br w:val="nil"/>
                    <w:tr2bl w:val="nil"/>
                  </w:tcBorders>
                  <w:noWrap w:val="0"/>
                  <w:vAlign w:val="center"/>
                </w:tcPr>
                <w:p w14:paraId="230A8AA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770" w:type="dxa"/>
                  <w:vMerge w:val="continue"/>
                  <w:tcBorders>
                    <w:tl2br w:val="nil"/>
                    <w:tr2bl w:val="nil"/>
                  </w:tcBorders>
                  <w:noWrap w:val="0"/>
                  <w:vAlign w:val="center"/>
                </w:tcPr>
                <w:p w14:paraId="40452F7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5A62D2C2">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shd w:val="clear" w:color="auto" w:fill="auto"/>
                  <w:noWrap w:val="0"/>
                  <w:vAlign w:val="center"/>
                </w:tcPr>
                <w:p w14:paraId="58BBD6E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shd w:val="clear" w:color="auto" w:fill="auto"/>
                  <w:noWrap w:val="0"/>
                  <w:vAlign w:val="center"/>
                </w:tcPr>
                <w:p w14:paraId="671B2B6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shd w:val="clear" w:color="auto" w:fill="auto"/>
                  <w:noWrap w:val="0"/>
                  <w:vAlign w:val="center"/>
                </w:tcPr>
                <w:p w14:paraId="5D950B3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shd w:val="clear" w:color="auto" w:fill="auto"/>
                  <w:noWrap w:val="0"/>
                  <w:vAlign w:val="center"/>
                </w:tcPr>
                <w:p w14:paraId="1C07D7A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vMerge w:val="continue"/>
                  <w:tcBorders>
                    <w:tl2br w:val="nil"/>
                    <w:tr2bl w:val="nil"/>
                  </w:tcBorders>
                  <w:noWrap w:val="0"/>
                  <w:vAlign w:val="center"/>
                </w:tcPr>
                <w:p w14:paraId="6B5D7F2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0A96BD5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restart"/>
                  <w:tcBorders>
                    <w:tl2br w:val="nil"/>
                    <w:tr2bl w:val="nil"/>
                  </w:tcBorders>
                  <w:noWrap w:val="0"/>
                  <w:vAlign w:val="center"/>
                </w:tcPr>
                <w:p w14:paraId="2083398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甲、乙类物品生产房、库房和甲、乙类液体储罐</w:t>
                  </w:r>
                </w:p>
              </w:tc>
              <w:tc>
                <w:tcPr>
                  <w:tcW w:w="930" w:type="dxa"/>
                  <w:tcBorders>
                    <w:tl2br w:val="nil"/>
                    <w:tr2bl w:val="nil"/>
                  </w:tcBorders>
                  <w:noWrap w:val="0"/>
                  <w:vAlign w:val="center"/>
                </w:tcPr>
                <w:p w14:paraId="58FD501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569C91B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17.5（12.5）</w:t>
                  </w:r>
                </w:p>
              </w:tc>
              <w:tc>
                <w:tcPr>
                  <w:tcW w:w="1019" w:type="dxa"/>
                  <w:tcBorders>
                    <w:tl2br w:val="nil"/>
                    <w:tr2bl w:val="nil"/>
                  </w:tcBorders>
                  <w:noWrap w:val="0"/>
                  <w:vAlign w:val="center"/>
                </w:tcPr>
                <w:p w14:paraId="4A591DA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12.5（9）</w:t>
                  </w:r>
                </w:p>
              </w:tc>
              <w:tc>
                <w:tcPr>
                  <w:tcW w:w="1019" w:type="dxa"/>
                  <w:tcBorders>
                    <w:tl2br w:val="nil"/>
                    <w:tr2bl w:val="nil"/>
                  </w:tcBorders>
                  <w:noWrap w:val="0"/>
                  <w:vAlign w:val="center"/>
                </w:tcPr>
                <w:p w14:paraId="3A936E5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35</w:t>
                  </w:r>
                </w:p>
              </w:tc>
              <w:tc>
                <w:tcPr>
                  <w:tcW w:w="1020" w:type="dxa"/>
                  <w:tcBorders>
                    <w:tl2br w:val="nil"/>
                    <w:tr2bl w:val="nil"/>
                  </w:tcBorders>
                  <w:noWrap w:val="0"/>
                  <w:vAlign w:val="center"/>
                </w:tcPr>
                <w:p w14:paraId="78D2A2D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25</w:t>
                  </w:r>
                </w:p>
              </w:tc>
              <w:tc>
                <w:tcPr>
                  <w:tcW w:w="888" w:type="dxa"/>
                  <w:tcBorders>
                    <w:tl2br w:val="nil"/>
                    <w:tr2bl w:val="nil"/>
                  </w:tcBorders>
                  <w:noWrap w:val="0"/>
                  <w:vAlign w:val="center"/>
                </w:tcPr>
                <w:p w14:paraId="063E889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7A5BAFA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continue"/>
                  <w:tcBorders>
                    <w:tl2br w:val="nil"/>
                    <w:tr2bl w:val="nil"/>
                  </w:tcBorders>
                  <w:noWrap w:val="0"/>
                  <w:vAlign w:val="center"/>
                </w:tcPr>
                <w:p w14:paraId="44AEEB2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0128B88B">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2CB3758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1F6106A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271C1A8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7D6BF54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22E5B7B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38B8E77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restart"/>
                  <w:tcBorders>
                    <w:tl2br w:val="nil"/>
                    <w:tr2bl w:val="nil"/>
                  </w:tcBorders>
                  <w:noWrap w:val="0"/>
                  <w:vAlign w:val="center"/>
                </w:tcPr>
                <w:p w14:paraId="34B55C4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丙、丁、戊类物品生产厂房、库房和丙类液体储罐及容积不大于50m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的埋地甲、乙类液体储罐</w:t>
                  </w:r>
                </w:p>
              </w:tc>
              <w:tc>
                <w:tcPr>
                  <w:tcW w:w="930" w:type="dxa"/>
                  <w:tcBorders>
                    <w:tl2br w:val="nil"/>
                    <w:tr2bl w:val="nil"/>
                  </w:tcBorders>
                  <w:noWrap w:val="0"/>
                  <w:vAlign w:val="center"/>
                </w:tcPr>
                <w:p w14:paraId="17267D3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74EDAAB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12.5（9）</w:t>
                  </w:r>
                </w:p>
              </w:tc>
              <w:tc>
                <w:tcPr>
                  <w:tcW w:w="1019" w:type="dxa"/>
                  <w:tcBorders>
                    <w:tl2br w:val="nil"/>
                    <w:tr2bl w:val="nil"/>
                  </w:tcBorders>
                  <w:noWrap w:val="0"/>
                  <w:vAlign w:val="center"/>
                </w:tcPr>
                <w:p w14:paraId="3395B7B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10.5（9）</w:t>
                  </w:r>
                </w:p>
              </w:tc>
              <w:tc>
                <w:tcPr>
                  <w:tcW w:w="1019" w:type="dxa"/>
                  <w:tcBorders>
                    <w:tl2br w:val="nil"/>
                    <w:tr2bl w:val="nil"/>
                  </w:tcBorders>
                  <w:noWrap w:val="0"/>
                  <w:vAlign w:val="center"/>
                </w:tcPr>
                <w:p w14:paraId="6828F25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25</w:t>
                  </w:r>
                </w:p>
              </w:tc>
              <w:tc>
                <w:tcPr>
                  <w:tcW w:w="1020" w:type="dxa"/>
                  <w:tcBorders>
                    <w:tl2br w:val="nil"/>
                    <w:tr2bl w:val="nil"/>
                  </w:tcBorders>
                  <w:noWrap w:val="0"/>
                  <w:vAlign w:val="center"/>
                </w:tcPr>
                <w:p w14:paraId="3F88F60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20</w:t>
                  </w:r>
                </w:p>
              </w:tc>
              <w:tc>
                <w:tcPr>
                  <w:tcW w:w="888" w:type="dxa"/>
                  <w:vMerge w:val="restart"/>
                  <w:tcBorders>
                    <w:tl2br w:val="nil"/>
                    <w:tr2bl w:val="nil"/>
                  </w:tcBorders>
                  <w:noWrap w:val="0"/>
                  <w:vAlign w:val="center"/>
                </w:tcPr>
                <w:p w14:paraId="79573CC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40CEA45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continue"/>
                  <w:tcBorders>
                    <w:tl2br w:val="nil"/>
                    <w:tr2bl w:val="nil"/>
                  </w:tcBorders>
                  <w:noWrap w:val="0"/>
                  <w:vAlign w:val="center"/>
                </w:tcPr>
                <w:p w14:paraId="13250E2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11EE198B">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15C2FAE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41E9D7B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45D5D4C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4A934AA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vMerge w:val="continue"/>
                  <w:tcBorders>
                    <w:tl2br w:val="nil"/>
                    <w:tr2bl w:val="nil"/>
                  </w:tcBorders>
                  <w:noWrap w:val="0"/>
                  <w:vAlign w:val="center"/>
                </w:tcPr>
                <w:p w14:paraId="77B4A01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034FC8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restart"/>
                  <w:tcBorders>
                    <w:tl2br w:val="nil"/>
                    <w:tr2bl w:val="nil"/>
                  </w:tcBorders>
                  <w:noWrap w:val="0"/>
                  <w:vAlign w:val="center"/>
                </w:tcPr>
                <w:p w14:paraId="2C0EB6A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室外变配电站</w:t>
                  </w:r>
                </w:p>
              </w:tc>
              <w:tc>
                <w:tcPr>
                  <w:tcW w:w="930" w:type="dxa"/>
                  <w:tcBorders>
                    <w:tl2br w:val="nil"/>
                    <w:tr2bl w:val="nil"/>
                  </w:tcBorders>
                  <w:noWrap w:val="0"/>
                  <w:vAlign w:val="center"/>
                </w:tcPr>
                <w:p w14:paraId="4C28257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169DE18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17.5（15）</w:t>
                  </w:r>
                </w:p>
              </w:tc>
              <w:tc>
                <w:tcPr>
                  <w:tcW w:w="1019" w:type="dxa"/>
                  <w:tcBorders>
                    <w:tl2br w:val="nil"/>
                    <w:tr2bl w:val="nil"/>
                  </w:tcBorders>
                  <w:noWrap w:val="0"/>
                  <w:vAlign w:val="center"/>
                </w:tcPr>
                <w:p w14:paraId="501BE8D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12.5（12.5）</w:t>
                  </w:r>
                </w:p>
              </w:tc>
              <w:tc>
                <w:tcPr>
                  <w:tcW w:w="1019" w:type="dxa"/>
                  <w:tcBorders>
                    <w:tl2br w:val="nil"/>
                    <w:tr2bl w:val="nil"/>
                  </w:tcBorders>
                  <w:noWrap w:val="0"/>
                  <w:vAlign w:val="center"/>
                </w:tcPr>
                <w:p w14:paraId="54E9FBC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40</w:t>
                  </w:r>
                </w:p>
              </w:tc>
              <w:tc>
                <w:tcPr>
                  <w:tcW w:w="1020" w:type="dxa"/>
                  <w:tcBorders>
                    <w:tl2br w:val="nil"/>
                    <w:tr2bl w:val="nil"/>
                  </w:tcBorders>
                  <w:noWrap w:val="0"/>
                  <w:vAlign w:val="center"/>
                </w:tcPr>
                <w:p w14:paraId="23112AA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30</w:t>
                  </w:r>
                </w:p>
              </w:tc>
              <w:tc>
                <w:tcPr>
                  <w:tcW w:w="888" w:type="dxa"/>
                  <w:tcBorders>
                    <w:tl2br w:val="nil"/>
                    <w:tr2bl w:val="nil"/>
                  </w:tcBorders>
                  <w:noWrap w:val="0"/>
                  <w:vAlign w:val="center"/>
                </w:tcPr>
                <w:p w14:paraId="0CC6B81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44F21D4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continue"/>
                  <w:tcBorders>
                    <w:tl2br w:val="nil"/>
                    <w:tr2bl w:val="nil"/>
                  </w:tcBorders>
                  <w:noWrap w:val="0"/>
                  <w:vAlign w:val="center"/>
                </w:tcPr>
                <w:p w14:paraId="063162F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7F28E67E">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1DA74CC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4B47359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3259883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72DD4E0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0DA5F8D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77B5676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restart"/>
                  <w:tcBorders>
                    <w:tl2br w:val="nil"/>
                    <w:tr2bl w:val="nil"/>
                  </w:tcBorders>
                  <w:noWrap w:val="0"/>
                  <w:vAlign w:val="center"/>
                </w:tcPr>
                <w:p w14:paraId="636DAA4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铁路、地上城市轨道线路</w:t>
                  </w:r>
                </w:p>
              </w:tc>
              <w:tc>
                <w:tcPr>
                  <w:tcW w:w="930" w:type="dxa"/>
                  <w:tcBorders>
                    <w:tl2br w:val="nil"/>
                    <w:tr2bl w:val="nil"/>
                  </w:tcBorders>
                  <w:noWrap w:val="0"/>
                  <w:vAlign w:val="center"/>
                </w:tcPr>
                <w:p w14:paraId="0CA8365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7342993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15.5（15）</w:t>
                  </w:r>
                </w:p>
              </w:tc>
              <w:tc>
                <w:tcPr>
                  <w:tcW w:w="1019" w:type="dxa"/>
                  <w:tcBorders>
                    <w:tl2br w:val="nil"/>
                    <w:tr2bl w:val="nil"/>
                  </w:tcBorders>
                  <w:noWrap w:val="0"/>
                  <w:vAlign w:val="center"/>
                </w:tcPr>
                <w:p w14:paraId="42A45DB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15.5（15）</w:t>
                  </w:r>
                </w:p>
              </w:tc>
              <w:tc>
                <w:tcPr>
                  <w:tcW w:w="1019" w:type="dxa"/>
                  <w:tcBorders>
                    <w:tl2br w:val="nil"/>
                    <w:tr2bl w:val="nil"/>
                  </w:tcBorders>
                  <w:noWrap w:val="0"/>
                  <w:vAlign w:val="center"/>
                </w:tcPr>
                <w:p w14:paraId="61D0328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80</w:t>
                  </w:r>
                </w:p>
              </w:tc>
              <w:tc>
                <w:tcPr>
                  <w:tcW w:w="1020" w:type="dxa"/>
                  <w:tcBorders>
                    <w:tl2br w:val="nil"/>
                    <w:tr2bl w:val="nil"/>
                  </w:tcBorders>
                  <w:noWrap w:val="0"/>
                  <w:vAlign w:val="center"/>
                </w:tcPr>
                <w:p w14:paraId="31FAB5F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50</w:t>
                  </w:r>
                </w:p>
              </w:tc>
              <w:tc>
                <w:tcPr>
                  <w:tcW w:w="888" w:type="dxa"/>
                  <w:tcBorders>
                    <w:tl2br w:val="nil"/>
                    <w:tr2bl w:val="nil"/>
                  </w:tcBorders>
                  <w:noWrap w:val="0"/>
                  <w:vAlign w:val="center"/>
                </w:tcPr>
                <w:p w14:paraId="48AE8C2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47F4E96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continue"/>
                  <w:tcBorders>
                    <w:tl2br w:val="nil"/>
                    <w:tr2bl w:val="nil"/>
                  </w:tcBorders>
                  <w:noWrap w:val="0"/>
                  <w:vAlign w:val="center"/>
                </w:tcPr>
                <w:p w14:paraId="66FB4A5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6B32F15C">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40423D1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3B1B413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78882C5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6BCCBB0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78CB119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5C5C3DD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2033" w:type="dxa"/>
                  <w:gridSpan w:val="3"/>
                  <w:vMerge w:val="restart"/>
                  <w:tcBorders>
                    <w:tl2br w:val="nil"/>
                    <w:tr2bl w:val="nil"/>
                  </w:tcBorders>
                  <w:noWrap w:val="0"/>
                  <w:vAlign w:val="center"/>
                </w:tcPr>
                <w:p w14:paraId="5B6ADD2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城市快速路、主干路和高速公路、一级公路、二级公路</w:t>
                  </w:r>
                </w:p>
              </w:tc>
              <w:tc>
                <w:tcPr>
                  <w:tcW w:w="930" w:type="dxa"/>
                  <w:tcBorders>
                    <w:tl2br w:val="nil"/>
                    <w:tr2bl w:val="nil"/>
                  </w:tcBorders>
                  <w:noWrap w:val="0"/>
                  <w:vAlign w:val="center"/>
                </w:tcPr>
                <w:p w14:paraId="29B5771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6F6F837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7（3）</w:t>
                  </w:r>
                </w:p>
              </w:tc>
              <w:tc>
                <w:tcPr>
                  <w:tcW w:w="1019" w:type="dxa"/>
                  <w:tcBorders>
                    <w:tl2br w:val="nil"/>
                    <w:tr2bl w:val="nil"/>
                  </w:tcBorders>
                  <w:noWrap w:val="0"/>
                  <w:vAlign w:val="center"/>
                </w:tcPr>
                <w:p w14:paraId="75C24DC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5（3）</w:t>
                  </w:r>
                </w:p>
              </w:tc>
              <w:tc>
                <w:tcPr>
                  <w:tcW w:w="1019" w:type="dxa"/>
                  <w:tcBorders>
                    <w:tl2br w:val="nil"/>
                    <w:tr2bl w:val="nil"/>
                  </w:tcBorders>
                  <w:noWrap w:val="0"/>
                  <w:vAlign w:val="center"/>
                </w:tcPr>
                <w:p w14:paraId="2C45C18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12</w:t>
                  </w:r>
                </w:p>
              </w:tc>
              <w:tc>
                <w:tcPr>
                  <w:tcW w:w="1020" w:type="dxa"/>
                  <w:tcBorders>
                    <w:tl2br w:val="nil"/>
                    <w:tr2bl w:val="nil"/>
                  </w:tcBorders>
                  <w:noWrap w:val="0"/>
                  <w:vAlign w:val="center"/>
                </w:tcPr>
                <w:p w14:paraId="386FECE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8</w:t>
                  </w:r>
                </w:p>
              </w:tc>
              <w:tc>
                <w:tcPr>
                  <w:tcW w:w="888" w:type="dxa"/>
                  <w:vMerge w:val="restart"/>
                  <w:tcBorders>
                    <w:tl2br w:val="nil"/>
                    <w:tr2bl w:val="nil"/>
                  </w:tcBorders>
                  <w:noWrap w:val="0"/>
                  <w:vAlign w:val="center"/>
                </w:tcPr>
                <w:p w14:paraId="732A7C9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占地红线与东尧快速通道边界</w:t>
                  </w:r>
                </w:p>
              </w:tc>
            </w:tr>
            <w:tr w14:paraId="313AE94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33" w:type="dxa"/>
                  <w:gridSpan w:val="3"/>
                  <w:vMerge w:val="continue"/>
                  <w:tcBorders>
                    <w:tl2br w:val="nil"/>
                    <w:tr2bl w:val="nil"/>
                  </w:tcBorders>
                  <w:noWrap w:val="0"/>
                  <w:vAlign w:val="center"/>
                </w:tcPr>
                <w:p w14:paraId="721E206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29049935">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4AD2578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63.45（51.54）</w:t>
                  </w:r>
                </w:p>
              </w:tc>
              <w:tc>
                <w:tcPr>
                  <w:tcW w:w="1019" w:type="dxa"/>
                  <w:tcBorders>
                    <w:tl2br w:val="nil"/>
                    <w:tr2bl w:val="nil"/>
                  </w:tcBorders>
                  <w:noWrap w:val="0"/>
                  <w:vAlign w:val="center"/>
                </w:tcPr>
                <w:p w14:paraId="2D10A3C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48.51（49.92）</w:t>
                  </w:r>
                </w:p>
              </w:tc>
              <w:tc>
                <w:tcPr>
                  <w:tcW w:w="1019" w:type="dxa"/>
                  <w:tcBorders>
                    <w:tl2br w:val="nil"/>
                    <w:tr2bl w:val="nil"/>
                  </w:tcBorders>
                  <w:noWrap w:val="0"/>
                  <w:vAlign w:val="center"/>
                </w:tcPr>
                <w:p w14:paraId="3C464D2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63.61</w:t>
                  </w:r>
                </w:p>
              </w:tc>
              <w:tc>
                <w:tcPr>
                  <w:tcW w:w="1020" w:type="dxa"/>
                  <w:tcBorders>
                    <w:tl2br w:val="nil"/>
                    <w:tr2bl w:val="nil"/>
                  </w:tcBorders>
                  <w:noWrap w:val="0"/>
                  <w:vAlign w:val="center"/>
                </w:tcPr>
                <w:p w14:paraId="42DAB52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＞50</w:t>
                  </w:r>
                </w:p>
              </w:tc>
              <w:tc>
                <w:tcPr>
                  <w:tcW w:w="888" w:type="dxa"/>
                  <w:vMerge w:val="continue"/>
                  <w:tcBorders>
                    <w:tl2br w:val="nil"/>
                    <w:tr2bl w:val="nil"/>
                  </w:tcBorders>
                  <w:noWrap w:val="0"/>
                  <w:vAlign w:val="center"/>
                </w:tcPr>
                <w:p w14:paraId="4C5A06B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2767902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restart"/>
                  <w:tcBorders>
                    <w:tl2br w:val="nil"/>
                    <w:tr2bl w:val="nil"/>
                  </w:tcBorders>
                  <w:noWrap w:val="0"/>
                  <w:vAlign w:val="center"/>
                </w:tcPr>
                <w:p w14:paraId="2DBDB72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城市次干路、支路和三级公路、四级公路</w:t>
                  </w:r>
                </w:p>
              </w:tc>
              <w:tc>
                <w:tcPr>
                  <w:tcW w:w="930" w:type="dxa"/>
                  <w:tcBorders>
                    <w:tl2br w:val="nil"/>
                    <w:tr2bl w:val="nil"/>
                  </w:tcBorders>
                  <w:noWrap w:val="0"/>
                  <w:vAlign w:val="center"/>
                </w:tcPr>
                <w:p w14:paraId="1572D21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67B37BF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5.5（3）</w:t>
                  </w:r>
                </w:p>
              </w:tc>
              <w:tc>
                <w:tcPr>
                  <w:tcW w:w="1019" w:type="dxa"/>
                  <w:tcBorders>
                    <w:tl2br w:val="nil"/>
                    <w:tr2bl w:val="nil"/>
                  </w:tcBorders>
                  <w:noWrap w:val="0"/>
                  <w:vAlign w:val="center"/>
                </w:tcPr>
                <w:p w14:paraId="76E0962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5（3）</w:t>
                  </w:r>
                </w:p>
              </w:tc>
              <w:tc>
                <w:tcPr>
                  <w:tcW w:w="1019" w:type="dxa"/>
                  <w:tcBorders>
                    <w:tl2br w:val="nil"/>
                    <w:tr2bl w:val="nil"/>
                  </w:tcBorders>
                  <w:noWrap w:val="0"/>
                  <w:vAlign w:val="center"/>
                </w:tcPr>
                <w:p w14:paraId="4A40D26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10</w:t>
                  </w:r>
                </w:p>
              </w:tc>
              <w:tc>
                <w:tcPr>
                  <w:tcW w:w="1020" w:type="dxa"/>
                  <w:tcBorders>
                    <w:tl2br w:val="nil"/>
                    <w:tr2bl w:val="nil"/>
                  </w:tcBorders>
                  <w:noWrap w:val="0"/>
                  <w:vAlign w:val="center"/>
                </w:tcPr>
                <w:p w14:paraId="1B8F4FD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6</w:t>
                  </w:r>
                </w:p>
              </w:tc>
              <w:tc>
                <w:tcPr>
                  <w:tcW w:w="888" w:type="dxa"/>
                  <w:tcBorders>
                    <w:tl2br w:val="nil"/>
                    <w:tr2bl w:val="nil"/>
                  </w:tcBorders>
                  <w:noWrap w:val="0"/>
                  <w:vAlign w:val="center"/>
                </w:tcPr>
                <w:p w14:paraId="32DED67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2A00E3A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continue"/>
                  <w:tcBorders>
                    <w:tl2br w:val="nil"/>
                    <w:tr2bl w:val="nil"/>
                  </w:tcBorders>
                  <w:noWrap w:val="0"/>
                  <w:vAlign w:val="center"/>
                </w:tcPr>
                <w:p w14:paraId="775C868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195EB15A">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1E1EBFF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479599F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2B83F1E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3EFAE7C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67AD28D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6A777BD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restart"/>
                  <w:tcBorders>
                    <w:tl2br w:val="nil"/>
                    <w:tr2bl w:val="nil"/>
                  </w:tcBorders>
                  <w:noWrap w:val="0"/>
                  <w:vAlign w:val="center"/>
                </w:tcPr>
                <w:p w14:paraId="08C691D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8"/>
                      <w:sz w:val="21"/>
                      <w:szCs w:val="21"/>
                    </w:rPr>
                    <w:t>架空通信线路</w:t>
                  </w:r>
                </w:p>
              </w:tc>
              <w:tc>
                <w:tcPr>
                  <w:tcW w:w="930" w:type="dxa"/>
                  <w:tcBorders>
                    <w:tl2br w:val="nil"/>
                    <w:tr2bl w:val="nil"/>
                  </w:tcBorders>
                  <w:noWrap w:val="0"/>
                  <w:vAlign w:val="center"/>
                </w:tcPr>
                <w:p w14:paraId="1CC38A5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5227EE4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1.0（0.75）H，且≥5m</w:t>
                  </w:r>
                </w:p>
              </w:tc>
              <w:tc>
                <w:tcPr>
                  <w:tcW w:w="1019" w:type="dxa"/>
                  <w:tcBorders>
                    <w:tl2br w:val="nil"/>
                    <w:tr2bl w:val="nil"/>
                  </w:tcBorders>
                  <w:noWrap w:val="0"/>
                  <w:vAlign w:val="center"/>
                </w:tcPr>
                <w:p w14:paraId="353C3B9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5（5）</w:t>
                  </w:r>
                </w:p>
              </w:tc>
              <w:tc>
                <w:tcPr>
                  <w:tcW w:w="1019" w:type="dxa"/>
                  <w:tcBorders>
                    <w:tl2br w:val="nil"/>
                    <w:tr2bl w:val="nil"/>
                  </w:tcBorders>
                  <w:noWrap w:val="0"/>
                  <w:vAlign w:val="center"/>
                </w:tcPr>
                <w:p w14:paraId="5EE847E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1.0H</w:t>
                  </w:r>
                </w:p>
              </w:tc>
              <w:tc>
                <w:tcPr>
                  <w:tcW w:w="1020" w:type="dxa"/>
                  <w:tcBorders>
                    <w:tl2br w:val="nil"/>
                    <w:tr2bl w:val="nil"/>
                  </w:tcBorders>
                  <w:noWrap w:val="0"/>
                  <w:vAlign w:val="center"/>
                </w:tcPr>
                <w:p w14:paraId="6BC4B3B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0.75H</w:t>
                  </w:r>
                </w:p>
              </w:tc>
              <w:tc>
                <w:tcPr>
                  <w:tcW w:w="888" w:type="dxa"/>
                  <w:tcBorders>
                    <w:tl2br w:val="nil"/>
                    <w:tr2bl w:val="nil"/>
                  </w:tcBorders>
                  <w:noWrap w:val="0"/>
                  <w:vAlign w:val="center"/>
                </w:tcPr>
                <w:p w14:paraId="569FF97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33B9F7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033" w:type="dxa"/>
                  <w:gridSpan w:val="3"/>
                  <w:vMerge w:val="continue"/>
                  <w:tcBorders>
                    <w:tl2br w:val="nil"/>
                    <w:tr2bl w:val="nil"/>
                  </w:tcBorders>
                  <w:noWrap w:val="0"/>
                  <w:vAlign w:val="center"/>
                </w:tcPr>
                <w:p w14:paraId="55C7152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8"/>
                      <w:sz w:val="21"/>
                      <w:szCs w:val="21"/>
                    </w:rPr>
                  </w:pPr>
                </w:p>
              </w:tc>
              <w:tc>
                <w:tcPr>
                  <w:tcW w:w="930" w:type="dxa"/>
                  <w:tcBorders>
                    <w:tl2br w:val="nil"/>
                    <w:tr2bl w:val="nil"/>
                  </w:tcBorders>
                  <w:noWrap w:val="0"/>
                  <w:vAlign w:val="center"/>
                </w:tcPr>
                <w:p w14:paraId="4E920B67">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1B2D8E7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681412E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5B329B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1B54678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2D7B180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17CE725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57" w:type="dxa"/>
                  <w:vMerge w:val="restart"/>
                  <w:tcBorders>
                    <w:tl2br w:val="nil"/>
                    <w:tr2bl w:val="nil"/>
                  </w:tcBorders>
                  <w:noWrap w:val="0"/>
                  <w:vAlign w:val="center"/>
                </w:tcPr>
                <w:p w14:paraId="2E0E853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8"/>
                      <w:sz w:val="21"/>
                      <w:szCs w:val="21"/>
                      <w:lang w:val="en-US" w:eastAsia="zh-CN"/>
                    </w:rPr>
                  </w:pPr>
                  <w:r>
                    <w:rPr>
                      <w:rFonts w:hint="default" w:ascii="Times New Roman" w:hAnsi="Times New Roman" w:eastAsia="仿宋_GB2312" w:cs="Times New Roman"/>
                      <w:color w:val="auto"/>
                      <w:spacing w:val="8"/>
                      <w:sz w:val="21"/>
                      <w:szCs w:val="21"/>
                    </w:rPr>
                    <w:t>架空电力线路</w:t>
                  </w:r>
                </w:p>
              </w:tc>
              <w:tc>
                <w:tcPr>
                  <w:tcW w:w="776" w:type="dxa"/>
                  <w:gridSpan w:val="2"/>
                  <w:vMerge w:val="restart"/>
                  <w:tcBorders>
                    <w:tl2br w:val="nil"/>
                    <w:tr2bl w:val="nil"/>
                  </w:tcBorders>
                  <w:noWrap w:val="0"/>
                  <w:vAlign w:val="center"/>
                </w:tcPr>
                <w:p w14:paraId="05DCEF5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8"/>
                      <w:sz w:val="21"/>
                      <w:szCs w:val="21"/>
                      <w:lang w:val="en-US" w:eastAsia="zh-CN"/>
                    </w:rPr>
                  </w:pPr>
                  <w:r>
                    <w:rPr>
                      <w:rFonts w:hint="default" w:ascii="Times New Roman" w:hAnsi="Times New Roman" w:eastAsia="仿宋_GB2312" w:cs="Times New Roman"/>
                      <w:color w:val="auto"/>
                      <w:spacing w:val="8"/>
                      <w:sz w:val="21"/>
                      <w:szCs w:val="21"/>
                    </w:rPr>
                    <w:t>无绝缘层</w:t>
                  </w:r>
                </w:p>
              </w:tc>
              <w:tc>
                <w:tcPr>
                  <w:tcW w:w="930" w:type="dxa"/>
                  <w:tcBorders>
                    <w:tl2br w:val="nil"/>
                    <w:tr2bl w:val="nil"/>
                  </w:tcBorders>
                  <w:noWrap w:val="0"/>
                  <w:vAlign w:val="center"/>
                </w:tcPr>
                <w:p w14:paraId="1872887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5B2F0C0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1.5（0.75）H，且≥6.5m</w:t>
                  </w:r>
                </w:p>
              </w:tc>
              <w:tc>
                <w:tcPr>
                  <w:tcW w:w="1019" w:type="dxa"/>
                  <w:tcBorders>
                    <w:tl2br w:val="nil"/>
                    <w:tr2bl w:val="nil"/>
                  </w:tcBorders>
                  <w:noWrap w:val="0"/>
                  <w:vAlign w:val="center"/>
                </w:tcPr>
                <w:p w14:paraId="21C9507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6.5（6.5）</w:t>
                  </w:r>
                </w:p>
              </w:tc>
              <w:tc>
                <w:tcPr>
                  <w:tcW w:w="1019" w:type="dxa"/>
                  <w:tcBorders>
                    <w:tl2br w:val="nil"/>
                    <w:tr2bl w:val="nil"/>
                  </w:tcBorders>
                  <w:noWrap w:val="0"/>
                  <w:vAlign w:val="center"/>
                </w:tcPr>
                <w:p w14:paraId="0C3FD60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1.5H</w:t>
                  </w:r>
                </w:p>
              </w:tc>
              <w:tc>
                <w:tcPr>
                  <w:tcW w:w="1020" w:type="dxa"/>
                  <w:tcBorders>
                    <w:tl2br w:val="nil"/>
                    <w:tr2bl w:val="nil"/>
                  </w:tcBorders>
                  <w:noWrap w:val="0"/>
                  <w:vAlign w:val="center"/>
                </w:tcPr>
                <w:p w14:paraId="5324E04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1.0H</w:t>
                  </w:r>
                </w:p>
              </w:tc>
              <w:tc>
                <w:tcPr>
                  <w:tcW w:w="888" w:type="dxa"/>
                  <w:tcBorders>
                    <w:tl2br w:val="nil"/>
                    <w:tr2bl w:val="nil"/>
                  </w:tcBorders>
                  <w:noWrap w:val="0"/>
                  <w:vAlign w:val="center"/>
                </w:tcPr>
                <w:p w14:paraId="5A69A68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0C057B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57" w:type="dxa"/>
                  <w:vMerge w:val="continue"/>
                  <w:tcBorders>
                    <w:tl2br w:val="nil"/>
                    <w:tr2bl w:val="nil"/>
                  </w:tcBorders>
                  <w:noWrap w:val="0"/>
                  <w:vAlign w:val="center"/>
                </w:tcPr>
                <w:p w14:paraId="5782C47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8"/>
                      <w:sz w:val="21"/>
                      <w:szCs w:val="21"/>
                    </w:rPr>
                  </w:pPr>
                </w:p>
              </w:tc>
              <w:tc>
                <w:tcPr>
                  <w:tcW w:w="776" w:type="dxa"/>
                  <w:gridSpan w:val="2"/>
                  <w:vMerge w:val="continue"/>
                  <w:tcBorders>
                    <w:tl2br w:val="nil"/>
                    <w:tr2bl w:val="nil"/>
                  </w:tcBorders>
                  <w:noWrap w:val="0"/>
                  <w:vAlign w:val="center"/>
                </w:tcPr>
                <w:p w14:paraId="35ECF11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8"/>
                      <w:sz w:val="21"/>
                      <w:szCs w:val="21"/>
                    </w:rPr>
                  </w:pPr>
                </w:p>
              </w:tc>
              <w:tc>
                <w:tcPr>
                  <w:tcW w:w="930" w:type="dxa"/>
                  <w:tcBorders>
                    <w:tl2br w:val="nil"/>
                    <w:tr2bl w:val="nil"/>
                  </w:tcBorders>
                  <w:noWrap w:val="0"/>
                  <w:vAlign w:val="center"/>
                </w:tcPr>
                <w:p w14:paraId="63E0ADD5">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2CE45B0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51.97（40.05）</w:t>
                  </w:r>
                </w:p>
              </w:tc>
              <w:tc>
                <w:tcPr>
                  <w:tcW w:w="1019" w:type="dxa"/>
                  <w:tcBorders>
                    <w:tl2br w:val="nil"/>
                    <w:tr2bl w:val="nil"/>
                  </w:tcBorders>
                  <w:noWrap w:val="0"/>
                  <w:vAlign w:val="center"/>
                </w:tcPr>
                <w:p w14:paraId="693D42F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37.02（37.74）</w:t>
                  </w:r>
                </w:p>
              </w:tc>
              <w:tc>
                <w:tcPr>
                  <w:tcW w:w="1019" w:type="dxa"/>
                  <w:tcBorders>
                    <w:tl2br w:val="nil"/>
                    <w:tr2bl w:val="nil"/>
                  </w:tcBorders>
                  <w:noWrap w:val="0"/>
                  <w:vAlign w:val="center"/>
                </w:tcPr>
                <w:p w14:paraId="03E8998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51.36</w:t>
                  </w:r>
                </w:p>
              </w:tc>
              <w:tc>
                <w:tcPr>
                  <w:tcW w:w="1020" w:type="dxa"/>
                  <w:tcBorders>
                    <w:tl2br w:val="nil"/>
                    <w:tr2bl w:val="nil"/>
                  </w:tcBorders>
                  <w:noWrap w:val="0"/>
                  <w:vAlign w:val="center"/>
                </w:tcPr>
                <w:p w14:paraId="2853CC7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＞46.44</w:t>
                  </w:r>
                </w:p>
              </w:tc>
              <w:tc>
                <w:tcPr>
                  <w:tcW w:w="888" w:type="dxa"/>
                  <w:tcBorders>
                    <w:tl2br w:val="nil"/>
                    <w:tr2bl w:val="nil"/>
                  </w:tcBorders>
                  <w:noWrap w:val="0"/>
                  <w:vAlign w:val="center"/>
                </w:tcPr>
                <w:p w14:paraId="2E57D2A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7F7E514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57" w:type="dxa"/>
                  <w:vMerge w:val="continue"/>
                  <w:tcBorders>
                    <w:tl2br w:val="nil"/>
                    <w:tr2bl w:val="nil"/>
                  </w:tcBorders>
                  <w:noWrap w:val="0"/>
                  <w:vAlign w:val="center"/>
                </w:tcPr>
                <w:p w14:paraId="2C7CB08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8"/>
                      <w:sz w:val="21"/>
                      <w:szCs w:val="21"/>
                      <w:lang w:val="en-US" w:eastAsia="zh-CN"/>
                    </w:rPr>
                  </w:pPr>
                </w:p>
              </w:tc>
              <w:tc>
                <w:tcPr>
                  <w:tcW w:w="776" w:type="dxa"/>
                  <w:gridSpan w:val="2"/>
                  <w:vMerge w:val="restart"/>
                  <w:tcBorders>
                    <w:tl2br w:val="nil"/>
                    <w:tr2bl w:val="nil"/>
                  </w:tcBorders>
                  <w:noWrap w:val="0"/>
                  <w:vAlign w:val="center"/>
                </w:tcPr>
                <w:p w14:paraId="6AC5060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8"/>
                      <w:sz w:val="21"/>
                      <w:szCs w:val="21"/>
                      <w:lang w:val="en-US" w:eastAsia="zh-CN"/>
                    </w:rPr>
                  </w:pPr>
                  <w:r>
                    <w:rPr>
                      <w:rFonts w:hint="default" w:ascii="Times New Roman" w:hAnsi="Times New Roman" w:eastAsia="仿宋_GB2312" w:cs="Times New Roman"/>
                      <w:color w:val="auto"/>
                      <w:spacing w:val="8"/>
                      <w:sz w:val="21"/>
                      <w:szCs w:val="21"/>
                    </w:rPr>
                    <w:t>有绝缘层</w:t>
                  </w:r>
                </w:p>
              </w:tc>
              <w:tc>
                <w:tcPr>
                  <w:tcW w:w="930" w:type="dxa"/>
                  <w:tcBorders>
                    <w:tl2br w:val="nil"/>
                    <w:tr2bl w:val="nil"/>
                  </w:tcBorders>
                  <w:noWrap w:val="0"/>
                  <w:vAlign w:val="center"/>
                </w:tcPr>
                <w:p w14:paraId="1848B53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标准</w:t>
                  </w:r>
                </w:p>
              </w:tc>
              <w:tc>
                <w:tcPr>
                  <w:tcW w:w="1019" w:type="dxa"/>
                  <w:tcBorders>
                    <w:tl2br w:val="nil"/>
                    <w:tr2bl w:val="nil"/>
                  </w:tcBorders>
                  <w:noWrap w:val="0"/>
                  <w:vAlign w:val="center"/>
                </w:tcPr>
                <w:p w14:paraId="6A72C0B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1.0（0.5）H，且≥5m</w:t>
                  </w:r>
                </w:p>
              </w:tc>
              <w:tc>
                <w:tcPr>
                  <w:tcW w:w="1019" w:type="dxa"/>
                  <w:tcBorders>
                    <w:tl2br w:val="nil"/>
                    <w:tr2bl w:val="nil"/>
                  </w:tcBorders>
                  <w:noWrap w:val="0"/>
                  <w:vAlign w:val="center"/>
                </w:tcPr>
                <w:p w14:paraId="331E67A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5（5）</w:t>
                  </w:r>
                </w:p>
              </w:tc>
              <w:tc>
                <w:tcPr>
                  <w:tcW w:w="1019" w:type="dxa"/>
                  <w:tcBorders>
                    <w:tl2br w:val="nil"/>
                    <w:tr2bl w:val="nil"/>
                  </w:tcBorders>
                  <w:noWrap w:val="0"/>
                  <w:vAlign w:val="center"/>
                </w:tcPr>
                <w:p w14:paraId="5BE40F0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1.5H</w:t>
                  </w:r>
                </w:p>
              </w:tc>
              <w:tc>
                <w:tcPr>
                  <w:tcW w:w="1020" w:type="dxa"/>
                  <w:tcBorders>
                    <w:tl2br w:val="nil"/>
                    <w:tr2bl w:val="nil"/>
                  </w:tcBorders>
                  <w:noWrap w:val="0"/>
                  <w:vAlign w:val="center"/>
                </w:tcPr>
                <w:p w14:paraId="1D9D375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0.75H</w:t>
                  </w:r>
                </w:p>
              </w:tc>
              <w:tc>
                <w:tcPr>
                  <w:tcW w:w="888" w:type="dxa"/>
                  <w:tcBorders>
                    <w:tl2br w:val="nil"/>
                    <w:tr2bl w:val="nil"/>
                  </w:tcBorders>
                  <w:noWrap w:val="0"/>
                  <w:vAlign w:val="center"/>
                </w:tcPr>
                <w:p w14:paraId="17E49D6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247A39A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57" w:type="dxa"/>
                  <w:vMerge w:val="continue"/>
                  <w:tcBorders>
                    <w:tl2br w:val="nil"/>
                    <w:tr2bl w:val="nil"/>
                  </w:tcBorders>
                  <w:noWrap w:val="0"/>
                  <w:vAlign w:val="center"/>
                </w:tcPr>
                <w:p w14:paraId="2B6BB35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776" w:type="dxa"/>
                  <w:gridSpan w:val="2"/>
                  <w:vMerge w:val="continue"/>
                  <w:tcBorders>
                    <w:tl2br w:val="nil"/>
                    <w:tr2bl w:val="nil"/>
                  </w:tcBorders>
                  <w:noWrap w:val="0"/>
                  <w:vAlign w:val="center"/>
                </w:tcPr>
                <w:p w14:paraId="2D2D900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930" w:type="dxa"/>
                  <w:tcBorders>
                    <w:tl2br w:val="nil"/>
                    <w:tr2bl w:val="nil"/>
                  </w:tcBorders>
                  <w:noWrap w:val="0"/>
                  <w:vAlign w:val="center"/>
                </w:tcPr>
                <w:p w14:paraId="42354444">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本项目</w:t>
                  </w:r>
                </w:p>
              </w:tc>
              <w:tc>
                <w:tcPr>
                  <w:tcW w:w="1019" w:type="dxa"/>
                  <w:tcBorders>
                    <w:tl2br w:val="nil"/>
                    <w:tr2bl w:val="nil"/>
                  </w:tcBorders>
                  <w:noWrap w:val="0"/>
                  <w:vAlign w:val="center"/>
                </w:tcPr>
                <w:p w14:paraId="7568AF1A">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364917D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19" w:type="dxa"/>
                  <w:tcBorders>
                    <w:tl2br w:val="nil"/>
                    <w:tr2bl w:val="nil"/>
                  </w:tcBorders>
                  <w:noWrap w:val="0"/>
                  <w:vAlign w:val="center"/>
                </w:tcPr>
                <w:p w14:paraId="3E42828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1020" w:type="dxa"/>
                  <w:tcBorders>
                    <w:tl2br w:val="nil"/>
                    <w:tr2bl w:val="nil"/>
                  </w:tcBorders>
                  <w:noWrap w:val="0"/>
                  <w:vAlign w:val="center"/>
                </w:tcPr>
                <w:p w14:paraId="06D2388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不涉及</w:t>
                  </w:r>
                </w:p>
              </w:tc>
              <w:tc>
                <w:tcPr>
                  <w:tcW w:w="888" w:type="dxa"/>
                  <w:tcBorders>
                    <w:tl2br w:val="nil"/>
                    <w:tr2bl w:val="nil"/>
                  </w:tcBorders>
                  <w:noWrap w:val="0"/>
                  <w:vAlign w:val="center"/>
                </w:tcPr>
                <w:p w14:paraId="4E14236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bl>
          <w:p w14:paraId="29483589">
            <w:pPr>
              <w:pStyle w:val="49"/>
              <w:keepNext w:val="0"/>
              <w:keepLines w:val="0"/>
              <w:pageBreakBefore w:val="0"/>
              <w:widowControl/>
              <w:kinsoku/>
              <w:wordWrap/>
              <w:overflowPunct/>
              <w:topLinePunct w:val="0"/>
              <w:autoSpaceDE/>
              <w:autoSpaceDN/>
              <w:bidi w:val="0"/>
              <w:adjustRightInd w:val="0"/>
              <w:snapToGrid/>
              <w:spacing w:before="157" w:beforeLines="50" w:line="240" w:lineRule="auto"/>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表1-7 站内设施设备之间的防火距离（m）</w:t>
            </w:r>
          </w:p>
          <w:tbl>
            <w:tblPr>
              <w:tblStyle w:val="20"/>
              <w:tblW w:w="7938"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979"/>
              <w:gridCol w:w="1826"/>
              <w:gridCol w:w="1827"/>
              <w:gridCol w:w="1306"/>
            </w:tblGrid>
            <w:tr w14:paraId="1731E51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vMerge w:val="restart"/>
                  <w:tcBorders>
                    <w:tl2br w:val="nil"/>
                    <w:tr2bl w:val="nil"/>
                  </w:tcBorders>
                  <w:vAlign w:val="center"/>
                </w:tcPr>
                <w:p w14:paraId="0C19778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项目</w:t>
                  </w:r>
                </w:p>
              </w:tc>
              <w:tc>
                <w:tcPr>
                  <w:tcW w:w="3653" w:type="dxa"/>
                  <w:gridSpan w:val="2"/>
                  <w:tcBorders>
                    <w:tl2br w:val="nil"/>
                    <w:tr2bl w:val="nil"/>
                  </w:tcBorders>
                  <w:vAlign w:val="center"/>
                </w:tcPr>
                <w:p w14:paraId="68D2BAB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距离（m）</w:t>
                  </w:r>
                </w:p>
              </w:tc>
              <w:tc>
                <w:tcPr>
                  <w:tcW w:w="1306" w:type="dxa"/>
                  <w:vMerge w:val="restart"/>
                  <w:tcBorders>
                    <w:tl2br w:val="nil"/>
                    <w:tr2bl w:val="nil"/>
                  </w:tcBorders>
                  <w:vAlign w:val="center"/>
                </w:tcPr>
                <w:p w14:paraId="62B7FFE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结果判定</w:t>
                  </w:r>
                </w:p>
              </w:tc>
            </w:tr>
            <w:tr w14:paraId="30E9E7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vMerge w:val="continue"/>
                  <w:tcBorders>
                    <w:tl2br w:val="nil"/>
                    <w:tr2bl w:val="nil"/>
                  </w:tcBorders>
                  <w:vAlign w:val="center"/>
                </w:tcPr>
                <w:p w14:paraId="66A47C4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826" w:type="dxa"/>
                  <w:tcBorders>
                    <w:tl2br w:val="nil"/>
                    <w:tr2bl w:val="nil"/>
                  </w:tcBorders>
                  <w:vAlign w:val="center"/>
                </w:tcPr>
                <w:p w14:paraId="4713EE2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标准值</w:t>
                  </w:r>
                </w:p>
              </w:tc>
              <w:tc>
                <w:tcPr>
                  <w:tcW w:w="1827" w:type="dxa"/>
                  <w:tcBorders>
                    <w:tl2br w:val="nil"/>
                    <w:tr2bl w:val="nil"/>
                  </w:tcBorders>
                  <w:vAlign w:val="center"/>
                </w:tcPr>
                <w:p w14:paraId="03DE287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设计值</w:t>
                  </w:r>
                </w:p>
              </w:tc>
              <w:tc>
                <w:tcPr>
                  <w:tcW w:w="1306" w:type="dxa"/>
                  <w:vMerge w:val="continue"/>
                  <w:tcBorders>
                    <w:tl2br w:val="nil"/>
                    <w:tr2bl w:val="nil"/>
                  </w:tcBorders>
                  <w:vAlign w:val="center"/>
                </w:tcPr>
                <w:p w14:paraId="4EDF886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7B893B9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086CBA00">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汽油罐-柴油罐</w:t>
                  </w:r>
                </w:p>
              </w:tc>
              <w:tc>
                <w:tcPr>
                  <w:tcW w:w="1826" w:type="dxa"/>
                  <w:tcBorders>
                    <w:tl2br w:val="nil"/>
                    <w:tr2bl w:val="nil"/>
                  </w:tcBorders>
                  <w:vAlign w:val="center"/>
                </w:tcPr>
                <w:p w14:paraId="31D2DC6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0.5</w:t>
                  </w:r>
                </w:p>
              </w:tc>
              <w:tc>
                <w:tcPr>
                  <w:tcW w:w="1827" w:type="dxa"/>
                  <w:tcBorders>
                    <w:tl2br w:val="nil"/>
                    <w:tr2bl w:val="nil"/>
                  </w:tcBorders>
                  <w:vAlign w:val="center"/>
                </w:tcPr>
                <w:p w14:paraId="4B40662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0.90</w:t>
                  </w:r>
                </w:p>
              </w:tc>
              <w:tc>
                <w:tcPr>
                  <w:tcW w:w="1306" w:type="dxa"/>
                  <w:tcBorders>
                    <w:tl2br w:val="nil"/>
                    <w:tr2bl w:val="nil"/>
                  </w:tcBorders>
                  <w:vAlign w:val="center"/>
                </w:tcPr>
                <w:p w14:paraId="0F2B85E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2BC05B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29E5CFD0">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汽油罐-汽油罐</w:t>
                  </w:r>
                </w:p>
              </w:tc>
              <w:tc>
                <w:tcPr>
                  <w:tcW w:w="1826" w:type="dxa"/>
                  <w:tcBorders>
                    <w:tl2br w:val="nil"/>
                    <w:tr2bl w:val="nil"/>
                  </w:tcBorders>
                  <w:vAlign w:val="center"/>
                </w:tcPr>
                <w:p w14:paraId="4E720BF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0.5</w:t>
                  </w:r>
                </w:p>
              </w:tc>
              <w:tc>
                <w:tcPr>
                  <w:tcW w:w="1827" w:type="dxa"/>
                  <w:tcBorders>
                    <w:tl2br w:val="nil"/>
                    <w:tr2bl w:val="nil"/>
                  </w:tcBorders>
                  <w:vAlign w:val="center"/>
                </w:tcPr>
                <w:p w14:paraId="5928321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0.90</w:t>
                  </w:r>
                </w:p>
              </w:tc>
              <w:tc>
                <w:tcPr>
                  <w:tcW w:w="1306" w:type="dxa"/>
                  <w:tcBorders>
                    <w:tl2br w:val="nil"/>
                    <w:tr2bl w:val="nil"/>
                  </w:tcBorders>
                  <w:vAlign w:val="center"/>
                </w:tcPr>
                <w:p w14:paraId="5C52EC3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43DDF36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1D7580E5">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汽油罐-站房</w:t>
                  </w:r>
                </w:p>
              </w:tc>
              <w:tc>
                <w:tcPr>
                  <w:tcW w:w="1826" w:type="dxa"/>
                  <w:tcBorders>
                    <w:tl2br w:val="nil"/>
                    <w:tr2bl w:val="nil"/>
                  </w:tcBorders>
                  <w:vAlign w:val="center"/>
                </w:tcPr>
                <w:p w14:paraId="00D906F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1827" w:type="dxa"/>
                  <w:tcBorders>
                    <w:tl2br w:val="nil"/>
                    <w:tr2bl w:val="nil"/>
                  </w:tcBorders>
                  <w:vAlign w:val="center"/>
                </w:tcPr>
                <w:p w14:paraId="2206D37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10.9</w:t>
                  </w:r>
                </w:p>
              </w:tc>
              <w:tc>
                <w:tcPr>
                  <w:tcW w:w="1306" w:type="dxa"/>
                  <w:tcBorders>
                    <w:tl2br w:val="nil"/>
                    <w:tr2bl w:val="nil"/>
                  </w:tcBorders>
                  <w:vAlign w:val="center"/>
                </w:tcPr>
                <w:p w14:paraId="088939E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25B775F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21B069A0">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柴油罐-站房</w:t>
                  </w:r>
                </w:p>
              </w:tc>
              <w:tc>
                <w:tcPr>
                  <w:tcW w:w="1826" w:type="dxa"/>
                  <w:tcBorders>
                    <w:tl2br w:val="nil"/>
                    <w:tr2bl w:val="nil"/>
                  </w:tcBorders>
                  <w:vAlign w:val="center"/>
                </w:tcPr>
                <w:p w14:paraId="6FB4DE2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w:t>
                  </w:r>
                </w:p>
              </w:tc>
              <w:tc>
                <w:tcPr>
                  <w:tcW w:w="1827" w:type="dxa"/>
                  <w:tcBorders>
                    <w:tl2br w:val="nil"/>
                    <w:tr2bl w:val="nil"/>
                  </w:tcBorders>
                  <w:vAlign w:val="center"/>
                </w:tcPr>
                <w:p w14:paraId="10D9F53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22.85</w:t>
                  </w:r>
                </w:p>
              </w:tc>
              <w:tc>
                <w:tcPr>
                  <w:tcW w:w="1306" w:type="dxa"/>
                  <w:tcBorders>
                    <w:tl2br w:val="nil"/>
                    <w:tr2bl w:val="nil"/>
                  </w:tcBorders>
                  <w:vAlign w:val="center"/>
                </w:tcPr>
                <w:p w14:paraId="33C3605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2B57E87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7D5C8ED7">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汽油罐-站区围墙</w:t>
                  </w:r>
                </w:p>
              </w:tc>
              <w:tc>
                <w:tcPr>
                  <w:tcW w:w="1826" w:type="dxa"/>
                  <w:tcBorders>
                    <w:tl2br w:val="nil"/>
                    <w:tr2bl w:val="nil"/>
                  </w:tcBorders>
                  <w:vAlign w:val="center"/>
                </w:tcPr>
                <w:p w14:paraId="1CD961E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w:t>
                  </w:r>
                </w:p>
              </w:tc>
              <w:tc>
                <w:tcPr>
                  <w:tcW w:w="1827" w:type="dxa"/>
                  <w:tcBorders>
                    <w:tl2br w:val="nil"/>
                    <w:tr2bl w:val="nil"/>
                  </w:tcBorders>
                  <w:vAlign w:val="center"/>
                </w:tcPr>
                <w:p w14:paraId="60EAE3D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35.38</w:t>
                  </w:r>
                </w:p>
              </w:tc>
              <w:tc>
                <w:tcPr>
                  <w:tcW w:w="1306" w:type="dxa"/>
                  <w:tcBorders>
                    <w:tl2br w:val="nil"/>
                    <w:tr2bl w:val="nil"/>
                  </w:tcBorders>
                  <w:vAlign w:val="center"/>
                </w:tcPr>
                <w:p w14:paraId="42E782A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59729F7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52640B45">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柴油罐-站区围墙</w:t>
                  </w:r>
                </w:p>
              </w:tc>
              <w:tc>
                <w:tcPr>
                  <w:tcW w:w="1826" w:type="dxa"/>
                  <w:tcBorders>
                    <w:tl2br w:val="nil"/>
                    <w:tr2bl w:val="nil"/>
                  </w:tcBorders>
                  <w:vAlign w:val="center"/>
                </w:tcPr>
                <w:p w14:paraId="4BCCA0C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w:t>
                  </w:r>
                </w:p>
              </w:tc>
              <w:tc>
                <w:tcPr>
                  <w:tcW w:w="1827" w:type="dxa"/>
                  <w:tcBorders>
                    <w:tl2br w:val="nil"/>
                    <w:tr2bl w:val="nil"/>
                  </w:tcBorders>
                  <w:vAlign w:val="center"/>
                </w:tcPr>
                <w:p w14:paraId="15CB481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38.53</w:t>
                  </w:r>
                </w:p>
              </w:tc>
              <w:tc>
                <w:tcPr>
                  <w:tcW w:w="1306" w:type="dxa"/>
                  <w:tcBorders>
                    <w:tl2br w:val="nil"/>
                    <w:tr2bl w:val="nil"/>
                  </w:tcBorders>
                  <w:vAlign w:val="center"/>
                </w:tcPr>
                <w:p w14:paraId="156D386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7F6BF10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524C631D">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加油机-站房</w:t>
                  </w:r>
                </w:p>
              </w:tc>
              <w:tc>
                <w:tcPr>
                  <w:tcW w:w="1826" w:type="dxa"/>
                  <w:tcBorders>
                    <w:tl2br w:val="nil"/>
                    <w:tr2bl w:val="nil"/>
                  </w:tcBorders>
                  <w:vAlign w:val="center"/>
                </w:tcPr>
                <w:p w14:paraId="77663D6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1827" w:type="dxa"/>
                  <w:tcBorders>
                    <w:tl2br w:val="nil"/>
                    <w:tr2bl w:val="nil"/>
                  </w:tcBorders>
                  <w:vAlign w:val="center"/>
                </w:tcPr>
                <w:p w14:paraId="4549BE4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7.9</w:t>
                  </w:r>
                </w:p>
              </w:tc>
              <w:tc>
                <w:tcPr>
                  <w:tcW w:w="1306" w:type="dxa"/>
                  <w:tcBorders>
                    <w:tl2br w:val="nil"/>
                    <w:tr2bl w:val="nil"/>
                  </w:tcBorders>
                  <w:vAlign w:val="center"/>
                </w:tcPr>
                <w:p w14:paraId="5413A31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3905470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41294496">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汽油通气管口-卸车点</w:t>
                  </w:r>
                </w:p>
              </w:tc>
              <w:tc>
                <w:tcPr>
                  <w:tcW w:w="1826" w:type="dxa"/>
                  <w:tcBorders>
                    <w:tl2br w:val="nil"/>
                    <w:tr2bl w:val="nil"/>
                  </w:tcBorders>
                  <w:vAlign w:val="center"/>
                </w:tcPr>
                <w:p w14:paraId="6B2C3E4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w:t>
                  </w:r>
                </w:p>
              </w:tc>
              <w:tc>
                <w:tcPr>
                  <w:tcW w:w="1827" w:type="dxa"/>
                  <w:tcBorders>
                    <w:tl2br w:val="nil"/>
                    <w:tr2bl w:val="nil"/>
                  </w:tcBorders>
                  <w:vAlign w:val="center"/>
                </w:tcPr>
                <w:p w14:paraId="5CBEC22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10.56</w:t>
                  </w:r>
                </w:p>
              </w:tc>
              <w:tc>
                <w:tcPr>
                  <w:tcW w:w="1306" w:type="dxa"/>
                  <w:tcBorders>
                    <w:tl2br w:val="nil"/>
                    <w:tr2bl w:val="nil"/>
                  </w:tcBorders>
                  <w:vAlign w:val="center"/>
                </w:tcPr>
                <w:p w14:paraId="2BCB203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42F7AC5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090B629F">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柴油通气管口-卸车点</w:t>
                  </w:r>
                </w:p>
              </w:tc>
              <w:tc>
                <w:tcPr>
                  <w:tcW w:w="1826" w:type="dxa"/>
                  <w:tcBorders>
                    <w:tl2br w:val="nil"/>
                    <w:tr2bl w:val="nil"/>
                  </w:tcBorders>
                  <w:vAlign w:val="center"/>
                </w:tcPr>
                <w:p w14:paraId="313E106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w:t>
                  </w:r>
                </w:p>
              </w:tc>
              <w:tc>
                <w:tcPr>
                  <w:tcW w:w="1827" w:type="dxa"/>
                  <w:tcBorders>
                    <w:tl2br w:val="nil"/>
                    <w:tr2bl w:val="nil"/>
                  </w:tcBorders>
                  <w:vAlign w:val="center"/>
                </w:tcPr>
                <w:p w14:paraId="6986F1C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10.56</w:t>
                  </w:r>
                </w:p>
              </w:tc>
              <w:tc>
                <w:tcPr>
                  <w:tcW w:w="1306" w:type="dxa"/>
                  <w:tcBorders>
                    <w:tl2br w:val="nil"/>
                    <w:tr2bl w:val="nil"/>
                  </w:tcBorders>
                  <w:vAlign w:val="center"/>
                </w:tcPr>
                <w:p w14:paraId="3EEE67B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5C7B0BA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2FB5D354">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汽油通气管口-站房</w:t>
                  </w:r>
                </w:p>
              </w:tc>
              <w:tc>
                <w:tcPr>
                  <w:tcW w:w="1826" w:type="dxa"/>
                  <w:tcBorders>
                    <w:tl2br w:val="nil"/>
                    <w:tr2bl w:val="nil"/>
                  </w:tcBorders>
                  <w:vAlign w:val="center"/>
                </w:tcPr>
                <w:p w14:paraId="1F870EF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w:t>
                  </w:r>
                </w:p>
              </w:tc>
              <w:tc>
                <w:tcPr>
                  <w:tcW w:w="1827" w:type="dxa"/>
                  <w:tcBorders>
                    <w:tl2br w:val="nil"/>
                    <w:tr2bl w:val="nil"/>
                  </w:tcBorders>
                  <w:vAlign w:val="center"/>
                </w:tcPr>
                <w:p w14:paraId="57EF723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19.9</w:t>
                  </w:r>
                </w:p>
              </w:tc>
              <w:tc>
                <w:tcPr>
                  <w:tcW w:w="1306" w:type="dxa"/>
                  <w:tcBorders>
                    <w:tl2br w:val="nil"/>
                    <w:tr2bl w:val="nil"/>
                  </w:tcBorders>
                  <w:vAlign w:val="center"/>
                </w:tcPr>
                <w:p w14:paraId="326F9A6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728A5AB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5717E988">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柴油通气管口-站房</w:t>
                  </w:r>
                </w:p>
              </w:tc>
              <w:tc>
                <w:tcPr>
                  <w:tcW w:w="1826" w:type="dxa"/>
                  <w:tcBorders>
                    <w:tl2br w:val="nil"/>
                    <w:tr2bl w:val="nil"/>
                  </w:tcBorders>
                  <w:vAlign w:val="center"/>
                </w:tcPr>
                <w:p w14:paraId="5D75810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3.5</w:t>
                  </w:r>
                </w:p>
              </w:tc>
              <w:tc>
                <w:tcPr>
                  <w:tcW w:w="1827" w:type="dxa"/>
                  <w:tcBorders>
                    <w:tl2br w:val="nil"/>
                    <w:tr2bl w:val="nil"/>
                  </w:tcBorders>
                  <w:vAlign w:val="center"/>
                </w:tcPr>
                <w:p w14:paraId="402983B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19.9</w:t>
                  </w:r>
                </w:p>
              </w:tc>
              <w:tc>
                <w:tcPr>
                  <w:tcW w:w="1306" w:type="dxa"/>
                  <w:tcBorders>
                    <w:tl2br w:val="nil"/>
                    <w:tr2bl w:val="nil"/>
                  </w:tcBorders>
                  <w:vAlign w:val="center"/>
                </w:tcPr>
                <w:p w14:paraId="2AD78B9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0FCED04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15B12468">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汽油通气管口-围墙</w:t>
                  </w:r>
                </w:p>
              </w:tc>
              <w:tc>
                <w:tcPr>
                  <w:tcW w:w="1826" w:type="dxa"/>
                  <w:tcBorders>
                    <w:tl2br w:val="nil"/>
                    <w:tr2bl w:val="nil"/>
                  </w:tcBorders>
                  <w:vAlign w:val="center"/>
                </w:tcPr>
                <w:p w14:paraId="145AED4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w:t>
                  </w:r>
                </w:p>
              </w:tc>
              <w:tc>
                <w:tcPr>
                  <w:tcW w:w="1827" w:type="dxa"/>
                  <w:tcBorders>
                    <w:tl2br w:val="nil"/>
                    <w:tr2bl w:val="nil"/>
                  </w:tcBorders>
                  <w:vAlign w:val="center"/>
                </w:tcPr>
                <w:p w14:paraId="410C87B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39.2</w:t>
                  </w:r>
                </w:p>
              </w:tc>
              <w:tc>
                <w:tcPr>
                  <w:tcW w:w="1306" w:type="dxa"/>
                  <w:tcBorders>
                    <w:tl2br w:val="nil"/>
                    <w:tr2bl w:val="nil"/>
                  </w:tcBorders>
                  <w:vAlign w:val="center"/>
                </w:tcPr>
                <w:p w14:paraId="442C7FE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60324F2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1C2DBF70">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柴油通气管口-围墙</w:t>
                  </w:r>
                </w:p>
              </w:tc>
              <w:tc>
                <w:tcPr>
                  <w:tcW w:w="1826" w:type="dxa"/>
                  <w:tcBorders>
                    <w:tl2br w:val="nil"/>
                    <w:tr2bl w:val="nil"/>
                  </w:tcBorders>
                  <w:vAlign w:val="center"/>
                </w:tcPr>
                <w:p w14:paraId="618588C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w:t>
                  </w:r>
                </w:p>
              </w:tc>
              <w:tc>
                <w:tcPr>
                  <w:tcW w:w="1827" w:type="dxa"/>
                  <w:tcBorders>
                    <w:tl2br w:val="nil"/>
                    <w:tr2bl w:val="nil"/>
                  </w:tcBorders>
                  <w:vAlign w:val="center"/>
                </w:tcPr>
                <w:p w14:paraId="0F2C93B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39.2</w:t>
                  </w:r>
                </w:p>
              </w:tc>
              <w:tc>
                <w:tcPr>
                  <w:tcW w:w="1306" w:type="dxa"/>
                  <w:tcBorders>
                    <w:tl2br w:val="nil"/>
                    <w:tr2bl w:val="nil"/>
                  </w:tcBorders>
                  <w:vAlign w:val="center"/>
                </w:tcPr>
                <w:p w14:paraId="01EF41B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015AD55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3E71D542">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汽油罐操作井-箱变</w:t>
                  </w:r>
                </w:p>
              </w:tc>
              <w:tc>
                <w:tcPr>
                  <w:tcW w:w="1826" w:type="dxa"/>
                  <w:tcBorders>
                    <w:tl2br w:val="nil"/>
                    <w:tr2bl w:val="nil"/>
                  </w:tcBorders>
                  <w:vAlign w:val="center"/>
                </w:tcPr>
                <w:p w14:paraId="2D7D82D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11</w:t>
                  </w:r>
                </w:p>
              </w:tc>
              <w:tc>
                <w:tcPr>
                  <w:tcW w:w="1827" w:type="dxa"/>
                  <w:tcBorders>
                    <w:tl2br w:val="nil"/>
                    <w:tr2bl w:val="nil"/>
                  </w:tcBorders>
                  <w:vAlign w:val="center"/>
                </w:tcPr>
                <w:p w14:paraId="56F9952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48.6</w:t>
                  </w:r>
                </w:p>
              </w:tc>
              <w:tc>
                <w:tcPr>
                  <w:tcW w:w="1306" w:type="dxa"/>
                  <w:tcBorders>
                    <w:tl2br w:val="nil"/>
                    <w:tr2bl w:val="nil"/>
                  </w:tcBorders>
                  <w:vAlign w:val="center"/>
                </w:tcPr>
                <w:p w14:paraId="41B4C05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7B3102C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438636F6">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汽油通气管-箱变</w:t>
                  </w:r>
                </w:p>
              </w:tc>
              <w:tc>
                <w:tcPr>
                  <w:tcW w:w="1826" w:type="dxa"/>
                  <w:tcBorders>
                    <w:tl2br w:val="nil"/>
                    <w:tr2bl w:val="nil"/>
                  </w:tcBorders>
                  <w:vAlign w:val="center"/>
                </w:tcPr>
                <w:p w14:paraId="6BB0C76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7.0</w:t>
                  </w:r>
                </w:p>
              </w:tc>
              <w:tc>
                <w:tcPr>
                  <w:tcW w:w="1827" w:type="dxa"/>
                  <w:tcBorders>
                    <w:tl2br w:val="nil"/>
                    <w:tr2bl w:val="nil"/>
                  </w:tcBorders>
                  <w:vAlign w:val="center"/>
                </w:tcPr>
                <w:p w14:paraId="142803E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w:t>
                  </w:r>
                </w:p>
              </w:tc>
              <w:tc>
                <w:tcPr>
                  <w:tcW w:w="1306" w:type="dxa"/>
                  <w:tcBorders>
                    <w:tl2br w:val="nil"/>
                    <w:tr2bl w:val="nil"/>
                  </w:tcBorders>
                  <w:vAlign w:val="center"/>
                </w:tcPr>
                <w:p w14:paraId="49D5174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085C823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2A9A5A10">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汽油加油机-箱变</w:t>
                  </w:r>
                </w:p>
              </w:tc>
              <w:tc>
                <w:tcPr>
                  <w:tcW w:w="1826" w:type="dxa"/>
                  <w:tcBorders>
                    <w:tl2br w:val="nil"/>
                    <w:tr2bl w:val="nil"/>
                  </w:tcBorders>
                  <w:vAlign w:val="center"/>
                </w:tcPr>
                <w:p w14:paraId="50352DA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7.0</w:t>
                  </w:r>
                </w:p>
              </w:tc>
              <w:tc>
                <w:tcPr>
                  <w:tcW w:w="1827" w:type="dxa"/>
                  <w:tcBorders>
                    <w:tl2br w:val="nil"/>
                    <w:tr2bl w:val="nil"/>
                  </w:tcBorders>
                  <w:vAlign w:val="center"/>
                </w:tcPr>
                <w:p w14:paraId="34C9A87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40.81</w:t>
                  </w:r>
                </w:p>
              </w:tc>
              <w:tc>
                <w:tcPr>
                  <w:tcW w:w="1306" w:type="dxa"/>
                  <w:tcBorders>
                    <w:tl2br w:val="nil"/>
                    <w:tr2bl w:val="nil"/>
                  </w:tcBorders>
                  <w:vAlign w:val="center"/>
                </w:tcPr>
                <w:p w14:paraId="658943B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0CB1FA4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2D10D17C">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卸油口-站房</w:t>
                  </w:r>
                </w:p>
              </w:tc>
              <w:tc>
                <w:tcPr>
                  <w:tcW w:w="1826" w:type="dxa"/>
                  <w:tcBorders>
                    <w:tl2br w:val="nil"/>
                    <w:tr2bl w:val="nil"/>
                  </w:tcBorders>
                  <w:vAlign w:val="center"/>
                </w:tcPr>
                <w:p w14:paraId="7BF6E3E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w:t>
                  </w:r>
                </w:p>
              </w:tc>
              <w:tc>
                <w:tcPr>
                  <w:tcW w:w="1827" w:type="dxa"/>
                  <w:tcBorders>
                    <w:tl2br w:val="nil"/>
                    <w:tr2bl w:val="nil"/>
                  </w:tcBorders>
                  <w:vAlign w:val="center"/>
                </w:tcPr>
                <w:p w14:paraId="2C35015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41.50</w:t>
                  </w:r>
                </w:p>
              </w:tc>
              <w:tc>
                <w:tcPr>
                  <w:tcW w:w="1306" w:type="dxa"/>
                  <w:tcBorders>
                    <w:tl2br w:val="nil"/>
                    <w:tr2bl w:val="nil"/>
                  </w:tcBorders>
                  <w:vAlign w:val="center"/>
                </w:tcPr>
                <w:p w14:paraId="4757EA1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52937D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102ED8C8">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汽油罐操作井-充电桩</w:t>
                  </w:r>
                </w:p>
              </w:tc>
              <w:tc>
                <w:tcPr>
                  <w:tcW w:w="1826" w:type="dxa"/>
                  <w:tcBorders>
                    <w:tl2br w:val="nil"/>
                    <w:tr2bl w:val="nil"/>
                  </w:tcBorders>
                  <w:vAlign w:val="center"/>
                </w:tcPr>
                <w:p w14:paraId="26158E6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4.5</w:t>
                  </w:r>
                </w:p>
              </w:tc>
              <w:tc>
                <w:tcPr>
                  <w:tcW w:w="1827" w:type="dxa"/>
                  <w:tcBorders>
                    <w:tl2br w:val="nil"/>
                    <w:tr2bl w:val="nil"/>
                  </w:tcBorders>
                  <w:vAlign w:val="center"/>
                </w:tcPr>
                <w:p w14:paraId="33F0E54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42.98</w:t>
                  </w:r>
                </w:p>
              </w:tc>
              <w:tc>
                <w:tcPr>
                  <w:tcW w:w="1306" w:type="dxa"/>
                  <w:tcBorders>
                    <w:tl2br w:val="nil"/>
                    <w:tr2bl w:val="nil"/>
                  </w:tcBorders>
                  <w:vAlign w:val="center"/>
                </w:tcPr>
                <w:p w14:paraId="26D1220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12BC55C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6EF84A96">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卸油口-充电桩</w:t>
                  </w:r>
                </w:p>
              </w:tc>
              <w:tc>
                <w:tcPr>
                  <w:tcW w:w="1826" w:type="dxa"/>
                  <w:tcBorders>
                    <w:tl2br w:val="nil"/>
                    <w:tr2bl w:val="nil"/>
                  </w:tcBorders>
                  <w:vAlign w:val="center"/>
                </w:tcPr>
                <w:p w14:paraId="77A4827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4.5</w:t>
                  </w:r>
                </w:p>
              </w:tc>
              <w:tc>
                <w:tcPr>
                  <w:tcW w:w="1827" w:type="dxa"/>
                  <w:tcBorders>
                    <w:tl2br w:val="nil"/>
                    <w:tr2bl w:val="nil"/>
                  </w:tcBorders>
                  <w:vAlign w:val="center"/>
                </w:tcPr>
                <w:p w14:paraId="2AC4F3B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w:t>
                  </w:r>
                </w:p>
              </w:tc>
              <w:tc>
                <w:tcPr>
                  <w:tcW w:w="1306" w:type="dxa"/>
                  <w:tcBorders>
                    <w:tl2br w:val="nil"/>
                    <w:tr2bl w:val="nil"/>
                  </w:tcBorders>
                  <w:vAlign w:val="center"/>
                </w:tcPr>
                <w:p w14:paraId="56CB62D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05F8FC7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52FBC03D">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汽油通气管-充电桩</w:t>
                  </w:r>
                </w:p>
              </w:tc>
              <w:tc>
                <w:tcPr>
                  <w:tcW w:w="1826" w:type="dxa"/>
                  <w:tcBorders>
                    <w:tl2br w:val="nil"/>
                    <w:tr2bl w:val="nil"/>
                  </w:tcBorders>
                  <w:vAlign w:val="center"/>
                </w:tcPr>
                <w:p w14:paraId="08BA3DF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w:t>
                  </w:r>
                </w:p>
              </w:tc>
              <w:tc>
                <w:tcPr>
                  <w:tcW w:w="1827" w:type="dxa"/>
                  <w:tcBorders>
                    <w:tl2br w:val="nil"/>
                    <w:tr2bl w:val="nil"/>
                  </w:tcBorders>
                  <w:vAlign w:val="center"/>
                </w:tcPr>
                <w:p w14:paraId="7A91E47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43.19</w:t>
                  </w:r>
                </w:p>
              </w:tc>
              <w:tc>
                <w:tcPr>
                  <w:tcW w:w="1306" w:type="dxa"/>
                  <w:tcBorders>
                    <w:tl2br w:val="nil"/>
                    <w:tr2bl w:val="nil"/>
                  </w:tcBorders>
                  <w:vAlign w:val="center"/>
                </w:tcPr>
                <w:p w14:paraId="2A6C545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07F3C03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443664CB">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汽油加油机-充电桩</w:t>
                  </w:r>
                </w:p>
              </w:tc>
              <w:tc>
                <w:tcPr>
                  <w:tcW w:w="1826" w:type="dxa"/>
                  <w:tcBorders>
                    <w:tl2br w:val="nil"/>
                    <w:tr2bl w:val="nil"/>
                  </w:tcBorders>
                  <w:vAlign w:val="center"/>
                </w:tcPr>
                <w:p w14:paraId="492ABAF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827" w:type="dxa"/>
                  <w:tcBorders>
                    <w:tl2br w:val="nil"/>
                    <w:tr2bl w:val="nil"/>
                  </w:tcBorders>
                  <w:vAlign w:val="center"/>
                </w:tcPr>
                <w:p w14:paraId="0209465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42.76</w:t>
                  </w:r>
                </w:p>
              </w:tc>
              <w:tc>
                <w:tcPr>
                  <w:tcW w:w="1306" w:type="dxa"/>
                  <w:tcBorders>
                    <w:tl2br w:val="nil"/>
                    <w:tr2bl w:val="nil"/>
                  </w:tcBorders>
                  <w:vAlign w:val="center"/>
                </w:tcPr>
                <w:p w14:paraId="7A1C8B4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33E3C2F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0DF80294">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LNG储罐-汽油罐</w:t>
                  </w:r>
                </w:p>
              </w:tc>
              <w:tc>
                <w:tcPr>
                  <w:tcW w:w="1826" w:type="dxa"/>
                  <w:tcBorders>
                    <w:tl2br w:val="nil"/>
                    <w:tr2bl w:val="nil"/>
                  </w:tcBorders>
                  <w:vAlign w:val="center"/>
                </w:tcPr>
                <w:p w14:paraId="3886EDA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10.0</w:t>
                  </w:r>
                </w:p>
              </w:tc>
              <w:tc>
                <w:tcPr>
                  <w:tcW w:w="1827" w:type="dxa"/>
                  <w:tcBorders>
                    <w:tl2br w:val="nil"/>
                    <w:tr2bl w:val="nil"/>
                  </w:tcBorders>
                  <w:vAlign w:val="center"/>
                </w:tcPr>
                <w:p w14:paraId="6C19AFF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21.35</w:t>
                  </w:r>
                </w:p>
              </w:tc>
              <w:tc>
                <w:tcPr>
                  <w:tcW w:w="1306" w:type="dxa"/>
                  <w:tcBorders>
                    <w:tl2br w:val="nil"/>
                    <w:tr2bl w:val="nil"/>
                  </w:tcBorders>
                  <w:vAlign w:val="center"/>
                </w:tcPr>
                <w:p w14:paraId="2E01353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37405C7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6AC06B18">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LNG储罐-柴油罐</w:t>
                  </w:r>
                </w:p>
              </w:tc>
              <w:tc>
                <w:tcPr>
                  <w:tcW w:w="1826" w:type="dxa"/>
                  <w:tcBorders>
                    <w:tl2br w:val="nil"/>
                    <w:tr2bl w:val="nil"/>
                  </w:tcBorders>
                  <w:vAlign w:val="center"/>
                </w:tcPr>
                <w:p w14:paraId="466CAE2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8.0</w:t>
                  </w:r>
                </w:p>
              </w:tc>
              <w:tc>
                <w:tcPr>
                  <w:tcW w:w="1827" w:type="dxa"/>
                  <w:tcBorders>
                    <w:tl2br w:val="nil"/>
                    <w:tr2bl w:val="nil"/>
                  </w:tcBorders>
                  <w:vAlign w:val="center"/>
                </w:tcPr>
                <w:p w14:paraId="627FD9D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21.35</w:t>
                  </w:r>
                </w:p>
              </w:tc>
              <w:tc>
                <w:tcPr>
                  <w:tcW w:w="1306" w:type="dxa"/>
                  <w:tcBorders>
                    <w:tl2br w:val="nil"/>
                    <w:tr2bl w:val="nil"/>
                  </w:tcBorders>
                  <w:vAlign w:val="center"/>
                </w:tcPr>
                <w:p w14:paraId="0E085B0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414E8C6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22DC01A9">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LNG储罐-通气管</w:t>
                  </w:r>
                </w:p>
              </w:tc>
              <w:tc>
                <w:tcPr>
                  <w:tcW w:w="1826" w:type="dxa"/>
                  <w:tcBorders>
                    <w:tl2br w:val="nil"/>
                    <w:tr2bl w:val="nil"/>
                  </w:tcBorders>
                  <w:vAlign w:val="center"/>
                </w:tcPr>
                <w:p w14:paraId="7828073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8.0</w:t>
                  </w:r>
                </w:p>
              </w:tc>
              <w:tc>
                <w:tcPr>
                  <w:tcW w:w="1827" w:type="dxa"/>
                  <w:tcBorders>
                    <w:tl2br w:val="nil"/>
                    <w:tr2bl w:val="nil"/>
                  </w:tcBorders>
                  <w:vAlign w:val="center"/>
                </w:tcPr>
                <w:p w14:paraId="079437A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21.35</w:t>
                  </w:r>
                </w:p>
              </w:tc>
              <w:tc>
                <w:tcPr>
                  <w:tcW w:w="1306" w:type="dxa"/>
                  <w:tcBorders>
                    <w:tl2br w:val="nil"/>
                    <w:tr2bl w:val="nil"/>
                  </w:tcBorders>
                  <w:vAlign w:val="center"/>
                </w:tcPr>
                <w:p w14:paraId="6977BFB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3CF353D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452FE94C">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LNG储罐-站房</w:t>
                  </w:r>
                </w:p>
              </w:tc>
              <w:tc>
                <w:tcPr>
                  <w:tcW w:w="1826" w:type="dxa"/>
                  <w:tcBorders>
                    <w:tl2br w:val="nil"/>
                    <w:tr2bl w:val="nil"/>
                  </w:tcBorders>
                  <w:vAlign w:val="center"/>
                </w:tcPr>
                <w:p w14:paraId="061D9C8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827" w:type="dxa"/>
                  <w:tcBorders>
                    <w:tl2br w:val="nil"/>
                    <w:tr2bl w:val="nil"/>
                  </w:tcBorders>
                  <w:vAlign w:val="center"/>
                </w:tcPr>
                <w:p w14:paraId="4473FC0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6.47</w:t>
                  </w:r>
                </w:p>
              </w:tc>
              <w:tc>
                <w:tcPr>
                  <w:tcW w:w="1306" w:type="dxa"/>
                  <w:tcBorders>
                    <w:tl2br w:val="nil"/>
                    <w:tr2bl w:val="nil"/>
                  </w:tcBorders>
                  <w:vAlign w:val="center"/>
                </w:tcPr>
                <w:p w14:paraId="1F2E26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18B1C7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761EAD1C">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LNG储罐-围墙</w:t>
                  </w:r>
                </w:p>
              </w:tc>
              <w:tc>
                <w:tcPr>
                  <w:tcW w:w="1826" w:type="dxa"/>
                  <w:tcBorders>
                    <w:tl2br w:val="nil"/>
                    <w:tr2bl w:val="nil"/>
                  </w:tcBorders>
                  <w:vAlign w:val="center"/>
                </w:tcPr>
                <w:p w14:paraId="57DAB5B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4.0</w:t>
                  </w:r>
                </w:p>
              </w:tc>
              <w:tc>
                <w:tcPr>
                  <w:tcW w:w="1827" w:type="dxa"/>
                  <w:tcBorders>
                    <w:tl2br w:val="nil"/>
                    <w:tr2bl w:val="nil"/>
                  </w:tcBorders>
                  <w:vAlign w:val="center"/>
                </w:tcPr>
                <w:p w14:paraId="6CE3F3E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4.28</w:t>
                  </w:r>
                </w:p>
              </w:tc>
              <w:tc>
                <w:tcPr>
                  <w:tcW w:w="1306" w:type="dxa"/>
                  <w:tcBorders>
                    <w:tl2br w:val="nil"/>
                    <w:tr2bl w:val="nil"/>
                  </w:tcBorders>
                  <w:vAlign w:val="center"/>
                </w:tcPr>
                <w:p w14:paraId="1470F80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0763D59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22ACFD0E">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LNG储罐-卸油口</w:t>
                  </w:r>
                </w:p>
              </w:tc>
              <w:tc>
                <w:tcPr>
                  <w:tcW w:w="1826" w:type="dxa"/>
                  <w:tcBorders>
                    <w:tl2br w:val="nil"/>
                    <w:tr2bl w:val="nil"/>
                  </w:tcBorders>
                  <w:vAlign w:val="center"/>
                </w:tcPr>
                <w:p w14:paraId="3F5C378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8.0</w:t>
                  </w:r>
                </w:p>
              </w:tc>
              <w:tc>
                <w:tcPr>
                  <w:tcW w:w="1827" w:type="dxa"/>
                  <w:tcBorders>
                    <w:tl2br w:val="nil"/>
                    <w:tr2bl w:val="nil"/>
                  </w:tcBorders>
                  <w:vAlign w:val="center"/>
                </w:tcPr>
                <w:p w14:paraId="7D987A9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39.55</w:t>
                  </w:r>
                </w:p>
              </w:tc>
              <w:tc>
                <w:tcPr>
                  <w:tcW w:w="1306" w:type="dxa"/>
                  <w:tcBorders>
                    <w:tl2br w:val="nil"/>
                    <w:tr2bl w:val="nil"/>
                  </w:tcBorders>
                  <w:vAlign w:val="center"/>
                </w:tcPr>
                <w:p w14:paraId="1D12A5D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7A5CFAB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42FE9F42">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LNG储罐-加油机</w:t>
                  </w:r>
                </w:p>
              </w:tc>
              <w:tc>
                <w:tcPr>
                  <w:tcW w:w="1826" w:type="dxa"/>
                  <w:tcBorders>
                    <w:tl2br w:val="nil"/>
                    <w:tr2bl w:val="nil"/>
                  </w:tcBorders>
                  <w:vAlign w:val="center"/>
                </w:tcPr>
                <w:p w14:paraId="3ABFF3A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827" w:type="dxa"/>
                  <w:tcBorders>
                    <w:tl2br w:val="nil"/>
                    <w:tr2bl w:val="nil"/>
                  </w:tcBorders>
                  <w:vAlign w:val="center"/>
                </w:tcPr>
                <w:p w14:paraId="64461F1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15.9</w:t>
                  </w:r>
                </w:p>
              </w:tc>
              <w:tc>
                <w:tcPr>
                  <w:tcW w:w="1306" w:type="dxa"/>
                  <w:tcBorders>
                    <w:tl2br w:val="nil"/>
                    <w:tr2bl w:val="nil"/>
                  </w:tcBorders>
                  <w:vAlign w:val="center"/>
                </w:tcPr>
                <w:p w14:paraId="0901517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034221B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1CA81D9C">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LNG卸车点-汽油罐</w:t>
                  </w:r>
                </w:p>
              </w:tc>
              <w:tc>
                <w:tcPr>
                  <w:tcW w:w="1826" w:type="dxa"/>
                  <w:tcBorders>
                    <w:tl2br w:val="nil"/>
                    <w:tr2bl w:val="nil"/>
                  </w:tcBorders>
                  <w:vAlign w:val="center"/>
                </w:tcPr>
                <w:p w14:paraId="3023E82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827" w:type="dxa"/>
                  <w:tcBorders>
                    <w:tl2br w:val="nil"/>
                    <w:tr2bl w:val="nil"/>
                  </w:tcBorders>
                  <w:vAlign w:val="center"/>
                </w:tcPr>
                <w:p w14:paraId="795F375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21.35</w:t>
                  </w:r>
                </w:p>
              </w:tc>
              <w:tc>
                <w:tcPr>
                  <w:tcW w:w="1306" w:type="dxa"/>
                  <w:tcBorders>
                    <w:tl2br w:val="nil"/>
                    <w:tr2bl w:val="nil"/>
                  </w:tcBorders>
                  <w:vAlign w:val="center"/>
                </w:tcPr>
                <w:p w14:paraId="14786A8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66A60C8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5F622DFE">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LNG卸车点-柴油罐</w:t>
                  </w:r>
                </w:p>
              </w:tc>
              <w:tc>
                <w:tcPr>
                  <w:tcW w:w="1826" w:type="dxa"/>
                  <w:tcBorders>
                    <w:tl2br w:val="nil"/>
                    <w:tr2bl w:val="nil"/>
                  </w:tcBorders>
                  <w:vAlign w:val="center"/>
                </w:tcPr>
                <w:p w14:paraId="75E9D8B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827" w:type="dxa"/>
                  <w:tcBorders>
                    <w:tl2br w:val="nil"/>
                    <w:tr2bl w:val="nil"/>
                  </w:tcBorders>
                  <w:vAlign w:val="center"/>
                </w:tcPr>
                <w:p w14:paraId="4529988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21.35</w:t>
                  </w:r>
                </w:p>
              </w:tc>
              <w:tc>
                <w:tcPr>
                  <w:tcW w:w="1306" w:type="dxa"/>
                  <w:tcBorders>
                    <w:tl2br w:val="nil"/>
                    <w:tr2bl w:val="nil"/>
                  </w:tcBorders>
                  <w:vAlign w:val="center"/>
                </w:tcPr>
                <w:p w14:paraId="2D8129F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20E1BE6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0A22B6A5">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LNG卸车点-通气管</w:t>
                  </w:r>
                </w:p>
              </w:tc>
              <w:tc>
                <w:tcPr>
                  <w:tcW w:w="1826" w:type="dxa"/>
                  <w:tcBorders>
                    <w:tl2br w:val="nil"/>
                    <w:tr2bl w:val="nil"/>
                  </w:tcBorders>
                  <w:vAlign w:val="center"/>
                </w:tcPr>
                <w:p w14:paraId="4DB7F6C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827" w:type="dxa"/>
                  <w:tcBorders>
                    <w:tl2br w:val="nil"/>
                    <w:tr2bl w:val="nil"/>
                  </w:tcBorders>
                  <w:vAlign w:val="center"/>
                </w:tcPr>
                <w:p w14:paraId="4C7E934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21.35</w:t>
                  </w:r>
                </w:p>
              </w:tc>
              <w:tc>
                <w:tcPr>
                  <w:tcW w:w="1306" w:type="dxa"/>
                  <w:tcBorders>
                    <w:tl2br w:val="nil"/>
                    <w:tr2bl w:val="nil"/>
                  </w:tcBorders>
                  <w:vAlign w:val="center"/>
                </w:tcPr>
                <w:p w14:paraId="1610032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290AC72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0386EB88">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LNG卸车点-站房</w:t>
                  </w:r>
                </w:p>
              </w:tc>
              <w:tc>
                <w:tcPr>
                  <w:tcW w:w="1826" w:type="dxa"/>
                  <w:tcBorders>
                    <w:tl2br w:val="nil"/>
                    <w:tr2bl w:val="nil"/>
                  </w:tcBorders>
                  <w:vAlign w:val="center"/>
                </w:tcPr>
                <w:p w14:paraId="4326C0F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827" w:type="dxa"/>
                  <w:tcBorders>
                    <w:tl2br w:val="nil"/>
                    <w:tr2bl w:val="nil"/>
                  </w:tcBorders>
                  <w:vAlign w:val="center"/>
                </w:tcPr>
                <w:p w14:paraId="11D2908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6.47</w:t>
                  </w:r>
                </w:p>
              </w:tc>
              <w:tc>
                <w:tcPr>
                  <w:tcW w:w="1306" w:type="dxa"/>
                  <w:tcBorders>
                    <w:tl2br w:val="nil"/>
                    <w:tr2bl w:val="nil"/>
                  </w:tcBorders>
                  <w:vAlign w:val="center"/>
                </w:tcPr>
                <w:p w14:paraId="110E82C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4A4FF57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00132830">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LNG卸车点-围墙</w:t>
                  </w:r>
                </w:p>
              </w:tc>
              <w:tc>
                <w:tcPr>
                  <w:tcW w:w="1826" w:type="dxa"/>
                  <w:tcBorders>
                    <w:tl2br w:val="nil"/>
                    <w:tr2bl w:val="nil"/>
                  </w:tcBorders>
                  <w:vAlign w:val="center"/>
                </w:tcPr>
                <w:p w14:paraId="193E50D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w:t>
                  </w:r>
                </w:p>
              </w:tc>
              <w:tc>
                <w:tcPr>
                  <w:tcW w:w="1827" w:type="dxa"/>
                  <w:tcBorders>
                    <w:tl2br w:val="nil"/>
                    <w:tr2bl w:val="nil"/>
                  </w:tcBorders>
                  <w:vAlign w:val="center"/>
                </w:tcPr>
                <w:p w14:paraId="0A0EFF6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9.67</w:t>
                  </w:r>
                </w:p>
              </w:tc>
              <w:tc>
                <w:tcPr>
                  <w:tcW w:w="1306" w:type="dxa"/>
                  <w:tcBorders>
                    <w:tl2br w:val="nil"/>
                    <w:tr2bl w:val="nil"/>
                  </w:tcBorders>
                  <w:vAlign w:val="center"/>
                </w:tcPr>
                <w:p w14:paraId="3FC18C4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30E672C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0C43477F">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LNG卸车点-卸油口</w:t>
                  </w:r>
                </w:p>
              </w:tc>
              <w:tc>
                <w:tcPr>
                  <w:tcW w:w="1826" w:type="dxa"/>
                  <w:tcBorders>
                    <w:tl2br w:val="nil"/>
                    <w:tr2bl w:val="nil"/>
                  </w:tcBorders>
                  <w:vAlign w:val="center"/>
                </w:tcPr>
                <w:p w14:paraId="1D6E25D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827" w:type="dxa"/>
                  <w:tcBorders>
                    <w:tl2br w:val="nil"/>
                    <w:tr2bl w:val="nil"/>
                  </w:tcBorders>
                  <w:vAlign w:val="center"/>
                </w:tcPr>
                <w:p w14:paraId="7F71E1F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39.55</w:t>
                  </w:r>
                </w:p>
              </w:tc>
              <w:tc>
                <w:tcPr>
                  <w:tcW w:w="1306" w:type="dxa"/>
                  <w:tcBorders>
                    <w:tl2br w:val="nil"/>
                    <w:tr2bl w:val="nil"/>
                  </w:tcBorders>
                  <w:vAlign w:val="center"/>
                </w:tcPr>
                <w:p w14:paraId="1628770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r w14:paraId="50D63FA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979" w:type="dxa"/>
                  <w:tcBorders>
                    <w:tl2br w:val="nil"/>
                    <w:tr2bl w:val="nil"/>
                  </w:tcBorders>
                  <w:vAlign w:val="center"/>
                </w:tcPr>
                <w:p w14:paraId="090FF627">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LNG卸车点-加油机</w:t>
                  </w:r>
                </w:p>
              </w:tc>
              <w:tc>
                <w:tcPr>
                  <w:tcW w:w="1826" w:type="dxa"/>
                  <w:tcBorders>
                    <w:tl2br w:val="nil"/>
                    <w:tr2bl w:val="nil"/>
                  </w:tcBorders>
                  <w:vAlign w:val="center"/>
                </w:tcPr>
                <w:p w14:paraId="2E0221A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827" w:type="dxa"/>
                  <w:tcBorders>
                    <w:tl2br w:val="nil"/>
                    <w:tr2bl w:val="nil"/>
                  </w:tcBorders>
                  <w:vAlign w:val="center"/>
                </w:tcPr>
                <w:p w14:paraId="7596DCD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15.9</w:t>
                  </w:r>
                </w:p>
              </w:tc>
              <w:tc>
                <w:tcPr>
                  <w:tcW w:w="1306" w:type="dxa"/>
                  <w:tcBorders>
                    <w:tl2br w:val="nil"/>
                    <w:tr2bl w:val="nil"/>
                  </w:tcBorders>
                  <w:vAlign w:val="center"/>
                </w:tcPr>
                <w:p w14:paraId="54CE9A1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符合</w:t>
                  </w:r>
                </w:p>
              </w:tc>
            </w:tr>
          </w:tbl>
          <w:p w14:paraId="3DEA2065">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由上表分析可知，本站</w:t>
            </w:r>
            <w:r>
              <w:rPr>
                <w:rFonts w:hint="eastAsia" w:eastAsia="仿宋_GB2312" w:cs="Times New Roman"/>
                <w:color w:val="auto"/>
                <w:sz w:val="24"/>
                <w:szCs w:val="24"/>
                <w:lang w:val="en-US" w:eastAsia="zh-CN"/>
              </w:rPr>
              <w:t>内</w:t>
            </w:r>
            <w:r>
              <w:rPr>
                <w:rFonts w:hint="default" w:ascii="Times New Roman" w:hAnsi="Times New Roman" w:eastAsia="仿宋_GB2312" w:cs="Times New Roman"/>
                <w:color w:val="auto"/>
                <w:sz w:val="24"/>
                <w:szCs w:val="24"/>
                <w:lang w:val="en-US" w:eastAsia="zh-CN"/>
              </w:rPr>
              <w:t>各设备与站外建（构）筑物的安全间距符合《汽车加油加气加氢站技术标准》（GB50156-2021）中相关标准要求。</w:t>
            </w:r>
          </w:p>
          <w:p w14:paraId="1B459BA1">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本项目位于安徽省池州市东至县尧渡镇毛田村G206国道东侧、东至国祯水处理有限公司南侧。项目规划区域用地性质为</w:t>
            </w:r>
            <w:r>
              <w:rPr>
                <w:rFonts w:hint="eastAsia" w:cs="Times New Roman"/>
                <w:color w:val="auto"/>
                <w:sz w:val="24"/>
                <w:szCs w:val="24"/>
                <w:lang w:val="en-US" w:eastAsia="zh-CN"/>
              </w:rPr>
              <w:t>商业服务业用地</w:t>
            </w:r>
            <w:r>
              <w:rPr>
                <w:rFonts w:hint="default" w:ascii="Times New Roman" w:hAnsi="Times New Roman" w:eastAsia="仿宋_GB2312" w:cs="Times New Roman"/>
                <w:color w:val="auto"/>
                <w:sz w:val="24"/>
                <w:szCs w:val="24"/>
                <w:lang w:val="en-US" w:eastAsia="zh-CN"/>
              </w:rPr>
              <w:t>，项目建设符合东至县总体规划要求，项目不在环境准入负面清单范围内。因此，本项目选址具备可行性。</w:t>
            </w:r>
          </w:p>
          <w:p w14:paraId="002B82D4">
            <w:pPr>
              <w:pStyle w:val="42"/>
              <w:spacing w:line="360" w:lineRule="auto"/>
              <w:ind w:firstLine="480"/>
              <w:jc w:val="both"/>
              <w:rPr>
                <w:rFonts w:hint="default" w:ascii="Times New Roman" w:hAnsi="Times New Roman" w:eastAsia="仿宋_GB2312" w:cs="Times New Roman"/>
                <w:color w:val="auto"/>
                <w:sz w:val="24"/>
                <w:szCs w:val="24"/>
                <w:lang w:val="en-US" w:eastAsia="zh-CN"/>
              </w:rPr>
            </w:pPr>
          </w:p>
        </w:tc>
      </w:tr>
    </w:tbl>
    <w:p w14:paraId="43FE695D">
      <w:pPr>
        <w:spacing w:line="360" w:lineRule="auto"/>
        <w:outlineLvl w:val="9"/>
        <w:rPr>
          <w:rFonts w:eastAsia="黑体"/>
          <w:color w:val="auto"/>
          <w:sz w:val="30"/>
        </w:rPr>
        <w:sectPr>
          <w:footerReference r:id="rId6" w:type="default"/>
          <w:pgSz w:w="11906" w:h="16838"/>
          <w:pgMar w:top="1701" w:right="1531" w:bottom="1701" w:left="1531" w:header="851" w:footer="1077" w:gutter="0"/>
          <w:pgBorders>
            <w:top w:val="none" w:sz="0" w:space="0"/>
            <w:left w:val="none" w:sz="0" w:space="0"/>
            <w:bottom w:val="none" w:sz="0" w:space="0"/>
            <w:right w:val="none" w:sz="0" w:space="0"/>
          </w:pgBorders>
          <w:pgNumType w:fmt="decimal" w:start="1"/>
          <w:cols w:space="720" w:num="1"/>
          <w:docGrid w:linePitch="312" w:charSpace="0"/>
        </w:sectPr>
      </w:pPr>
    </w:p>
    <w:p w14:paraId="199F25E7">
      <w:pPr>
        <w:pStyle w:val="17"/>
        <w:jc w:val="center"/>
        <w:outlineLvl w:val="0"/>
        <w:rPr>
          <w:rFonts w:ascii="黑体" w:hAnsi="黑体" w:eastAsia="黑体"/>
          <w:snapToGrid w:val="0"/>
          <w:color w:val="auto"/>
          <w:sz w:val="30"/>
          <w:szCs w:val="30"/>
        </w:rPr>
      </w:pPr>
      <w:bookmarkStart w:id="3" w:name="_Toc24632"/>
      <w:r>
        <w:rPr>
          <w:rFonts w:hint="eastAsia" w:ascii="黑体" w:hAnsi="黑体" w:eastAsia="黑体"/>
          <w:snapToGrid w:val="0"/>
          <w:color w:val="auto"/>
          <w:sz w:val="30"/>
          <w:szCs w:val="30"/>
        </w:rPr>
        <w:t>二、建设项目工程分析</w:t>
      </w:r>
      <w:bookmarkEnd w:id="3"/>
    </w:p>
    <w:tbl>
      <w:tblPr>
        <w:tblStyle w:val="1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80"/>
        <w:gridCol w:w="8304"/>
      </w:tblGrid>
      <w:tr w14:paraId="4E90B5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0" w:type="dxa"/>
            <w:noWrap w:val="0"/>
            <w:vAlign w:val="center"/>
          </w:tcPr>
          <w:p w14:paraId="6C4289A0">
            <w:pPr>
              <w:pStyle w:val="17"/>
              <w:adjustRightInd w:val="0"/>
              <w:snapToGrid w:val="0"/>
              <w:spacing w:before="0" w:beforeAutospacing="0" w:after="0" w:afterAutospacing="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建设内容</w:t>
            </w:r>
          </w:p>
        </w:tc>
        <w:tc>
          <w:tcPr>
            <w:tcW w:w="8304" w:type="dxa"/>
            <w:noWrap w:val="0"/>
            <w:vAlign w:val="top"/>
          </w:tcPr>
          <w:p w14:paraId="20C6EBB2">
            <w:pPr>
              <w:pStyle w:val="50"/>
              <w:spacing w:line="360" w:lineRule="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1、项目由来</w:t>
            </w:r>
          </w:p>
          <w:p w14:paraId="47791754">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随着经济发展引起城镇道路车流密度增长，并为贯彻执行国家对成品油零售经营企业的要求，东至安东赛瑞文旅开发有限公司在经过多次考察与反复论证的基础上，明确新建东至长江路加油站可以缓解东至县油品供应紧张的局面，为东至县的发展建设做出贡献。</w:t>
            </w:r>
          </w:p>
          <w:p w14:paraId="5D1226B9">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bCs/>
                <w:color w:val="auto"/>
                <w:sz w:val="24"/>
                <w:szCs w:val="24"/>
                <w:lang w:eastAsia="zh-CN"/>
              </w:rPr>
              <w:t>按照《中华人民共和国环境影响评价法》和《建设项目环境保护管理条例》的有关规定，建设项目需履行环境影响评价手续；依据《建设项目环境影响评价分类管理名录》（</w:t>
            </w:r>
            <w:r>
              <w:rPr>
                <w:rFonts w:hint="default" w:ascii="Times New Roman" w:hAnsi="Times New Roman" w:eastAsia="仿宋_GB2312" w:cs="Times New Roman"/>
                <w:bCs/>
                <w:color w:val="auto"/>
                <w:sz w:val="24"/>
                <w:szCs w:val="24"/>
                <w:lang w:val="en-US" w:eastAsia="zh-CN"/>
              </w:rPr>
              <w:t>2021版</w:t>
            </w:r>
            <w:r>
              <w:rPr>
                <w:rFonts w:hint="default" w:ascii="Times New Roman" w:hAnsi="Times New Roman" w:eastAsia="仿宋_GB2312" w:cs="Times New Roman"/>
                <w:bCs/>
                <w:color w:val="auto"/>
                <w:sz w:val="24"/>
                <w:szCs w:val="24"/>
                <w:lang w:eastAsia="zh-CN"/>
              </w:rPr>
              <w:t>）中对有关建设项目分类管理的要求，本项目属于“五十、社会事业与服务业”中“</w:t>
            </w:r>
            <w:r>
              <w:rPr>
                <w:rFonts w:hint="default" w:ascii="Times New Roman" w:hAnsi="Times New Roman" w:eastAsia="仿宋_GB2312" w:cs="Times New Roman"/>
                <w:bCs/>
                <w:color w:val="auto"/>
                <w:sz w:val="24"/>
                <w:szCs w:val="24"/>
                <w:lang w:val="en-US" w:eastAsia="zh-CN"/>
              </w:rPr>
              <w:t>119、加油、加气站</w:t>
            </w:r>
            <w:r>
              <w:rPr>
                <w:rFonts w:hint="default" w:ascii="Times New Roman" w:hAnsi="Times New Roman" w:eastAsia="仿宋_GB2312" w:cs="Times New Roman"/>
                <w:bCs/>
                <w:color w:val="auto"/>
                <w:sz w:val="24"/>
                <w:szCs w:val="24"/>
                <w:lang w:eastAsia="zh-CN"/>
              </w:rPr>
              <w:t>”类别中“城市建成区新建、扩建加油站；涉及环境敏感区的”，按照要求确定本项目环境影响评价形式为环境影响报告表。</w:t>
            </w:r>
            <w:r>
              <w:rPr>
                <w:rFonts w:hint="default" w:ascii="Times New Roman" w:hAnsi="Times New Roman" w:eastAsia="仿宋_GB2312" w:cs="Times New Roman"/>
                <w:color w:val="auto"/>
                <w:sz w:val="24"/>
                <w:szCs w:val="24"/>
                <w:highlight w:val="none"/>
                <w:lang w:eastAsia="zh-CN"/>
              </w:rPr>
              <w:t>因此，</w:t>
            </w:r>
            <w:r>
              <w:rPr>
                <w:rFonts w:hint="default" w:ascii="Times New Roman" w:hAnsi="Times New Roman" w:eastAsia="仿宋_GB2312" w:cs="Times New Roman"/>
                <w:bCs/>
                <w:color w:val="auto"/>
                <w:sz w:val="24"/>
                <w:szCs w:val="24"/>
                <w:lang w:eastAsia="zh-CN"/>
              </w:rPr>
              <w:t>东至安东赛瑞文旅开发有限公司</w:t>
            </w:r>
            <w:r>
              <w:rPr>
                <w:rFonts w:hint="default" w:ascii="Times New Roman" w:hAnsi="Times New Roman" w:eastAsia="仿宋_GB2312" w:cs="Times New Roman"/>
                <w:color w:val="auto"/>
                <w:sz w:val="24"/>
                <w:szCs w:val="24"/>
                <w:highlight w:val="none"/>
                <w:lang w:eastAsia="zh-CN"/>
              </w:rPr>
              <w:t>委托江苏南大华兴环保科技股份有限公司对“东至县长江路加油站项目”进行环境影响评价，</w:t>
            </w:r>
            <w:r>
              <w:rPr>
                <w:rFonts w:hint="default" w:ascii="Times New Roman" w:hAnsi="Times New Roman" w:eastAsia="仿宋_GB2312" w:cs="Times New Roman"/>
                <w:bCs/>
                <w:color w:val="auto"/>
                <w:sz w:val="24"/>
                <w:szCs w:val="24"/>
                <w:highlight w:val="none"/>
                <w:lang w:eastAsia="zh-CN"/>
              </w:rPr>
              <w:t>环评编制单位组织有关技术人员进行现场踏</w:t>
            </w:r>
            <w:r>
              <w:rPr>
                <w:rFonts w:hint="default" w:ascii="Times New Roman" w:hAnsi="Times New Roman" w:eastAsia="仿宋_GB2312" w:cs="Times New Roman"/>
                <w:bCs/>
                <w:color w:val="auto"/>
                <w:sz w:val="24"/>
                <w:szCs w:val="24"/>
                <w:lang w:eastAsia="zh-CN"/>
              </w:rPr>
              <w:t>勘，对项目所在区域的环境质量状况、项目地周边概况等进行了调查，在此基础上编制了《</w:t>
            </w:r>
            <w:r>
              <w:rPr>
                <w:rFonts w:hint="default" w:ascii="Times New Roman" w:hAnsi="Times New Roman" w:eastAsia="仿宋_GB2312" w:cs="Times New Roman"/>
                <w:color w:val="auto"/>
                <w:sz w:val="24"/>
                <w:szCs w:val="24"/>
                <w:highlight w:val="none"/>
                <w:lang w:eastAsia="zh-CN"/>
              </w:rPr>
              <w:t>东至县长江路加油站项目</w:t>
            </w:r>
            <w:r>
              <w:rPr>
                <w:rFonts w:hint="default" w:ascii="Times New Roman" w:hAnsi="Times New Roman" w:eastAsia="仿宋_GB2312" w:cs="Times New Roman"/>
                <w:bCs/>
                <w:color w:val="auto"/>
                <w:sz w:val="24"/>
                <w:szCs w:val="24"/>
                <w:lang w:eastAsia="zh-CN"/>
              </w:rPr>
              <w:t>环境影响报告表》</w:t>
            </w:r>
            <w:r>
              <w:rPr>
                <w:rFonts w:hint="default" w:ascii="Times New Roman" w:hAnsi="Times New Roman" w:eastAsia="仿宋_GB2312" w:cs="Times New Roman"/>
                <w:color w:val="auto"/>
                <w:sz w:val="24"/>
                <w:szCs w:val="24"/>
                <w:highlight w:val="none"/>
                <w:lang w:eastAsia="zh-CN"/>
              </w:rPr>
              <w:t>。</w:t>
            </w:r>
          </w:p>
          <w:p w14:paraId="6DBA24CD">
            <w:pPr>
              <w:pStyle w:val="50"/>
              <w:spacing w:line="360" w:lineRule="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2、建设内容</w:t>
            </w:r>
          </w:p>
          <w:p w14:paraId="29671FFB">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项目规划占地面积10017m</w:t>
            </w:r>
            <w:r>
              <w:rPr>
                <w:rFonts w:hint="default" w:ascii="Times New Roman" w:hAnsi="Times New Roman" w:eastAsia="仿宋_GB2312" w:cs="Times New Roman"/>
                <w:bCs/>
                <w:color w:val="auto"/>
                <w:sz w:val="24"/>
                <w:szCs w:val="24"/>
                <w:vertAlign w:val="superscript"/>
                <w:lang w:val="en-US" w:eastAsia="zh-CN"/>
              </w:rPr>
              <w:t>2</w:t>
            </w:r>
            <w:r>
              <w:rPr>
                <w:rFonts w:hint="default" w:ascii="Times New Roman" w:hAnsi="Times New Roman" w:eastAsia="仿宋_GB2312" w:cs="Times New Roman"/>
                <w:bCs/>
                <w:color w:val="auto"/>
                <w:sz w:val="24"/>
                <w:szCs w:val="24"/>
                <w:lang w:val="en-US" w:eastAsia="zh-CN"/>
              </w:rPr>
              <w:t>，总建筑面积1216m</w:t>
            </w:r>
            <w:r>
              <w:rPr>
                <w:rFonts w:hint="default" w:ascii="Times New Roman" w:hAnsi="Times New Roman" w:eastAsia="仿宋_GB2312" w:cs="Times New Roman"/>
                <w:bCs/>
                <w:color w:val="auto"/>
                <w:sz w:val="24"/>
                <w:szCs w:val="24"/>
                <w:vertAlign w:val="superscript"/>
                <w:lang w:val="en-US" w:eastAsia="zh-CN"/>
              </w:rPr>
              <w:t>2</w:t>
            </w:r>
            <w:r>
              <w:rPr>
                <w:rFonts w:hint="default" w:ascii="Times New Roman" w:hAnsi="Times New Roman" w:eastAsia="仿宋_GB2312" w:cs="Times New Roman"/>
                <w:bCs/>
                <w:color w:val="auto"/>
                <w:sz w:val="24"/>
                <w:szCs w:val="24"/>
                <w:lang w:val="en-US" w:eastAsia="zh-CN"/>
              </w:rPr>
              <w:t>。为了提高效率和成本分析的方面考虑，项目总工程分两期建设，涉及加油、加气的主体工程及项目运营的公用工程和环保工程均在第一期建设完成，第二期建设内容只包括辅助工程的停车场及配套的管理站房</w:t>
            </w:r>
            <w:r>
              <w:rPr>
                <w:rFonts w:hint="default" w:ascii="Times New Roman" w:hAnsi="Times New Roman" w:eastAsia="仿宋_GB2312" w:cs="Times New Roman"/>
                <w:bCs/>
                <w:color w:val="auto"/>
                <w:sz w:val="24"/>
                <w:szCs w:val="24"/>
                <w:highlight w:val="none"/>
                <w:lang w:val="en-US" w:eastAsia="zh-CN"/>
              </w:rPr>
              <w:t>。</w:t>
            </w:r>
          </w:p>
          <w:p w14:paraId="129DC774">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场区南部作为加油加气场地，设5个加油岛，1个加气岛，加油区配套建设加油油气回收装置，每个加油岛设1台加油机（加气岛设1台加气机），其中最外侧2个加油岛之间设1台尿素机；加油</w:t>
            </w:r>
            <w:r>
              <w:rPr>
                <w:rFonts w:hint="eastAsia" w:eastAsia="仿宋_GB2312" w:cs="Times New Roman"/>
                <w:bCs/>
                <w:color w:val="auto"/>
                <w:sz w:val="24"/>
                <w:szCs w:val="24"/>
                <w:lang w:val="en-US" w:eastAsia="zh-CN"/>
              </w:rPr>
              <w:t>区</w:t>
            </w:r>
            <w:r>
              <w:rPr>
                <w:rFonts w:hint="default" w:ascii="Times New Roman" w:hAnsi="Times New Roman" w:eastAsia="仿宋_GB2312" w:cs="Times New Roman"/>
                <w:bCs/>
                <w:color w:val="auto"/>
                <w:sz w:val="24"/>
                <w:szCs w:val="24"/>
                <w:lang w:val="en-US" w:eastAsia="zh-CN"/>
              </w:rPr>
              <w:t>罩棚与站房</w:t>
            </w:r>
            <w:r>
              <w:rPr>
                <w:rFonts w:hint="eastAsia" w:eastAsia="仿宋_GB2312" w:cs="Times New Roman"/>
                <w:bCs/>
                <w:color w:val="auto"/>
                <w:sz w:val="24"/>
                <w:szCs w:val="24"/>
                <w:lang w:val="en-US" w:eastAsia="zh-CN"/>
              </w:rPr>
              <w:t>A</w:t>
            </w:r>
            <w:r>
              <w:rPr>
                <w:rFonts w:hint="default" w:ascii="Times New Roman" w:hAnsi="Times New Roman" w:eastAsia="仿宋_GB2312" w:cs="Times New Roman"/>
                <w:bCs/>
                <w:color w:val="auto"/>
                <w:sz w:val="24"/>
                <w:szCs w:val="24"/>
                <w:lang w:val="en-US" w:eastAsia="zh-CN"/>
              </w:rPr>
              <w:t>贴邻布置，加油区罩棚下设油罐区；站房A贴邻罩棚东面建设，站房背面设盥洗池</w:t>
            </w:r>
            <w:r>
              <w:rPr>
                <w:rFonts w:hint="eastAsia" w:eastAsia="仿宋_GB2312" w:cs="Times New Roman"/>
                <w:bCs/>
                <w:color w:val="auto"/>
                <w:sz w:val="24"/>
                <w:szCs w:val="24"/>
                <w:lang w:val="en-US" w:eastAsia="zh-CN"/>
              </w:rPr>
              <w:t>；加气区主要为LNG撬装站，设于罩棚东南侧，临近站区南侧边界</w:t>
            </w:r>
            <w:r>
              <w:rPr>
                <w:rFonts w:hint="default" w:ascii="Times New Roman" w:hAnsi="Times New Roman" w:eastAsia="仿宋_GB2312" w:cs="Times New Roman"/>
                <w:bCs/>
                <w:color w:val="auto"/>
                <w:sz w:val="24"/>
                <w:szCs w:val="24"/>
                <w:lang w:val="en-US" w:eastAsia="zh-CN"/>
              </w:rPr>
              <w:t>。加油加气区平面布置按生产功能分区从西向东依次为卸油区、加油储油区、LNG撬装加气站、洗车区、站房A、非机动车停车区。</w:t>
            </w:r>
          </w:p>
          <w:p w14:paraId="1B5CFCBB">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在充分利用场地、合理规划车流的基础上，站内主场区（中部及北部）设置106个机动车停车位，配套建设新能源汽车充电区，西南角建换电区及箱式变压器，厂区北侧建设一座2层站房B。</w:t>
            </w:r>
          </w:p>
          <w:p w14:paraId="215CAFDA">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站内停车场地和道路均采用刚性混凝土路面，除必要的硬化面积外，站区其余地面种植草坪做绿化处理（非油性植物）。</w:t>
            </w:r>
          </w:p>
          <w:p w14:paraId="4976CB02">
            <w:pPr>
              <w:pStyle w:val="49"/>
              <w:adjustRightInd w:val="0"/>
              <w:spacing w:line="240" w:lineRule="auto"/>
              <w:jc w:val="center"/>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表</w:t>
            </w:r>
            <w:r>
              <w:rPr>
                <w:rFonts w:hint="default" w:ascii="Times New Roman" w:hAnsi="Times New Roman" w:eastAsia="仿宋_GB2312" w:cs="Times New Roman"/>
                <w:color w:val="auto"/>
                <w:sz w:val="24"/>
                <w:szCs w:val="24"/>
                <w:lang w:val="en-US" w:eastAsia="zh-CN"/>
              </w:rPr>
              <w:t>2-1</w:t>
            </w:r>
            <w:r>
              <w:rPr>
                <w:rFonts w:hint="default" w:ascii="Times New Roman" w:hAnsi="Times New Roman" w:eastAsia="仿宋_GB2312" w:cs="Times New Roman"/>
                <w:color w:val="auto"/>
                <w:sz w:val="24"/>
                <w:szCs w:val="24"/>
              </w:rPr>
              <w:t xml:space="preserve"> </w:t>
            </w:r>
            <w:r>
              <w:rPr>
                <w:rFonts w:hint="default" w:ascii="Times New Roman" w:hAnsi="Times New Roman" w:eastAsia="仿宋_GB2312" w:cs="Times New Roman"/>
                <w:color w:val="auto"/>
                <w:sz w:val="24"/>
                <w:szCs w:val="24"/>
                <w:lang w:eastAsia="zh-CN"/>
              </w:rPr>
              <w:t>项目建设组成一览表</w:t>
            </w:r>
          </w:p>
          <w:tbl>
            <w:tblPr>
              <w:tblStyle w:val="20"/>
              <w:tblW w:w="8088"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968"/>
              <w:gridCol w:w="4273"/>
              <w:gridCol w:w="1189"/>
            </w:tblGrid>
            <w:tr w14:paraId="33D55AB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tcBorders>
                    <w:tl2br w:val="nil"/>
                    <w:tr2bl w:val="nil"/>
                  </w:tcBorders>
                  <w:noWrap w:val="0"/>
                  <w:vAlign w:val="center"/>
                </w:tcPr>
                <w:p w14:paraId="41ECF28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工程</w:t>
                  </w:r>
                </w:p>
                <w:p w14:paraId="1469399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类别</w:t>
                  </w:r>
                </w:p>
              </w:tc>
              <w:tc>
                <w:tcPr>
                  <w:tcW w:w="1968" w:type="dxa"/>
                  <w:tcBorders>
                    <w:tl2br w:val="nil"/>
                    <w:tr2bl w:val="nil"/>
                  </w:tcBorders>
                  <w:noWrap w:val="0"/>
                  <w:vAlign w:val="center"/>
                </w:tcPr>
                <w:p w14:paraId="7603D16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工程名称</w:t>
                  </w:r>
                </w:p>
              </w:tc>
              <w:tc>
                <w:tcPr>
                  <w:tcW w:w="4273" w:type="dxa"/>
                  <w:tcBorders>
                    <w:tl2br w:val="nil"/>
                    <w:tr2bl w:val="nil"/>
                  </w:tcBorders>
                  <w:noWrap w:val="0"/>
                  <w:vAlign w:val="center"/>
                </w:tcPr>
                <w:p w14:paraId="2FB8DAB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highlight w:val="none"/>
                      <w:vertAlign w:val="baseline"/>
                      <w:lang w:val="en-US" w:eastAsia="zh-CN"/>
                    </w:rPr>
                    <w:t>建设内容</w:t>
                  </w:r>
                </w:p>
              </w:tc>
              <w:tc>
                <w:tcPr>
                  <w:tcW w:w="1189" w:type="dxa"/>
                  <w:tcBorders>
                    <w:tl2br w:val="nil"/>
                    <w:tr2bl w:val="nil"/>
                  </w:tcBorders>
                  <w:noWrap w:val="0"/>
                  <w:vAlign w:val="center"/>
                </w:tcPr>
                <w:p w14:paraId="1674BEC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备注</w:t>
                  </w:r>
                </w:p>
              </w:tc>
            </w:tr>
            <w:tr w14:paraId="741F1B6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restart"/>
                  <w:tcBorders>
                    <w:tl2br w:val="nil"/>
                    <w:tr2bl w:val="nil"/>
                  </w:tcBorders>
                  <w:noWrap w:val="0"/>
                  <w:vAlign w:val="center"/>
                </w:tcPr>
                <w:p w14:paraId="4E99E4F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主体工程</w:t>
                  </w:r>
                </w:p>
              </w:tc>
              <w:tc>
                <w:tcPr>
                  <w:tcW w:w="1968" w:type="dxa"/>
                  <w:vMerge w:val="restart"/>
                  <w:tcBorders>
                    <w:tl2br w:val="nil"/>
                    <w:tr2bl w:val="nil"/>
                  </w:tcBorders>
                  <w:noWrap w:val="0"/>
                  <w:vAlign w:val="center"/>
                </w:tcPr>
                <w:p w14:paraId="6DC2316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埋地油罐区</w:t>
                  </w:r>
                </w:p>
              </w:tc>
              <w:tc>
                <w:tcPr>
                  <w:tcW w:w="4273" w:type="dxa"/>
                  <w:tcBorders>
                    <w:tl2br w:val="nil"/>
                    <w:tr2bl w:val="nil"/>
                  </w:tcBorders>
                  <w:noWrap w:val="0"/>
                  <w:vAlign w:val="center"/>
                </w:tcPr>
                <w:p w14:paraId="27BAC768">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柴油：50m</w:t>
                  </w:r>
                  <w:r>
                    <w:rPr>
                      <w:rFonts w:hint="default" w:ascii="Times New Roman" w:hAnsi="Times New Roman" w:eastAsia="仿宋_GB2312" w:cs="Times New Roman"/>
                      <w:bCs/>
                      <w:color w:val="auto"/>
                      <w:sz w:val="21"/>
                      <w:szCs w:val="21"/>
                      <w:vertAlign w:val="superscript"/>
                      <w:lang w:val="en-US" w:eastAsia="zh-CN"/>
                    </w:rPr>
                    <w:t>3</w:t>
                  </w:r>
                  <w:r>
                    <w:rPr>
                      <w:rFonts w:hint="default" w:ascii="Times New Roman" w:hAnsi="Times New Roman" w:eastAsia="仿宋_GB2312" w:cs="Times New Roman"/>
                      <w:bCs/>
                      <w:color w:val="auto"/>
                      <w:sz w:val="21"/>
                      <w:szCs w:val="21"/>
                      <w:vertAlign w:val="baseline"/>
                      <w:lang w:val="en-US" w:eastAsia="zh-CN"/>
                    </w:rPr>
                    <w:t>双层储罐2台，为承重罐，标号分别为0#、-10#。</w:t>
                  </w:r>
                </w:p>
              </w:tc>
              <w:tc>
                <w:tcPr>
                  <w:tcW w:w="1189" w:type="dxa"/>
                  <w:tcBorders>
                    <w:tl2br w:val="nil"/>
                    <w:tr2bl w:val="nil"/>
                  </w:tcBorders>
                  <w:noWrap w:val="0"/>
                  <w:vAlign w:val="center"/>
                </w:tcPr>
                <w:p w14:paraId="2637315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4BBA37D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12AE16B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vMerge w:val="continue"/>
                  <w:tcBorders>
                    <w:tl2br w:val="nil"/>
                    <w:tr2bl w:val="nil"/>
                  </w:tcBorders>
                  <w:noWrap w:val="0"/>
                  <w:vAlign w:val="center"/>
                </w:tcPr>
                <w:p w14:paraId="0777382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4273" w:type="dxa"/>
                  <w:tcBorders>
                    <w:tl2br w:val="nil"/>
                    <w:tr2bl w:val="nil"/>
                  </w:tcBorders>
                  <w:noWrap w:val="0"/>
                  <w:vAlign w:val="center"/>
                </w:tcPr>
                <w:p w14:paraId="512F176F">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汽油：30m</w:t>
                  </w:r>
                  <w:r>
                    <w:rPr>
                      <w:rFonts w:hint="default" w:ascii="Times New Roman" w:hAnsi="Times New Roman" w:eastAsia="仿宋_GB2312" w:cs="Times New Roman"/>
                      <w:bCs/>
                      <w:color w:val="auto"/>
                      <w:sz w:val="21"/>
                      <w:szCs w:val="21"/>
                      <w:vertAlign w:val="superscript"/>
                      <w:lang w:val="en-US" w:eastAsia="zh-CN"/>
                    </w:rPr>
                    <w:t>3</w:t>
                  </w:r>
                  <w:r>
                    <w:rPr>
                      <w:rFonts w:hint="default" w:ascii="Times New Roman" w:hAnsi="Times New Roman" w:eastAsia="仿宋_GB2312" w:cs="Times New Roman"/>
                      <w:bCs/>
                      <w:color w:val="auto"/>
                      <w:sz w:val="21"/>
                      <w:szCs w:val="21"/>
                      <w:vertAlign w:val="baseline"/>
                      <w:lang w:val="en-US" w:eastAsia="zh-CN"/>
                    </w:rPr>
                    <w:t>双层储罐3台，为承重罐，标号分别为92#、95#、98#。</w:t>
                  </w:r>
                </w:p>
              </w:tc>
              <w:tc>
                <w:tcPr>
                  <w:tcW w:w="1189" w:type="dxa"/>
                  <w:tcBorders>
                    <w:tl2br w:val="nil"/>
                    <w:tr2bl w:val="nil"/>
                  </w:tcBorders>
                  <w:noWrap w:val="0"/>
                  <w:vAlign w:val="center"/>
                </w:tcPr>
                <w:p w14:paraId="2CDE987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0C12ABA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7D6F307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vMerge w:val="restart"/>
                  <w:tcBorders>
                    <w:tl2br w:val="nil"/>
                    <w:tr2bl w:val="nil"/>
                  </w:tcBorders>
                  <w:noWrap w:val="0"/>
                  <w:vAlign w:val="center"/>
                </w:tcPr>
                <w:p w14:paraId="3BABFD3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LNG撬装加气站</w:t>
                  </w:r>
                </w:p>
              </w:tc>
              <w:tc>
                <w:tcPr>
                  <w:tcW w:w="4273" w:type="dxa"/>
                  <w:tcBorders>
                    <w:tl2br w:val="nil"/>
                    <w:tr2bl w:val="nil"/>
                  </w:tcBorders>
                  <w:noWrap w:val="0"/>
                  <w:vAlign w:val="center"/>
                </w:tcPr>
                <w:p w14:paraId="14EF3250">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60m</w:t>
                  </w:r>
                  <w:r>
                    <w:rPr>
                      <w:rFonts w:hint="default" w:ascii="Times New Roman" w:hAnsi="Times New Roman" w:eastAsia="仿宋_GB2312" w:cs="Times New Roman"/>
                      <w:bCs/>
                      <w:color w:val="auto"/>
                      <w:sz w:val="21"/>
                      <w:szCs w:val="21"/>
                      <w:highlight w:val="none"/>
                      <w:vertAlign w:val="superscript"/>
                      <w:lang w:val="en-US" w:eastAsia="zh-CN"/>
                    </w:rPr>
                    <w:t>3</w:t>
                  </w:r>
                  <w:r>
                    <w:rPr>
                      <w:rFonts w:hint="default" w:ascii="Times New Roman" w:hAnsi="Times New Roman" w:eastAsia="仿宋_GB2312" w:cs="Times New Roman"/>
                      <w:bCs/>
                      <w:color w:val="auto"/>
                      <w:sz w:val="21"/>
                      <w:szCs w:val="21"/>
                      <w:highlight w:val="none"/>
                      <w:vertAlign w:val="baseline"/>
                      <w:lang w:val="en-US" w:eastAsia="zh-CN"/>
                    </w:rPr>
                    <w:t>液化天然气储罐1个，双层结构，内层为不锈钢或铝合金，外层为碳钢或混凝土。</w:t>
                  </w:r>
                </w:p>
              </w:tc>
              <w:tc>
                <w:tcPr>
                  <w:tcW w:w="1189" w:type="dxa"/>
                  <w:vMerge w:val="restart"/>
                  <w:tcBorders>
                    <w:tl2br w:val="nil"/>
                    <w:tr2bl w:val="nil"/>
                  </w:tcBorders>
                  <w:noWrap w:val="0"/>
                  <w:vAlign w:val="center"/>
                </w:tcPr>
                <w:p w14:paraId="75B30E29">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设备组件集成安装，方便整站运输。</w:t>
                  </w:r>
                </w:p>
              </w:tc>
            </w:tr>
            <w:tr w14:paraId="37C4029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7CA1ECE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vMerge w:val="continue"/>
                  <w:tcBorders>
                    <w:tl2br w:val="nil"/>
                    <w:tr2bl w:val="nil"/>
                  </w:tcBorders>
                  <w:noWrap w:val="0"/>
                  <w:vAlign w:val="center"/>
                </w:tcPr>
                <w:p w14:paraId="1B3AD7C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p>
              </w:tc>
              <w:tc>
                <w:tcPr>
                  <w:tcW w:w="4273" w:type="dxa"/>
                  <w:tcBorders>
                    <w:tl2br w:val="nil"/>
                    <w:tr2bl w:val="nil"/>
                  </w:tcBorders>
                  <w:noWrap w:val="0"/>
                  <w:vAlign w:val="center"/>
                </w:tcPr>
                <w:p w14:paraId="6E3356A6">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1套撬装设备：1台浸没式低温泵/柱塞泵、1台卸车增压撬、1套组合增压器。1套BOG汽化撬。</w:t>
                  </w:r>
                </w:p>
              </w:tc>
              <w:tc>
                <w:tcPr>
                  <w:tcW w:w="1189" w:type="dxa"/>
                  <w:vMerge w:val="continue"/>
                  <w:tcBorders>
                    <w:tl2br w:val="nil"/>
                    <w:tr2bl w:val="nil"/>
                  </w:tcBorders>
                  <w:noWrap w:val="0"/>
                  <w:vAlign w:val="center"/>
                </w:tcPr>
                <w:p w14:paraId="6F95C04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66F92FE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3027B21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1ECD5A8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加气岛</w:t>
                  </w:r>
                </w:p>
              </w:tc>
              <w:tc>
                <w:tcPr>
                  <w:tcW w:w="4273" w:type="dxa"/>
                  <w:tcBorders>
                    <w:tl2br w:val="nil"/>
                    <w:tr2bl w:val="nil"/>
                  </w:tcBorders>
                  <w:noWrap w:val="0"/>
                  <w:vAlign w:val="center"/>
                </w:tcPr>
                <w:p w14:paraId="49027EEF">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双枪加气机一台，配套1座LNG加气岛。</w:t>
                  </w:r>
                </w:p>
              </w:tc>
              <w:tc>
                <w:tcPr>
                  <w:tcW w:w="1189" w:type="dxa"/>
                  <w:vMerge w:val="continue"/>
                  <w:tcBorders>
                    <w:tl2br w:val="nil"/>
                    <w:tr2bl w:val="nil"/>
                  </w:tcBorders>
                  <w:noWrap w:val="0"/>
                  <w:vAlign w:val="center"/>
                </w:tcPr>
                <w:p w14:paraId="7B080E7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yellow"/>
                      <w:vertAlign w:val="baseline"/>
                      <w:lang w:val="en-US" w:eastAsia="zh-CN"/>
                    </w:rPr>
                  </w:pPr>
                </w:p>
              </w:tc>
            </w:tr>
            <w:tr w14:paraId="5EED19D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8" w:type="dxa"/>
                  <w:vMerge w:val="continue"/>
                  <w:tcBorders>
                    <w:tl2br w:val="nil"/>
                    <w:tr2bl w:val="nil"/>
                  </w:tcBorders>
                  <w:noWrap w:val="0"/>
                  <w:vAlign w:val="center"/>
                </w:tcPr>
                <w:p w14:paraId="17F5BEC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07ABA81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加油岛</w:t>
                  </w:r>
                </w:p>
              </w:tc>
              <w:tc>
                <w:tcPr>
                  <w:tcW w:w="4273" w:type="dxa"/>
                  <w:tcBorders>
                    <w:tl2br w:val="nil"/>
                    <w:tr2bl w:val="nil"/>
                  </w:tcBorders>
                  <w:noWrap w:val="0"/>
                  <w:vAlign w:val="center"/>
                </w:tcPr>
                <w:p w14:paraId="1CB651E5">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5</w:t>
                  </w:r>
                  <w:r>
                    <w:rPr>
                      <w:rFonts w:hint="default" w:ascii="Times New Roman" w:hAnsi="Times New Roman" w:eastAsia="仿宋_GB2312" w:cs="Times New Roman"/>
                      <w:bCs/>
                      <w:color w:val="auto"/>
                      <w:sz w:val="21"/>
                      <w:szCs w:val="21"/>
                      <w:highlight w:val="none"/>
                      <w:vertAlign w:val="baseline"/>
                      <w:lang w:val="en-US" w:eastAsia="zh-CN"/>
                    </w:rPr>
                    <w:t>台六枪三油品潜油</w:t>
                  </w:r>
                  <w:r>
                    <w:rPr>
                      <w:rFonts w:hint="default" w:ascii="Times New Roman" w:hAnsi="Times New Roman" w:eastAsia="仿宋_GB2312" w:cs="Times New Roman"/>
                      <w:bCs/>
                      <w:color w:val="auto"/>
                      <w:sz w:val="21"/>
                      <w:szCs w:val="21"/>
                      <w:vertAlign w:val="baseline"/>
                      <w:lang w:val="en-US" w:eastAsia="zh-CN"/>
                    </w:rPr>
                    <w:t>泵加油机，配套5座加油岛，柴油加油岛设1台尿素机。共30把加油枪，其中汽油枪20把，柴油枪10把。</w:t>
                  </w:r>
                </w:p>
              </w:tc>
              <w:tc>
                <w:tcPr>
                  <w:tcW w:w="1189" w:type="dxa"/>
                  <w:tcBorders>
                    <w:tl2br w:val="nil"/>
                    <w:tr2bl w:val="nil"/>
                  </w:tcBorders>
                  <w:noWrap w:val="0"/>
                  <w:vAlign w:val="center"/>
                </w:tcPr>
                <w:p w14:paraId="0B9CB94D">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车用尿素又称柴油车尾气处理液</w:t>
                  </w:r>
                </w:p>
              </w:tc>
            </w:tr>
            <w:tr w14:paraId="6BAB8F9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0069CF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7CDC211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控制系统及管道</w:t>
                  </w:r>
                </w:p>
              </w:tc>
              <w:tc>
                <w:tcPr>
                  <w:tcW w:w="4273" w:type="dxa"/>
                  <w:tcBorders>
                    <w:tl2br w:val="nil"/>
                    <w:tr2bl w:val="nil"/>
                  </w:tcBorders>
                  <w:noWrap w:val="0"/>
                  <w:vAlign w:val="center"/>
                </w:tcPr>
                <w:p w14:paraId="58E1FABB">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加油工艺管线采用双层复合管，卸油管道、通气管道采用无缝钢管，钢制管道埋地部分做加强级外防腐。</w:t>
                  </w:r>
                </w:p>
              </w:tc>
              <w:tc>
                <w:tcPr>
                  <w:tcW w:w="1189" w:type="dxa"/>
                  <w:tcBorders>
                    <w:tl2br w:val="nil"/>
                    <w:tr2bl w:val="nil"/>
                  </w:tcBorders>
                  <w:noWrap w:val="0"/>
                  <w:vAlign w:val="center"/>
                </w:tcPr>
                <w:p w14:paraId="6C2844C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4CABEDD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18E825F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27301F8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油气回收系统</w:t>
                  </w:r>
                </w:p>
              </w:tc>
              <w:tc>
                <w:tcPr>
                  <w:tcW w:w="4273" w:type="dxa"/>
                  <w:tcBorders>
                    <w:tl2br w:val="nil"/>
                    <w:tr2bl w:val="nil"/>
                  </w:tcBorders>
                  <w:noWrap w:val="0"/>
                  <w:vAlign w:val="center"/>
                </w:tcPr>
                <w:p w14:paraId="20EDF25E">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加油油气回收系统，卸油油气回收系统。</w:t>
                  </w:r>
                </w:p>
              </w:tc>
              <w:tc>
                <w:tcPr>
                  <w:tcW w:w="1189" w:type="dxa"/>
                  <w:tcBorders>
                    <w:tl2br w:val="nil"/>
                    <w:tr2bl w:val="nil"/>
                  </w:tcBorders>
                  <w:noWrap w:val="0"/>
                  <w:vAlign w:val="center"/>
                </w:tcPr>
                <w:p w14:paraId="22FB523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44C6878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restart"/>
                  <w:tcBorders>
                    <w:tl2br w:val="nil"/>
                    <w:tr2bl w:val="nil"/>
                  </w:tcBorders>
                  <w:noWrap w:val="0"/>
                  <w:vAlign w:val="center"/>
                </w:tcPr>
                <w:p w14:paraId="5DDA70D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辅助工程</w:t>
                  </w:r>
                </w:p>
              </w:tc>
              <w:tc>
                <w:tcPr>
                  <w:tcW w:w="1968" w:type="dxa"/>
                  <w:tcBorders>
                    <w:tl2br w:val="nil"/>
                    <w:tr2bl w:val="nil"/>
                  </w:tcBorders>
                  <w:noWrap w:val="0"/>
                  <w:vAlign w:val="center"/>
                </w:tcPr>
                <w:p w14:paraId="7A4876C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加油罩棚</w:t>
                  </w:r>
                </w:p>
              </w:tc>
              <w:tc>
                <w:tcPr>
                  <w:tcW w:w="4273" w:type="dxa"/>
                  <w:tcBorders>
                    <w:tl2br w:val="nil"/>
                    <w:tr2bl w:val="nil"/>
                  </w:tcBorders>
                  <w:noWrap w:val="0"/>
                  <w:vAlign w:val="center"/>
                </w:tcPr>
                <w:p w14:paraId="366898AF">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钢结构，建筑面积406m</w:t>
                  </w:r>
                  <w:r>
                    <w:rPr>
                      <w:rFonts w:hint="default" w:ascii="Times New Roman" w:hAnsi="Times New Roman" w:eastAsia="仿宋_GB2312" w:cs="Times New Roman"/>
                      <w:bCs/>
                      <w:color w:val="auto"/>
                      <w:sz w:val="21"/>
                      <w:szCs w:val="21"/>
                      <w:highlight w:val="none"/>
                      <w:vertAlign w:val="superscript"/>
                      <w:lang w:val="en-US" w:eastAsia="zh-CN"/>
                    </w:rPr>
                    <w:t>2</w:t>
                  </w:r>
                  <w:r>
                    <w:rPr>
                      <w:rFonts w:hint="default" w:ascii="Times New Roman" w:hAnsi="Times New Roman" w:eastAsia="仿宋_GB2312" w:cs="Times New Roman"/>
                      <w:bCs/>
                      <w:color w:val="auto"/>
                      <w:sz w:val="21"/>
                      <w:szCs w:val="21"/>
                      <w:highlight w:val="none"/>
                      <w:vertAlign w:val="baseline"/>
                      <w:lang w:val="en-US" w:eastAsia="zh-CN"/>
                    </w:rPr>
                    <w:t>，投影面积808m</w:t>
                  </w:r>
                  <w:r>
                    <w:rPr>
                      <w:rFonts w:hint="default" w:ascii="Times New Roman" w:hAnsi="Times New Roman" w:eastAsia="仿宋_GB2312" w:cs="Times New Roman"/>
                      <w:bCs/>
                      <w:color w:val="auto"/>
                      <w:sz w:val="21"/>
                      <w:szCs w:val="21"/>
                      <w:highlight w:val="none"/>
                      <w:vertAlign w:val="superscript"/>
                      <w:lang w:val="en-US" w:eastAsia="zh-CN"/>
                    </w:rPr>
                    <w:t>2</w:t>
                  </w:r>
                  <w:r>
                    <w:rPr>
                      <w:rFonts w:hint="default" w:ascii="Times New Roman" w:hAnsi="Times New Roman" w:eastAsia="仿宋_GB2312" w:cs="Times New Roman"/>
                      <w:bCs/>
                      <w:color w:val="auto"/>
                      <w:sz w:val="21"/>
                      <w:szCs w:val="21"/>
                      <w:highlight w:val="none"/>
                      <w:vertAlign w:val="baseline"/>
                      <w:lang w:val="en-US" w:eastAsia="zh-CN"/>
                    </w:rPr>
                    <w:t>。</w:t>
                  </w:r>
                </w:p>
              </w:tc>
              <w:tc>
                <w:tcPr>
                  <w:tcW w:w="1189" w:type="dxa"/>
                  <w:tcBorders>
                    <w:tl2br w:val="nil"/>
                    <w:tr2bl w:val="nil"/>
                  </w:tcBorders>
                  <w:noWrap w:val="0"/>
                  <w:vAlign w:val="center"/>
                </w:tcPr>
                <w:p w14:paraId="792BE67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203F777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1EB9723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028B5BE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卸油停车位</w:t>
                  </w:r>
                </w:p>
              </w:tc>
              <w:tc>
                <w:tcPr>
                  <w:tcW w:w="4273" w:type="dxa"/>
                  <w:tcBorders>
                    <w:tl2br w:val="nil"/>
                    <w:tr2bl w:val="nil"/>
                  </w:tcBorders>
                  <w:noWrap w:val="0"/>
                  <w:vAlign w:val="center"/>
                </w:tcPr>
                <w:p w14:paraId="33EEF361">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位于埋地油罐区西侧，建筑面积50m</w:t>
                  </w:r>
                  <w:r>
                    <w:rPr>
                      <w:rFonts w:hint="default" w:ascii="Times New Roman" w:hAnsi="Times New Roman" w:eastAsia="仿宋_GB2312" w:cs="Times New Roman"/>
                      <w:bCs/>
                      <w:color w:val="auto"/>
                      <w:sz w:val="21"/>
                      <w:szCs w:val="21"/>
                      <w:vertAlign w:val="superscript"/>
                      <w:lang w:val="en-US" w:eastAsia="zh-CN"/>
                    </w:rPr>
                    <w:t>2</w:t>
                  </w:r>
                  <w:r>
                    <w:rPr>
                      <w:rFonts w:hint="default" w:ascii="Times New Roman" w:hAnsi="Times New Roman" w:eastAsia="仿宋_GB2312" w:cs="Times New Roman"/>
                      <w:bCs/>
                      <w:color w:val="auto"/>
                      <w:sz w:val="21"/>
                      <w:szCs w:val="21"/>
                      <w:vertAlign w:val="baseline"/>
                      <w:lang w:val="en-US" w:eastAsia="zh-CN"/>
                    </w:rPr>
                    <w:t>。</w:t>
                  </w:r>
                </w:p>
              </w:tc>
              <w:tc>
                <w:tcPr>
                  <w:tcW w:w="1189" w:type="dxa"/>
                  <w:tcBorders>
                    <w:tl2br w:val="nil"/>
                    <w:tr2bl w:val="nil"/>
                  </w:tcBorders>
                  <w:noWrap w:val="0"/>
                  <w:vAlign w:val="center"/>
                </w:tcPr>
                <w:p w14:paraId="3CF08B9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0AE3FDD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46286B0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645C8CF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洗车系统</w:t>
                  </w:r>
                </w:p>
              </w:tc>
              <w:tc>
                <w:tcPr>
                  <w:tcW w:w="4273" w:type="dxa"/>
                  <w:tcBorders>
                    <w:tl2br w:val="nil"/>
                    <w:tr2bl w:val="nil"/>
                  </w:tcBorders>
                  <w:noWrap w:val="0"/>
                  <w:vAlign w:val="center"/>
                </w:tcPr>
                <w:p w14:paraId="12C9BB83">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设置洗车机一台，配套污水收集处理系统。</w:t>
                  </w:r>
                </w:p>
              </w:tc>
              <w:tc>
                <w:tcPr>
                  <w:tcW w:w="1189" w:type="dxa"/>
                  <w:tcBorders>
                    <w:tl2br w:val="nil"/>
                    <w:tr2bl w:val="nil"/>
                  </w:tcBorders>
                  <w:noWrap w:val="0"/>
                  <w:vAlign w:val="center"/>
                </w:tcPr>
                <w:p w14:paraId="2485F21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0317E16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034DDF5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200D356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站房A</w:t>
                  </w:r>
                </w:p>
              </w:tc>
              <w:tc>
                <w:tcPr>
                  <w:tcW w:w="4273" w:type="dxa"/>
                  <w:tcBorders>
                    <w:tl2br w:val="nil"/>
                    <w:tr2bl w:val="nil"/>
                  </w:tcBorders>
                  <w:noWrap w:val="0"/>
                  <w:vAlign w:val="center"/>
                </w:tcPr>
                <w:p w14:paraId="3C9E23DD">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2F，毗邻加油罩棚东侧，建筑面积为405m</w:t>
                  </w:r>
                  <w:r>
                    <w:rPr>
                      <w:rFonts w:hint="default" w:ascii="Times New Roman" w:hAnsi="Times New Roman" w:eastAsia="仿宋_GB2312" w:cs="Times New Roman"/>
                      <w:bCs/>
                      <w:color w:val="auto"/>
                      <w:sz w:val="21"/>
                      <w:szCs w:val="21"/>
                      <w:vertAlign w:val="superscript"/>
                      <w:lang w:val="en-US" w:eastAsia="zh-CN"/>
                    </w:rPr>
                    <w:t>2</w:t>
                  </w:r>
                  <w:r>
                    <w:rPr>
                      <w:rFonts w:hint="default" w:ascii="Times New Roman" w:hAnsi="Times New Roman" w:eastAsia="仿宋_GB2312" w:cs="Times New Roman"/>
                      <w:bCs/>
                      <w:color w:val="auto"/>
                      <w:sz w:val="21"/>
                      <w:szCs w:val="21"/>
                      <w:vertAlign w:val="baseline"/>
                      <w:lang w:val="en-US" w:eastAsia="zh-CN"/>
                    </w:rPr>
                    <w:t>。</w:t>
                  </w:r>
                </w:p>
              </w:tc>
              <w:tc>
                <w:tcPr>
                  <w:tcW w:w="1189" w:type="dxa"/>
                  <w:tcBorders>
                    <w:tl2br w:val="nil"/>
                    <w:tr2bl w:val="nil"/>
                  </w:tcBorders>
                  <w:noWrap w:val="0"/>
                  <w:vAlign w:val="center"/>
                </w:tcPr>
                <w:p w14:paraId="1851627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0813995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69A7D61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shd w:val="clear" w:color="auto" w:fill="auto"/>
                  <w:noWrap w:val="0"/>
                  <w:vAlign w:val="center"/>
                </w:tcPr>
                <w:p w14:paraId="2EE33F1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站房B</w:t>
                  </w:r>
                </w:p>
              </w:tc>
              <w:tc>
                <w:tcPr>
                  <w:tcW w:w="4273" w:type="dxa"/>
                  <w:tcBorders>
                    <w:tl2br w:val="nil"/>
                    <w:tr2bl w:val="nil"/>
                  </w:tcBorders>
                  <w:shd w:val="clear" w:color="auto" w:fill="auto"/>
                  <w:noWrap w:val="0"/>
                  <w:vAlign w:val="center"/>
                </w:tcPr>
                <w:p w14:paraId="25947DE4">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2F，位于场区北侧，建筑面积为405m</w:t>
                  </w:r>
                  <w:r>
                    <w:rPr>
                      <w:rFonts w:hint="default" w:ascii="Times New Roman" w:hAnsi="Times New Roman" w:eastAsia="仿宋_GB2312" w:cs="Times New Roman"/>
                      <w:bCs/>
                      <w:color w:val="auto"/>
                      <w:sz w:val="21"/>
                      <w:szCs w:val="21"/>
                      <w:vertAlign w:val="superscript"/>
                      <w:lang w:val="en-US" w:eastAsia="zh-CN"/>
                    </w:rPr>
                    <w:t>2</w:t>
                  </w:r>
                  <w:r>
                    <w:rPr>
                      <w:rFonts w:hint="default" w:ascii="Times New Roman" w:hAnsi="Times New Roman" w:eastAsia="仿宋_GB2312" w:cs="Times New Roman"/>
                      <w:bCs/>
                      <w:color w:val="auto"/>
                      <w:sz w:val="21"/>
                      <w:szCs w:val="21"/>
                      <w:vertAlign w:val="baseline"/>
                      <w:lang w:val="en-US" w:eastAsia="zh-CN"/>
                    </w:rPr>
                    <w:t>。</w:t>
                  </w:r>
                </w:p>
              </w:tc>
              <w:tc>
                <w:tcPr>
                  <w:tcW w:w="1189" w:type="dxa"/>
                  <w:tcBorders>
                    <w:tl2br w:val="nil"/>
                    <w:tr2bl w:val="nil"/>
                  </w:tcBorders>
                  <w:noWrap w:val="0"/>
                  <w:vAlign w:val="center"/>
                </w:tcPr>
                <w:p w14:paraId="7259AD1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5B2ABD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1BCBDBE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shd w:val="clear" w:color="auto" w:fill="auto"/>
                  <w:noWrap w:val="0"/>
                  <w:vAlign w:val="center"/>
                </w:tcPr>
                <w:p w14:paraId="706616D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停车场</w:t>
                  </w:r>
                </w:p>
              </w:tc>
              <w:tc>
                <w:tcPr>
                  <w:tcW w:w="4273" w:type="dxa"/>
                  <w:tcBorders>
                    <w:tl2br w:val="nil"/>
                    <w:tr2bl w:val="nil"/>
                  </w:tcBorders>
                  <w:shd w:val="clear" w:color="auto" w:fill="auto"/>
                  <w:noWrap w:val="0"/>
                  <w:vAlign w:val="center"/>
                </w:tcPr>
                <w:p w14:paraId="41BC0BB8">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机动车停车位106个（含充电车位）。</w:t>
                  </w:r>
                </w:p>
              </w:tc>
              <w:tc>
                <w:tcPr>
                  <w:tcW w:w="1189" w:type="dxa"/>
                  <w:tcBorders>
                    <w:tl2br w:val="nil"/>
                    <w:tr2bl w:val="nil"/>
                  </w:tcBorders>
                  <w:noWrap w:val="0"/>
                  <w:vAlign w:val="center"/>
                </w:tcPr>
                <w:p w14:paraId="36C1205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4445758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restart"/>
                  <w:tcBorders>
                    <w:tl2br w:val="nil"/>
                    <w:tr2bl w:val="nil"/>
                  </w:tcBorders>
                  <w:noWrap w:val="0"/>
                  <w:vAlign w:val="center"/>
                </w:tcPr>
                <w:p w14:paraId="39BC42F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公用工程</w:t>
                  </w:r>
                </w:p>
              </w:tc>
              <w:tc>
                <w:tcPr>
                  <w:tcW w:w="1968" w:type="dxa"/>
                  <w:tcBorders>
                    <w:tl2br w:val="nil"/>
                    <w:tr2bl w:val="nil"/>
                  </w:tcBorders>
                  <w:noWrap w:val="0"/>
                  <w:vAlign w:val="center"/>
                </w:tcPr>
                <w:p w14:paraId="3C84444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给水工程</w:t>
                  </w:r>
                </w:p>
              </w:tc>
              <w:tc>
                <w:tcPr>
                  <w:tcW w:w="4273" w:type="dxa"/>
                  <w:tcBorders>
                    <w:tl2br w:val="nil"/>
                    <w:tr2bl w:val="nil"/>
                  </w:tcBorders>
                  <w:noWrap w:val="0"/>
                  <w:vAlign w:val="center"/>
                </w:tcPr>
                <w:p w14:paraId="581AF89F">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由市政管网供水。</w:t>
                  </w:r>
                </w:p>
              </w:tc>
              <w:tc>
                <w:tcPr>
                  <w:tcW w:w="1189" w:type="dxa"/>
                  <w:tcBorders>
                    <w:tl2br w:val="nil"/>
                    <w:tr2bl w:val="nil"/>
                  </w:tcBorders>
                  <w:noWrap w:val="0"/>
                  <w:vAlign w:val="center"/>
                </w:tcPr>
                <w:p w14:paraId="64015CA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2FB048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5D76F49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538F24E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供电工程</w:t>
                  </w:r>
                </w:p>
              </w:tc>
              <w:tc>
                <w:tcPr>
                  <w:tcW w:w="4273" w:type="dxa"/>
                  <w:tcBorders>
                    <w:tl2br w:val="nil"/>
                    <w:tr2bl w:val="nil"/>
                  </w:tcBorders>
                  <w:noWrap w:val="0"/>
                  <w:vAlign w:val="center"/>
                </w:tcPr>
                <w:p w14:paraId="17AB1AD7">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由市政电网供电，箱式变压器3台（充电区2台）。</w:t>
                  </w:r>
                </w:p>
              </w:tc>
              <w:tc>
                <w:tcPr>
                  <w:tcW w:w="1189" w:type="dxa"/>
                  <w:tcBorders>
                    <w:tl2br w:val="nil"/>
                    <w:tr2bl w:val="nil"/>
                  </w:tcBorders>
                  <w:noWrap w:val="0"/>
                  <w:vAlign w:val="center"/>
                </w:tcPr>
                <w:p w14:paraId="1D08380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148DBBE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717DB95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vMerge w:val="restart"/>
                  <w:tcBorders>
                    <w:tl2br w:val="nil"/>
                    <w:tr2bl w:val="nil"/>
                  </w:tcBorders>
                  <w:noWrap w:val="0"/>
                  <w:vAlign w:val="center"/>
                </w:tcPr>
                <w:p w14:paraId="2056F58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消防系统</w:t>
                  </w:r>
                </w:p>
              </w:tc>
              <w:tc>
                <w:tcPr>
                  <w:tcW w:w="4273" w:type="dxa"/>
                  <w:tcBorders>
                    <w:tl2br w:val="nil"/>
                    <w:tr2bl w:val="nil"/>
                  </w:tcBorders>
                  <w:noWrap w:val="0"/>
                  <w:vAlign w:val="center"/>
                </w:tcPr>
                <w:p w14:paraId="22B0CC14">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在门厅、安全出口、疏散</w:t>
                  </w:r>
                  <w:r>
                    <w:rPr>
                      <w:rFonts w:hint="eastAsia" w:eastAsia="仿宋_GB2312" w:cs="Times New Roman"/>
                      <w:bCs/>
                      <w:color w:val="auto"/>
                      <w:sz w:val="21"/>
                      <w:szCs w:val="21"/>
                      <w:vertAlign w:val="baseline"/>
                      <w:lang w:val="en-US" w:eastAsia="zh-CN"/>
                    </w:rPr>
                    <w:t>通</w:t>
                  </w:r>
                  <w:r>
                    <w:rPr>
                      <w:rFonts w:hint="default" w:ascii="Times New Roman" w:hAnsi="Times New Roman" w:eastAsia="仿宋_GB2312" w:cs="Times New Roman"/>
                      <w:bCs/>
                      <w:color w:val="auto"/>
                      <w:sz w:val="21"/>
                      <w:szCs w:val="21"/>
                      <w:vertAlign w:val="baseline"/>
                      <w:lang w:val="en-US" w:eastAsia="zh-CN"/>
                    </w:rPr>
                    <w:t>道、楼梯间等处设置应急照明和疏散指示标志。</w:t>
                  </w:r>
                </w:p>
              </w:tc>
              <w:tc>
                <w:tcPr>
                  <w:tcW w:w="1189" w:type="dxa"/>
                  <w:tcBorders>
                    <w:tl2br w:val="nil"/>
                    <w:tr2bl w:val="nil"/>
                  </w:tcBorders>
                  <w:noWrap w:val="0"/>
                  <w:vAlign w:val="center"/>
                </w:tcPr>
                <w:p w14:paraId="7DB5BDC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566C2D3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50141A2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vMerge w:val="continue"/>
                  <w:tcBorders>
                    <w:tl2br w:val="nil"/>
                    <w:tr2bl w:val="nil"/>
                  </w:tcBorders>
                  <w:noWrap w:val="0"/>
                  <w:vAlign w:val="center"/>
                </w:tcPr>
                <w:p w14:paraId="1882C68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4273" w:type="dxa"/>
                  <w:tcBorders>
                    <w:tl2br w:val="nil"/>
                    <w:tr2bl w:val="nil"/>
                  </w:tcBorders>
                  <w:noWrap w:val="0"/>
                  <w:vAlign w:val="center"/>
                </w:tcPr>
                <w:p w14:paraId="48F95903">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加油区设置6只5kg手提式干粉灭火器，卸油区设置1只35kg推车式干粉灭火器，油罐区设置2m</w:t>
                  </w:r>
                  <w:r>
                    <w:rPr>
                      <w:rFonts w:hint="default" w:ascii="Times New Roman" w:hAnsi="Times New Roman" w:eastAsia="仿宋_GB2312" w:cs="Times New Roman"/>
                      <w:bCs/>
                      <w:color w:val="auto"/>
                      <w:sz w:val="21"/>
                      <w:szCs w:val="21"/>
                      <w:vertAlign w:val="superscript"/>
                      <w:lang w:val="en-US" w:eastAsia="zh-CN"/>
                    </w:rPr>
                    <w:t>3</w:t>
                  </w:r>
                  <w:r>
                    <w:rPr>
                      <w:rFonts w:hint="default" w:ascii="Times New Roman" w:hAnsi="Times New Roman" w:eastAsia="仿宋_GB2312" w:cs="Times New Roman"/>
                      <w:bCs/>
                      <w:color w:val="auto"/>
                      <w:sz w:val="21"/>
                      <w:szCs w:val="21"/>
                      <w:vertAlign w:val="baseline"/>
                      <w:lang w:val="en-US" w:eastAsia="zh-CN"/>
                    </w:rPr>
                    <w:t>消防沙、5块灭火毯。</w:t>
                  </w:r>
                </w:p>
              </w:tc>
              <w:tc>
                <w:tcPr>
                  <w:tcW w:w="1189" w:type="dxa"/>
                  <w:tcBorders>
                    <w:tl2br w:val="nil"/>
                    <w:tr2bl w:val="nil"/>
                  </w:tcBorders>
                  <w:noWrap w:val="0"/>
                  <w:vAlign w:val="center"/>
                </w:tcPr>
                <w:p w14:paraId="54962EC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514F1D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22E68A1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vMerge w:val="continue"/>
                  <w:tcBorders>
                    <w:tl2br w:val="nil"/>
                    <w:tr2bl w:val="nil"/>
                  </w:tcBorders>
                  <w:noWrap w:val="0"/>
                  <w:vAlign w:val="center"/>
                </w:tcPr>
                <w:p w14:paraId="421887E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4273" w:type="dxa"/>
                  <w:tcBorders>
                    <w:tl2br w:val="nil"/>
                    <w:tr2bl w:val="nil"/>
                  </w:tcBorders>
                  <w:noWrap w:val="0"/>
                  <w:vAlign w:val="center"/>
                </w:tcPr>
                <w:p w14:paraId="52ED5FCF">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A站房设置8只5kg手提式干粉灭火器（站房内配电、控制间设置2只5kg手提式二氧化碳灭火器）。B站房设置8只5kg手提式干粉灭火器。</w:t>
                  </w:r>
                </w:p>
              </w:tc>
              <w:tc>
                <w:tcPr>
                  <w:tcW w:w="1189" w:type="dxa"/>
                  <w:tcBorders>
                    <w:tl2br w:val="nil"/>
                    <w:tr2bl w:val="nil"/>
                  </w:tcBorders>
                  <w:noWrap w:val="0"/>
                  <w:vAlign w:val="center"/>
                </w:tcPr>
                <w:p w14:paraId="12CDEE8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63A2FB1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restart"/>
                  <w:tcBorders>
                    <w:tl2br w:val="nil"/>
                    <w:tr2bl w:val="nil"/>
                  </w:tcBorders>
                  <w:noWrap w:val="0"/>
                  <w:vAlign w:val="center"/>
                </w:tcPr>
                <w:p w14:paraId="28BDEB2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环保工程</w:t>
                  </w:r>
                </w:p>
              </w:tc>
              <w:tc>
                <w:tcPr>
                  <w:tcW w:w="1968" w:type="dxa"/>
                  <w:tcBorders>
                    <w:tl2br w:val="nil"/>
                    <w:tr2bl w:val="nil"/>
                  </w:tcBorders>
                  <w:noWrap w:val="0"/>
                  <w:vAlign w:val="center"/>
                </w:tcPr>
                <w:p w14:paraId="14EADAB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废水处理</w:t>
                  </w:r>
                </w:p>
              </w:tc>
              <w:tc>
                <w:tcPr>
                  <w:tcW w:w="4273" w:type="dxa"/>
                  <w:tcBorders>
                    <w:tl2br w:val="nil"/>
                    <w:tr2bl w:val="nil"/>
                  </w:tcBorders>
                  <w:noWrap w:val="0"/>
                  <w:vAlign w:val="center"/>
                </w:tcPr>
                <w:p w14:paraId="4C01B895">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雨污分流，屋面雨水直接进入市政雨水管网；生活污水经5m</w:t>
                  </w:r>
                  <w:r>
                    <w:rPr>
                      <w:rFonts w:hint="default" w:ascii="Times New Roman" w:hAnsi="Times New Roman" w:eastAsia="仿宋_GB2312" w:cs="Times New Roman"/>
                      <w:bCs/>
                      <w:color w:val="auto"/>
                      <w:sz w:val="21"/>
                      <w:szCs w:val="21"/>
                      <w:vertAlign w:val="superscript"/>
                      <w:lang w:val="en-US" w:eastAsia="zh-CN"/>
                    </w:rPr>
                    <w:t>3</w:t>
                  </w:r>
                  <w:r>
                    <w:rPr>
                      <w:rFonts w:hint="default" w:ascii="Times New Roman" w:hAnsi="Times New Roman" w:eastAsia="仿宋_GB2312" w:cs="Times New Roman"/>
                      <w:bCs/>
                      <w:color w:val="auto"/>
                      <w:sz w:val="21"/>
                      <w:szCs w:val="21"/>
                      <w:vertAlign w:val="baseline"/>
                      <w:lang w:val="en-US" w:eastAsia="zh-CN"/>
                    </w:rPr>
                    <w:t>/d地埋式一体化污水处理装置处理后排入市政管网；加油区地面清洗废水及地面雨水经隔油沉淀池（25m</w:t>
                  </w:r>
                  <w:r>
                    <w:rPr>
                      <w:rFonts w:hint="default" w:ascii="Times New Roman" w:hAnsi="Times New Roman" w:eastAsia="仿宋_GB2312" w:cs="Times New Roman"/>
                      <w:bCs/>
                      <w:color w:val="auto"/>
                      <w:sz w:val="21"/>
                      <w:szCs w:val="21"/>
                      <w:vertAlign w:val="superscript"/>
                      <w:lang w:val="en-US" w:eastAsia="zh-CN"/>
                    </w:rPr>
                    <w:t>3</w:t>
                  </w:r>
                  <w:r>
                    <w:rPr>
                      <w:rFonts w:hint="default" w:ascii="Times New Roman" w:hAnsi="Times New Roman" w:eastAsia="仿宋_GB2312" w:cs="Times New Roman"/>
                      <w:bCs/>
                      <w:color w:val="auto"/>
                      <w:sz w:val="21"/>
                      <w:szCs w:val="21"/>
                      <w:vertAlign w:val="baseline"/>
                      <w:lang w:val="en-US" w:eastAsia="zh-CN"/>
                    </w:rPr>
                    <w:t>）预处理后排入市政管网，接入东至国祯水处理有限公司，尾水排入尧渡河。</w:t>
                  </w:r>
                </w:p>
              </w:tc>
              <w:tc>
                <w:tcPr>
                  <w:tcW w:w="1189" w:type="dxa"/>
                  <w:tcBorders>
                    <w:tl2br w:val="nil"/>
                    <w:tr2bl w:val="nil"/>
                  </w:tcBorders>
                  <w:noWrap w:val="0"/>
                  <w:vAlign w:val="center"/>
                </w:tcPr>
                <w:p w14:paraId="6CB139B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18CF0D2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235EF45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3EA56D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废气处理</w:t>
                  </w:r>
                </w:p>
              </w:tc>
              <w:tc>
                <w:tcPr>
                  <w:tcW w:w="4273" w:type="dxa"/>
                  <w:tcBorders>
                    <w:tl2br w:val="nil"/>
                    <w:tr2bl w:val="nil"/>
                  </w:tcBorders>
                  <w:noWrap w:val="0"/>
                  <w:vAlign w:val="center"/>
                </w:tcPr>
                <w:p w14:paraId="4EEECBB3">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卸油时产生的油气通过卸油油气回收系统回收于油罐车内，加油时产生的油气通过加油油气回收系统回收于储油罐内；来往车辆产生的汽车尾气通过合理布置停车位置，减少车辆在加油站范围内的行驶距离，增大绿化面积和空旷地带的空气流通，并设置专人对停车场进行管理和维护，减少废气污染排放。</w:t>
                  </w:r>
                </w:p>
              </w:tc>
              <w:tc>
                <w:tcPr>
                  <w:tcW w:w="1189" w:type="dxa"/>
                  <w:tcBorders>
                    <w:tl2br w:val="nil"/>
                    <w:tr2bl w:val="nil"/>
                  </w:tcBorders>
                  <w:noWrap w:val="0"/>
                  <w:vAlign w:val="center"/>
                </w:tcPr>
                <w:p w14:paraId="609D3A8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4789BB4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7E10674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65B0717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噪声处理</w:t>
                  </w:r>
                </w:p>
              </w:tc>
              <w:tc>
                <w:tcPr>
                  <w:tcW w:w="4273" w:type="dxa"/>
                  <w:tcBorders>
                    <w:tl2br w:val="nil"/>
                    <w:tr2bl w:val="nil"/>
                  </w:tcBorders>
                  <w:noWrap w:val="0"/>
                  <w:vAlign w:val="center"/>
                </w:tcPr>
                <w:p w14:paraId="79F45D08">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站房隔声、</w:t>
                  </w:r>
                  <w:r>
                    <w:rPr>
                      <w:rFonts w:hint="eastAsia" w:eastAsia="仿宋_GB2312" w:cs="Times New Roman"/>
                      <w:bCs/>
                      <w:color w:val="auto"/>
                      <w:sz w:val="21"/>
                      <w:szCs w:val="21"/>
                      <w:vertAlign w:val="baseline"/>
                      <w:lang w:val="en-US" w:eastAsia="zh-CN"/>
                    </w:rPr>
                    <w:t>减振</w:t>
                  </w:r>
                  <w:r>
                    <w:rPr>
                      <w:rFonts w:hint="default" w:ascii="Times New Roman" w:hAnsi="Times New Roman" w:eastAsia="仿宋_GB2312" w:cs="Times New Roman"/>
                      <w:bCs/>
                      <w:color w:val="auto"/>
                      <w:sz w:val="21"/>
                      <w:szCs w:val="21"/>
                      <w:vertAlign w:val="baseline"/>
                      <w:lang w:val="en-US" w:eastAsia="zh-CN"/>
                    </w:rPr>
                    <w:t>，定期维护保养设备等措施降低机械噪声；加强管理，进出车辆禁止鸣笛，来往人群禁止大声喧哗。</w:t>
                  </w:r>
                </w:p>
              </w:tc>
              <w:tc>
                <w:tcPr>
                  <w:tcW w:w="1189" w:type="dxa"/>
                  <w:tcBorders>
                    <w:tl2br w:val="nil"/>
                    <w:tr2bl w:val="nil"/>
                  </w:tcBorders>
                  <w:noWrap w:val="0"/>
                  <w:vAlign w:val="center"/>
                </w:tcPr>
                <w:p w14:paraId="55864CE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16ED6D7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1C4041A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036F418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固废处理</w:t>
                  </w:r>
                </w:p>
              </w:tc>
              <w:tc>
                <w:tcPr>
                  <w:tcW w:w="4273" w:type="dxa"/>
                  <w:tcBorders>
                    <w:tl2br w:val="nil"/>
                    <w:tr2bl w:val="nil"/>
                  </w:tcBorders>
                  <w:noWrap w:val="0"/>
                  <w:vAlign w:val="center"/>
                </w:tcPr>
                <w:p w14:paraId="1DD01205">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设置生活垃圾桶</w:t>
                  </w:r>
                  <w:r>
                    <w:rPr>
                      <w:rFonts w:hint="eastAsia" w:ascii="Times New Roman" w:hAnsi="Times New Roman" w:eastAsia="仿宋_GB2312" w:cs="Times New Roman"/>
                      <w:color w:val="auto"/>
                      <w:sz w:val="21"/>
                      <w:szCs w:val="21"/>
                      <w:highlight w:val="none"/>
                      <w:lang w:val="en-US" w:eastAsia="zh-CN"/>
                    </w:rPr>
                    <w:t>，危废暂存箱</w:t>
                  </w:r>
                  <w:r>
                    <w:rPr>
                      <w:rFonts w:hint="default" w:ascii="Times New Roman" w:hAnsi="Times New Roman" w:eastAsia="仿宋_GB2312" w:cs="Times New Roman"/>
                      <w:color w:val="auto"/>
                      <w:sz w:val="21"/>
                      <w:szCs w:val="21"/>
                      <w:highlight w:val="none"/>
                      <w:lang w:val="en-US" w:eastAsia="zh-CN"/>
                    </w:rPr>
                    <w:t>。</w:t>
                  </w:r>
                </w:p>
                <w:p w14:paraId="26EEF031">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lang w:val="en-US" w:eastAsia="zh-CN"/>
                    </w:rPr>
                    <w:t>油罐清理残液等由专业清理单位直接带走，交由有资质的单位处理处置，不在站内贮存；含油污泥</w:t>
                  </w:r>
                  <w:r>
                    <w:rPr>
                      <w:rFonts w:hint="eastAsia" w:ascii="Times New Roman" w:hAnsi="Times New Roman" w:eastAsia="仿宋_GB2312" w:cs="Times New Roman"/>
                      <w:color w:val="auto"/>
                      <w:sz w:val="21"/>
                      <w:szCs w:val="21"/>
                      <w:highlight w:val="none"/>
                      <w:lang w:val="en-US" w:eastAsia="zh-CN"/>
                    </w:rPr>
                    <w:t>由运维单位清掏后集中收集，定期</w:t>
                  </w:r>
                  <w:r>
                    <w:rPr>
                      <w:rFonts w:hint="default" w:ascii="Times New Roman" w:hAnsi="Times New Roman" w:eastAsia="仿宋_GB2312" w:cs="Times New Roman"/>
                      <w:color w:val="auto"/>
                      <w:sz w:val="21"/>
                      <w:szCs w:val="21"/>
                      <w:highlight w:val="none"/>
                      <w:lang w:val="en-US" w:eastAsia="zh-CN"/>
                    </w:rPr>
                    <w:t>委托有资质单位处</w:t>
                  </w:r>
                  <w:r>
                    <w:rPr>
                      <w:rFonts w:hint="eastAsia" w:ascii="Times New Roman" w:hAnsi="Times New Roman" w:eastAsia="仿宋_GB2312" w:cs="Times New Roman"/>
                      <w:color w:val="auto"/>
                      <w:sz w:val="21"/>
                      <w:szCs w:val="21"/>
                      <w:highlight w:val="none"/>
                      <w:lang w:val="en-US" w:eastAsia="zh-CN"/>
                    </w:rPr>
                    <w:t>置</w:t>
                  </w:r>
                  <w:r>
                    <w:rPr>
                      <w:rFonts w:hint="default" w:ascii="Times New Roman" w:hAnsi="Times New Roman" w:eastAsia="仿宋_GB2312" w:cs="Times New Roman"/>
                      <w:color w:val="auto"/>
                      <w:sz w:val="21"/>
                      <w:szCs w:val="21"/>
                      <w:highlight w:val="none"/>
                      <w:lang w:val="en-US" w:eastAsia="zh-CN"/>
                    </w:rPr>
                    <w:t>；生活垃圾</w:t>
                  </w:r>
                  <w:r>
                    <w:rPr>
                      <w:rFonts w:hint="default" w:ascii="Times New Roman" w:hAnsi="Times New Roman" w:eastAsia="仿宋_GB2312" w:cs="Times New Roman"/>
                      <w:color w:val="auto"/>
                      <w:sz w:val="21"/>
                      <w:szCs w:val="21"/>
                      <w:highlight w:val="none"/>
                      <w:lang w:val="zh-CN" w:eastAsia="zh-CN"/>
                    </w:rPr>
                    <w:t>交由环卫部门处理。</w:t>
                  </w:r>
                </w:p>
              </w:tc>
              <w:tc>
                <w:tcPr>
                  <w:tcW w:w="1189" w:type="dxa"/>
                  <w:tcBorders>
                    <w:tl2br w:val="nil"/>
                    <w:tr2bl w:val="nil"/>
                  </w:tcBorders>
                  <w:noWrap w:val="0"/>
                  <w:vAlign w:val="center"/>
                </w:tcPr>
                <w:p w14:paraId="256119E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2FAF3A1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697D7C3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033F1A4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防渗处理</w:t>
                  </w:r>
                </w:p>
              </w:tc>
              <w:tc>
                <w:tcPr>
                  <w:tcW w:w="4273" w:type="dxa"/>
                  <w:tcBorders>
                    <w:tl2br w:val="nil"/>
                    <w:tr2bl w:val="nil"/>
                  </w:tcBorders>
                  <w:noWrap w:val="0"/>
                  <w:vAlign w:val="center"/>
                </w:tcPr>
                <w:p w14:paraId="6BB62B94">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储罐区、供油管道、加油区等均做重点防渗，加强防腐防渗处理。</w:t>
                  </w:r>
                </w:p>
              </w:tc>
              <w:tc>
                <w:tcPr>
                  <w:tcW w:w="1189" w:type="dxa"/>
                  <w:tcBorders>
                    <w:tl2br w:val="nil"/>
                    <w:tr2bl w:val="nil"/>
                  </w:tcBorders>
                  <w:noWrap w:val="0"/>
                  <w:vAlign w:val="center"/>
                </w:tcPr>
                <w:p w14:paraId="4B1611F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6564EC2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58" w:type="dxa"/>
                  <w:vMerge w:val="continue"/>
                  <w:tcBorders>
                    <w:tl2br w:val="nil"/>
                    <w:tr2bl w:val="nil"/>
                  </w:tcBorders>
                  <w:noWrap w:val="0"/>
                  <w:vAlign w:val="center"/>
                </w:tcPr>
                <w:p w14:paraId="6F6AE74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968" w:type="dxa"/>
                  <w:tcBorders>
                    <w:tl2br w:val="nil"/>
                    <w:tr2bl w:val="nil"/>
                  </w:tcBorders>
                  <w:noWrap w:val="0"/>
                  <w:vAlign w:val="center"/>
                </w:tcPr>
                <w:p w14:paraId="52A54AB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环境风险</w:t>
                  </w:r>
                </w:p>
              </w:tc>
              <w:tc>
                <w:tcPr>
                  <w:tcW w:w="4273" w:type="dxa"/>
                  <w:tcBorders>
                    <w:tl2br w:val="nil"/>
                    <w:tr2bl w:val="nil"/>
                  </w:tcBorders>
                  <w:noWrap w:val="0"/>
                  <w:vAlign w:val="center"/>
                </w:tcPr>
                <w:p w14:paraId="0C64547D">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工艺设施之间设立足够的安全距离，设置防爆危险区；储罐均采用双层罐，设置液位监测、渗漏检测等实时监控系统；储罐下设防渗池，材料性能满足物料渗漏收集要求；设置储罐最充填量，严禁超量储存；设立严禁明火的警告牌，设置可燃气体检测装置、消防及火灾报警系统；配</w:t>
                  </w:r>
                  <w:r>
                    <w:rPr>
                      <w:rFonts w:hint="eastAsia" w:eastAsia="仿宋_GB2312" w:cs="Times New Roman"/>
                      <w:bCs/>
                      <w:color w:val="auto"/>
                      <w:sz w:val="21"/>
                      <w:szCs w:val="21"/>
                      <w:vertAlign w:val="baseline"/>
                      <w:lang w:val="en-US" w:eastAsia="zh-CN"/>
                    </w:rPr>
                    <w:t>备</w:t>
                  </w:r>
                  <w:r>
                    <w:rPr>
                      <w:rFonts w:hint="default" w:ascii="Times New Roman" w:hAnsi="Times New Roman" w:eastAsia="仿宋_GB2312" w:cs="Times New Roman"/>
                      <w:bCs/>
                      <w:color w:val="auto"/>
                      <w:sz w:val="21"/>
                      <w:szCs w:val="21"/>
                      <w:vertAlign w:val="baseline"/>
                      <w:lang w:val="en-US" w:eastAsia="zh-CN"/>
                    </w:rPr>
                    <w:t>相应的灭火装置和设施；加强安全教育培训和宣传；制定应急预案并定期演练。</w:t>
                  </w:r>
                </w:p>
              </w:tc>
              <w:tc>
                <w:tcPr>
                  <w:tcW w:w="1189" w:type="dxa"/>
                  <w:tcBorders>
                    <w:tl2br w:val="nil"/>
                    <w:tr2bl w:val="nil"/>
                  </w:tcBorders>
                  <w:noWrap w:val="0"/>
                  <w:vAlign w:val="center"/>
                </w:tcPr>
                <w:p w14:paraId="0F36558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bl>
          <w:p w14:paraId="19CD75CA">
            <w:pPr>
              <w:pStyle w:val="5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highlight w:val="none"/>
                <w:lang w:val="en-US" w:eastAsia="zh-CN"/>
              </w:rPr>
            </w:pPr>
            <w:r>
              <w:rPr>
                <w:rFonts w:hint="default" w:ascii="Times New Roman" w:hAnsi="Times New Roman" w:eastAsia="仿宋_GB2312" w:cs="Times New Roman"/>
                <w:snapToGrid w:val="0"/>
                <w:color w:val="auto"/>
                <w:sz w:val="24"/>
                <w:szCs w:val="24"/>
                <w:highlight w:val="none"/>
                <w:lang w:val="en-US" w:eastAsia="zh-CN"/>
              </w:rPr>
              <w:t>3、油品方案</w:t>
            </w:r>
          </w:p>
          <w:p w14:paraId="0DE1150C">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根据项目的设计方案，主要油品销售方案见下表2-2。</w:t>
            </w:r>
          </w:p>
          <w:p w14:paraId="4F99E861">
            <w:pPr>
              <w:pStyle w:val="49"/>
              <w:adjustRightIn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rPr>
              <w:t>表</w:t>
            </w:r>
            <w:r>
              <w:rPr>
                <w:rFonts w:hint="default" w:ascii="Times New Roman" w:hAnsi="Times New Roman" w:eastAsia="仿宋_GB2312" w:cs="Times New Roman"/>
                <w:color w:val="auto"/>
                <w:sz w:val="24"/>
                <w:szCs w:val="24"/>
                <w:highlight w:val="none"/>
                <w:lang w:val="en-US" w:eastAsia="zh-CN"/>
              </w:rPr>
              <w:t>2-2</w:t>
            </w:r>
            <w:r>
              <w:rPr>
                <w:rFonts w:hint="default" w:ascii="Times New Roman" w:hAnsi="Times New Roman" w:eastAsia="仿宋_GB2312" w:cs="Times New Roman"/>
                <w:color w:val="auto"/>
                <w:sz w:val="24"/>
                <w:szCs w:val="24"/>
                <w:highlight w:val="none"/>
              </w:rPr>
              <w:t xml:space="preserve"> </w:t>
            </w:r>
            <w:r>
              <w:rPr>
                <w:rFonts w:hint="default" w:ascii="Times New Roman" w:hAnsi="Times New Roman" w:eastAsia="仿宋_GB2312" w:cs="Times New Roman"/>
                <w:color w:val="auto"/>
                <w:sz w:val="24"/>
                <w:szCs w:val="24"/>
                <w:highlight w:val="none"/>
                <w:lang w:eastAsia="zh-CN"/>
              </w:rPr>
              <w:t>项目油品方案</w:t>
            </w:r>
          </w:p>
          <w:tbl>
            <w:tblPr>
              <w:tblStyle w:val="20"/>
              <w:tblW w:w="8088"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620"/>
              <w:gridCol w:w="1000"/>
              <w:gridCol w:w="2470"/>
              <w:gridCol w:w="2302"/>
            </w:tblGrid>
            <w:tr w14:paraId="7CE4998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96" w:type="dxa"/>
                  <w:tcBorders>
                    <w:tl2br w:val="nil"/>
                    <w:tr2bl w:val="nil"/>
                  </w:tcBorders>
                  <w:vAlign w:val="center"/>
                </w:tcPr>
                <w:p w14:paraId="781880B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序号</w:t>
                  </w:r>
                </w:p>
              </w:tc>
              <w:tc>
                <w:tcPr>
                  <w:tcW w:w="1620" w:type="dxa"/>
                  <w:tcBorders>
                    <w:tl2br w:val="nil"/>
                    <w:tr2bl w:val="nil"/>
                  </w:tcBorders>
                  <w:vAlign w:val="center"/>
                </w:tcPr>
                <w:p w14:paraId="73BEE25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产品名称</w:t>
                  </w:r>
                </w:p>
              </w:tc>
              <w:tc>
                <w:tcPr>
                  <w:tcW w:w="1000" w:type="dxa"/>
                  <w:tcBorders>
                    <w:tl2br w:val="nil"/>
                    <w:tr2bl w:val="nil"/>
                  </w:tcBorders>
                  <w:vAlign w:val="center"/>
                </w:tcPr>
                <w:p w14:paraId="28DA1B6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单位</w:t>
                  </w:r>
                </w:p>
              </w:tc>
              <w:tc>
                <w:tcPr>
                  <w:tcW w:w="2470" w:type="dxa"/>
                  <w:tcBorders>
                    <w:tl2br w:val="nil"/>
                    <w:tr2bl w:val="nil"/>
                  </w:tcBorders>
                  <w:vAlign w:val="center"/>
                </w:tcPr>
                <w:p w14:paraId="353D2BD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年销售量</w:t>
                  </w:r>
                </w:p>
              </w:tc>
              <w:tc>
                <w:tcPr>
                  <w:tcW w:w="2302" w:type="dxa"/>
                  <w:tcBorders>
                    <w:tl2br w:val="nil"/>
                    <w:tr2bl w:val="nil"/>
                  </w:tcBorders>
                  <w:vAlign w:val="center"/>
                </w:tcPr>
                <w:p w14:paraId="4C9BE75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备注</w:t>
                  </w:r>
                </w:p>
              </w:tc>
            </w:tr>
            <w:tr w14:paraId="5DE06C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96" w:type="dxa"/>
                  <w:vMerge w:val="restart"/>
                  <w:tcBorders>
                    <w:tl2br w:val="nil"/>
                    <w:tr2bl w:val="nil"/>
                  </w:tcBorders>
                  <w:vAlign w:val="center"/>
                </w:tcPr>
                <w:p w14:paraId="79BD6A1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w:t>
                  </w:r>
                </w:p>
              </w:tc>
              <w:tc>
                <w:tcPr>
                  <w:tcW w:w="1620" w:type="dxa"/>
                  <w:vMerge w:val="restart"/>
                  <w:tcBorders>
                    <w:tl2br w:val="nil"/>
                    <w:tr2bl w:val="nil"/>
                  </w:tcBorders>
                  <w:vAlign w:val="center"/>
                </w:tcPr>
                <w:p w14:paraId="7136F5F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汽油</w:t>
                  </w:r>
                </w:p>
              </w:tc>
              <w:tc>
                <w:tcPr>
                  <w:tcW w:w="1000" w:type="dxa"/>
                  <w:tcBorders>
                    <w:tl2br w:val="nil"/>
                    <w:tr2bl w:val="nil"/>
                  </w:tcBorders>
                  <w:vAlign w:val="center"/>
                </w:tcPr>
                <w:p w14:paraId="2478437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t/a</w:t>
                  </w:r>
                </w:p>
              </w:tc>
              <w:tc>
                <w:tcPr>
                  <w:tcW w:w="2470" w:type="dxa"/>
                  <w:tcBorders>
                    <w:tl2br w:val="nil"/>
                    <w:tr2bl w:val="nil"/>
                  </w:tcBorders>
                  <w:vAlign w:val="center"/>
                </w:tcPr>
                <w:p w14:paraId="4886F00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1000</w:t>
                  </w:r>
                </w:p>
              </w:tc>
              <w:tc>
                <w:tcPr>
                  <w:tcW w:w="2302" w:type="dxa"/>
                  <w:tcBorders>
                    <w:tl2br w:val="nil"/>
                    <w:tr2bl w:val="nil"/>
                  </w:tcBorders>
                  <w:vAlign w:val="center"/>
                </w:tcPr>
                <w:p w14:paraId="348968B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92#汽油</w:t>
                  </w:r>
                </w:p>
              </w:tc>
            </w:tr>
            <w:tr w14:paraId="056AC28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96" w:type="dxa"/>
                  <w:vMerge w:val="continue"/>
                  <w:tcBorders>
                    <w:tl2br w:val="nil"/>
                    <w:tr2bl w:val="nil"/>
                  </w:tcBorders>
                  <w:vAlign w:val="center"/>
                </w:tcPr>
                <w:p w14:paraId="1D5D188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0" w:type="dxa"/>
                  <w:vMerge w:val="continue"/>
                  <w:tcBorders>
                    <w:tl2br w:val="nil"/>
                    <w:tr2bl w:val="nil"/>
                  </w:tcBorders>
                  <w:vAlign w:val="center"/>
                </w:tcPr>
                <w:p w14:paraId="173F143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000" w:type="dxa"/>
                  <w:tcBorders>
                    <w:tl2br w:val="nil"/>
                    <w:tr2bl w:val="nil"/>
                  </w:tcBorders>
                  <w:vAlign w:val="center"/>
                </w:tcPr>
                <w:p w14:paraId="02288DF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t/a</w:t>
                  </w:r>
                </w:p>
              </w:tc>
              <w:tc>
                <w:tcPr>
                  <w:tcW w:w="2470" w:type="dxa"/>
                  <w:tcBorders>
                    <w:tl2br w:val="nil"/>
                    <w:tr2bl w:val="nil"/>
                  </w:tcBorders>
                  <w:vAlign w:val="center"/>
                </w:tcPr>
                <w:p w14:paraId="76D79D9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200</w:t>
                  </w:r>
                </w:p>
              </w:tc>
              <w:tc>
                <w:tcPr>
                  <w:tcW w:w="2302" w:type="dxa"/>
                  <w:tcBorders>
                    <w:tl2br w:val="nil"/>
                    <w:tr2bl w:val="nil"/>
                  </w:tcBorders>
                  <w:vAlign w:val="center"/>
                </w:tcPr>
                <w:p w14:paraId="7C840D0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95#汽油</w:t>
                  </w:r>
                </w:p>
              </w:tc>
            </w:tr>
            <w:tr w14:paraId="194C27D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96" w:type="dxa"/>
                  <w:vMerge w:val="continue"/>
                  <w:tcBorders>
                    <w:tl2br w:val="nil"/>
                    <w:tr2bl w:val="nil"/>
                  </w:tcBorders>
                  <w:vAlign w:val="center"/>
                </w:tcPr>
                <w:p w14:paraId="5881E02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0" w:type="dxa"/>
                  <w:vMerge w:val="continue"/>
                  <w:tcBorders>
                    <w:tl2br w:val="nil"/>
                    <w:tr2bl w:val="nil"/>
                  </w:tcBorders>
                  <w:vAlign w:val="center"/>
                </w:tcPr>
                <w:p w14:paraId="149CE91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000" w:type="dxa"/>
                  <w:tcBorders>
                    <w:tl2br w:val="nil"/>
                    <w:tr2bl w:val="nil"/>
                  </w:tcBorders>
                  <w:vAlign w:val="center"/>
                </w:tcPr>
                <w:p w14:paraId="3E2E450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t/a</w:t>
                  </w:r>
                </w:p>
              </w:tc>
              <w:tc>
                <w:tcPr>
                  <w:tcW w:w="2470" w:type="dxa"/>
                  <w:tcBorders>
                    <w:tl2br w:val="nil"/>
                    <w:tr2bl w:val="nil"/>
                  </w:tcBorders>
                  <w:vAlign w:val="center"/>
                </w:tcPr>
                <w:p w14:paraId="255B68E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50</w:t>
                  </w:r>
                </w:p>
              </w:tc>
              <w:tc>
                <w:tcPr>
                  <w:tcW w:w="2302" w:type="dxa"/>
                  <w:tcBorders>
                    <w:tl2br w:val="nil"/>
                    <w:tr2bl w:val="nil"/>
                  </w:tcBorders>
                  <w:vAlign w:val="center"/>
                </w:tcPr>
                <w:p w14:paraId="78D7C71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98#汽油</w:t>
                  </w:r>
                </w:p>
              </w:tc>
            </w:tr>
            <w:tr w14:paraId="78CD5D8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96" w:type="dxa"/>
                  <w:vMerge w:val="restart"/>
                  <w:tcBorders>
                    <w:tl2br w:val="nil"/>
                    <w:tr2bl w:val="nil"/>
                  </w:tcBorders>
                  <w:vAlign w:val="center"/>
                </w:tcPr>
                <w:p w14:paraId="7CCF9C8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w:t>
                  </w:r>
                </w:p>
              </w:tc>
              <w:tc>
                <w:tcPr>
                  <w:tcW w:w="1620" w:type="dxa"/>
                  <w:vMerge w:val="restart"/>
                  <w:tcBorders>
                    <w:tl2br w:val="nil"/>
                    <w:tr2bl w:val="nil"/>
                  </w:tcBorders>
                  <w:vAlign w:val="center"/>
                </w:tcPr>
                <w:p w14:paraId="0990AAB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柴油</w:t>
                  </w:r>
                </w:p>
              </w:tc>
              <w:tc>
                <w:tcPr>
                  <w:tcW w:w="1000" w:type="dxa"/>
                  <w:tcBorders>
                    <w:tl2br w:val="nil"/>
                    <w:tr2bl w:val="nil"/>
                  </w:tcBorders>
                  <w:vAlign w:val="center"/>
                </w:tcPr>
                <w:p w14:paraId="2AE40E1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t/a</w:t>
                  </w:r>
                </w:p>
              </w:tc>
              <w:tc>
                <w:tcPr>
                  <w:tcW w:w="2470" w:type="dxa"/>
                  <w:tcBorders>
                    <w:tl2br w:val="nil"/>
                    <w:tr2bl w:val="nil"/>
                  </w:tcBorders>
                  <w:vAlign w:val="center"/>
                </w:tcPr>
                <w:p w14:paraId="0E4759F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500</w:t>
                  </w:r>
                </w:p>
              </w:tc>
              <w:tc>
                <w:tcPr>
                  <w:tcW w:w="2302" w:type="dxa"/>
                  <w:tcBorders>
                    <w:tl2br w:val="nil"/>
                    <w:tr2bl w:val="nil"/>
                  </w:tcBorders>
                  <w:vAlign w:val="center"/>
                </w:tcPr>
                <w:p w14:paraId="64F621E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0#柴油</w:t>
                  </w:r>
                </w:p>
              </w:tc>
            </w:tr>
            <w:tr w14:paraId="4F73233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96" w:type="dxa"/>
                  <w:vMerge w:val="continue"/>
                  <w:tcBorders>
                    <w:tl2br w:val="nil"/>
                    <w:tr2bl w:val="nil"/>
                  </w:tcBorders>
                  <w:vAlign w:val="center"/>
                </w:tcPr>
                <w:p w14:paraId="617A2BB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0" w:type="dxa"/>
                  <w:vMerge w:val="continue"/>
                  <w:tcBorders>
                    <w:tl2br w:val="nil"/>
                    <w:tr2bl w:val="nil"/>
                  </w:tcBorders>
                  <w:vAlign w:val="center"/>
                </w:tcPr>
                <w:p w14:paraId="4E72245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000" w:type="dxa"/>
                  <w:tcBorders>
                    <w:tl2br w:val="nil"/>
                    <w:tr2bl w:val="nil"/>
                  </w:tcBorders>
                  <w:vAlign w:val="center"/>
                </w:tcPr>
                <w:p w14:paraId="002D960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t/a</w:t>
                  </w:r>
                </w:p>
              </w:tc>
              <w:tc>
                <w:tcPr>
                  <w:tcW w:w="2470" w:type="dxa"/>
                  <w:tcBorders>
                    <w:tl2br w:val="nil"/>
                    <w:tr2bl w:val="nil"/>
                  </w:tcBorders>
                  <w:vAlign w:val="center"/>
                </w:tcPr>
                <w:p w14:paraId="028B4AC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50</w:t>
                  </w:r>
                </w:p>
              </w:tc>
              <w:tc>
                <w:tcPr>
                  <w:tcW w:w="2302" w:type="dxa"/>
                  <w:tcBorders>
                    <w:tl2br w:val="nil"/>
                    <w:tr2bl w:val="nil"/>
                  </w:tcBorders>
                  <w:vAlign w:val="center"/>
                </w:tcPr>
                <w:p w14:paraId="5B0701B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-10#柴油</w:t>
                  </w:r>
                </w:p>
              </w:tc>
            </w:tr>
            <w:tr w14:paraId="15B6B1B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96" w:type="dxa"/>
                  <w:tcBorders>
                    <w:tl2br w:val="nil"/>
                    <w:tr2bl w:val="nil"/>
                  </w:tcBorders>
                  <w:vAlign w:val="center"/>
                </w:tcPr>
                <w:p w14:paraId="173B7E3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w:t>
                  </w:r>
                </w:p>
              </w:tc>
              <w:tc>
                <w:tcPr>
                  <w:tcW w:w="1620" w:type="dxa"/>
                  <w:tcBorders>
                    <w:tl2br w:val="nil"/>
                    <w:tr2bl w:val="nil"/>
                  </w:tcBorders>
                  <w:vAlign w:val="center"/>
                </w:tcPr>
                <w:p w14:paraId="3C119BF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LNG</w:t>
                  </w:r>
                </w:p>
              </w:tc>
              <w:tc>
                <w:tcPr>
                  <w:tcW w:w="1000" w:type="dxa"/>
                  <w:tcBorders>
                    <w:tl2br w:val="nil"/>
                    <w:tr2bl w:val="nil"/>
                  </w:tcBorders>
                  <w:vAlign w:val="center"/>
                </w:tcPr>
                <w:p w14:paraId="13CA521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/a</w:t>
                  </w:r>
                </w:p>
              </w:tc>
              <w:tc>
                <w:tcPr>
                  <w:tcW w:w="2470" w:type="dxa"/>
                  <w:tcBorders>
                    <w:tl2br w:val="nil"/>
                    <w:tr2bl w:val="nil"/>
                  </w:tcBorders>
                  <w:vAlign w:val="center"/>
                </w:tcPr>
                <w:p w14:paraId="64892F8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1000</w:t>
                  </w:r>
                </w:p>
              </w:tc>
              <w:tc>
                <w:tcPr>
                  <w:tcW w:w="2302" w:type="dxa"/>
                  <w:tcBorders>
                    <w:tl2br w:val="nil"/>
                    <w:tr2bl w:val="nil"/>
                  </w:tcBorders>
                  <w:vAlign w:val="center"/>
                </w:tcPr>
                <w:p w14:paraId="5FCD19D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液化天然气</w:t>
                  </w:r>
                </w:p>
              </w:tc>
            </w:tr>
          </w:tbl>
          <w:p w14:paraId="41CDE6BB">
            <w:pPr>
              <w:pStyle w:val="5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4、原辅材料及能源消耗</w:t>
            </w:r>
          </w:p>
          <w:p w14:paraId="004E24C3">
            <w:pPr>
              <w:tabs>
                <w:tab w:val="left" w:pos="420"/>
                <w:tab w:val="left" w:pos="630"/>
              </w:tabs>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（1）主要原材料及能耗</w:t>
            </w:r>
          </w:p>
          <w:p w14:paraId="4F53B1DC">
            <w:pPr>
              <w:pStyle w:val="49"/>
              <w:adjustRightInd w:val="0"/>
              <w:spacing w:line="240" w:lineRule="auto"/>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w:t>表</w:t>
            </w:r>
            <w:r>
              <w:rPr>
                <w:rFonts w:hint="default" w:ascii="Times New Roman" w:hAnsi="Times New Roman" w:eastAsia="仿宋_GB2312" w:cs="Times New Roman"/>
                <w:color w:val="auto"/>
                <w:sz w:val="24"/>
                <w:szCs w:val="24"/>
                <w:lang w:val="en-US" w:eastAsia="zh-CN"/>
              </w:rPr>
              <w:t>2-3</w:t>
            </w:r>
            <w:r>
              <w:rPr>
                <w:rFonts w:hint="default" w:ascii="Times New Roman" w:hAnsi="Times New Roman" w:eastAsia="仿宋_GB2312" w:cs="Times New Roman"/>
                <w:color w:val="auto"/>
                <w:sz w:val="24"/>
                <w:szCs w:val="24"/>
              </w:rPr>
              <w:t xml:space="preserve"> </w:t>
            </w:r>
            <w:r>
              <w:rPr>
                <w:rFonts w:hint="default" w:ascii="Times New Roman" w:hAnsi="Times New Roman" w:eastAsia="仿宋_GB2312" w:cs="Times New Roman"/>
                <w:color w:val="auto"/>
                <w:sz w:val="24"/>
                <w:szCs w:val="24"/>
                <w:lang w:eastAsia="zh-CN"/>
              </w:rPr>
              <w:t>项目主要原辅材料及能源消耗</w:t>
            </w:r>
          </w:p>
          <w:tbl>
            <w:tblPr>
              <w:tblStyle w:val="20"/>
              <w:tblW w:w="8088"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622"/>
              <w:gridCol w:w="825"/>
              <w:gridCol w:w="1326"/>
              <w:gridCol w:w="1327"/>
              <w:gridCol w:w="2291"/>
            </w:tblGrid>
            <w:tr w14:paraId="326DA6E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tcBorders>
                    <w:tl2br w:val="nil"/>
                    <w:tr2bl w:val="nil"/>
                  </w:tcBorders>
                  <w:noWrap w:val="0"/>
                  <w:vAlign w:val="center"/>
                </w:tcPr>
                <w:p w14:paraId="061ACEF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类别</w:t>
                  </w:r>
                </w:p>
              </w:tc>
              <w:tc>
                <w:tcPr>
                  <w:tcW w:w="1622" w:type="dxa"/>
                  <w:tcBorders>
                    <w:tl2br w:val="nil"/>
                    <w:tr2bl w:val="nil"/>
                  </w:tcBorders>
                  <w:noWrap w:val="0"/>
                  <w:vAlign w:val="center"/>
                </w:tcPr>
                <w:p w14:paraId="0563CB2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原辅材料名称</w:t>
                  </w:r>
                </w:p>
              </w:tc>
              <w:tc>
                <w:tcPr>
                  <w:tcW w:w="825" w:type="dxa"/>
                  <w:tcBorders>
                    <w:tl2br w:val="nil"/>
                    <w:tr2bl w:val="nil"/>
                  </w:tcBorders>
                  <w:noWrap w:val="0"/>
                  <w:vAlign w:val="center"/>
                </w:tcPr>
                <w:p w14:paraId="26914C7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单位</w:t>
                  </w:r>
                </w:p>
              </w:tc>
              <w:tc>
                <w:tcPr>
                  <w:tcW w:w="1326" w:type="dxa"/>
                  <w:tcBorders>
                    <w:tl2br w:val="nil"/>
                    <w:tr2bl w:val="nil"/>
                  </w:tcBorders>
                  <w:noWrap w:val="0"/>
                  <w:vAlign w:val="center"/>
                </w:tcPr>
                <w:p w14:paraId="3108042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年用量</w:t>
                  </w:r>
                </w:p>
              </w:tc>
              <w:tc>
                <w:tcPr>
                  <w:tcW w:w="1327" w:type="dxa"/>
                  <w:tcBorders>
                    <w:tl2br w:val="nil"/>
                    <w:tr2bl w:val="nil"/>
                  </w:tcBorders>
                  <w:noWrap w:val="0"/>
                  <w:vAlign w:val="center"/>
                </w:tcPr>
                <w:p w14:paraId="5DF12FD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最大</w:t>
                  </w:r>
                </w:p>
                <w:p w14:paraId="6830E6B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储存量t</w:t>
                  </w:r>
                </w:p>
              </w:tc>
              <w:tc>
                <w:tcPr>
                  <w:tcW w:w="2291" w:type="dxa"/>
                  <w:tcBorders>
                    <w:tl2br w:val="nil"/>
                    <w:tr2bl w:val="nil"/>
                  </w:tcBorders>
                  <w:noWrap w:val="0"/>
                  <w:vAlign w:val="center"/>
                </w:tcPr>
                <w:p w14:paraId="1288834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存储方式</w:t>
                  </w:r>
                </w:p>
              </w:tc>
            </w:tr>
            <w:tr w14:paraId="73C44F4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Merge w:val="restart"/>
                  <w:tcBorders>
                    <w:tl2br w:val="nil"/>
                    <w:tr2bl w:val="nil"/>
                  </w:tcBorders>
                  <w:noWrap w:val="0"/>
                  <w:vAlign w:val="center"/>
                </w:tcPr>
                <w:p w14:paraId="17C8704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原料</w:t>
                  </w:r>
                </w:p>
              </w:tc>
              <w:tc>
                <w:tcPr>
                  <w:tcW w:w="1622" w:type="dxa"/>
                  <w:tcBorders>
                    <w:tl2br w:val="nil"/>
                    <w:tr2bl w:val="nil"/>
                  </w:tcBorders>
                  <w:noWrap w:val="0"/>
                  <w:vAlign w:val="center"/>
                </w:tcPr>
                <w:p w14:paraId="4986965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92#汽油</w:t>
                  </w:r>
                </w:p>
              </w:tc>
              <w:tc>
                <w:tcPr>
                  <w:tcW w:w="825" w:type="dxa"/>
                  <w:tcBorders>
                    <w:tl2br w:val="nil"/>
                    <w:tr2bl w:val="nil"/>
                  </w:tcBorders>
                  <w:noWrap w:val="0"/>
                  <w:vAlign w:val="center"/>
                </w:tcPr>
                <w:p w14:paraId="3BCB5DE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t/a</w:t>
                  </w:r>
                </w:p>
              </w:tc>
              <w:tc>
                <w:tcPr>
                  <w:tcW w:w="1326" w:type="dxa"/>
                  <w:tcBorders>
                    <w:tl2br w:val="nil"/>
                    <w:tr2bl w:val="nil"/>
                  </w:tcBorders>
                  <w:noWrap w:val="0"/>
                  <w:vAlign w:val="center"/>
                </w:tcPr>
                <w:p w14:paraId="64B9E31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1000</w:t>
                  </w:r>
                </w:p>
              </w:tc>
              <w:tc>
                <w:tcPr>
                  <w:tcW w:w="1327" w:type="dxa"/>
                  <w:tcBorders>
                    <w:tl2br w:val="nil"/>
                    <w:tr2bl w:val="nil"/>
                  </w:tcBorders>
                  <w:noWrap w:val="0"/>
                  <w:vAlign w:val="center"/>
                </w:tcPr>
                <w:p w14:paraId="0B1F90D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19.6</w:t>
                  </w:r>
                </w:p>
              </w:tc>
              <w:tc>
                <w:tcPr>
                  <w:tcW w:w="2291" w:type="dxa"/>
                  <w:tcBorders>
                    <w:tl2br w:val="nil"/>
                    <w:tr2bl w:val="nil"/>
                  </w:tcBorders>
                  <w:noWrap w:val="0"/>
                  <w:vAlign w:val="center"/>
                </w:tcPr>
                <w:p w14:paraId="17FDE78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1只30m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埋地式双层储罐（密度取0.725t/m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tc>
            </w:tr>
            <w:tr w14:paraId="7F289D7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Merge w:val="continue"/>
                  <w:tcBorders>
                    <w:tl2br w:val="nil"/>
                    <w:tr2bl w:val="nil"/>
                  </w:tcBorders>
                  <w:noWrap w:val="0"/>
                  <w:vAlign w:val="center"/>
                </w:tcPr>
                <w:p w14:paraId="26C5A7D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2" w:type="dxa"/>
                  <w:tcBorders>
                    <w:tl2br w:val="nil"/>
                    <w:tr2bl w:val="nil"/>
                  </w:tcBorders>
                  <w:noWrap w:val="0"/>
                  <w:vAlign w:val="center"/>
                </w:tcPr>
                <w:p w14:paraId="1E395BD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95#汽油</w:t>
                  </w:r>
                </w:p>
              </w:tc>
              <w:tc>
                <w:tcPr>
                  <w:tcW w:w="825" w:type="dxa"/>
                  <w:tcBorders>
                    <w:tl2br w:val="nil"/>
                    <w:tr2bl w:val="nil"/>
                  </w:tcBorders>
                  <w:noWrap w:val="0"/>
                  <w:vAlign w:val="center"/>
                </w:tcPr>
                <w:p w14:paraId="22DA3E3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t/a</w:t>
                  </w:r>
                </w:p>
              </w:tc>
              <w:tc>
                <w:tcPr>
                  <w:tcW w:w="1326" w:type="dxa"/>
                  <w:tcBorders>
                    <w:tl2br w:val="nil"/>
                    <w:tr2bl w:val="nil"/>
                  </w:tcBorders>
                  <w:noWrap w:val="0"/>
                  <w:vAlign w:val="center"/>
                </w:tcPr>
                <w:p w14:paraId="417C513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200</w:t>
                  </w:r>
                </w:p>
              </w:tc>
              <w:tc>
                <w:tcPr>
                  <w:tcW w:w="1327" w:type="dxa"/>
                  <w:tcBorders>
                    <w:tl2br w:val="nil"/>
                    <w:tr2bl w:val="nil"/>
                  </w:tcBorders>
                  <w:noWrap w:val="0"/>
                  <w:vAlign w:val="center"/>
                </w:tcPr>
                <w:p w14:paraId="3AA3B16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19.9</w:t>
                  </w:r>
                </w:p>
              </w:tc>
              <w:tc>
                <w:tcPr>
                  <w:tcW w:w="2291" w:type="dxa"/>
                  <w:tcBorders>
                    <w:tl2br w:val="nil"/>
                    <w:tr2bl w:val="nil"/>
                  </w:tcBorders>
                  <w:noWrap w:val="0"/>
                  <w:vAlign w:val="center"/>
                </w:tcPr>
                <w:p w14:paraId="2AA323B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1只30m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埋地式双层储罐（密度取0.737t/m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tc>
            </w:tr>
            <w:tr w14:paraId="6C7908F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Merge w:val="continue"/>
                  <w:tcBorders>
                    <w:tl2br w:val="nil"/>
                    <w:tr2bl w:val="nil"/>
                  </w:tcBorders>
                  <w:noWrap w:val="0"/>
                  <w:vAlign w:val="center"/>
                </w:tcPr>
                <w:p w14:paraId="4F42FEC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2" w:type="dxa"/>
                  <w:tcBorders>
                    <w:tl2br w:val="nil"/>
                    <w:tr2bl w:val="nil"/>
                  </w:tcBorders>
                  <w:noWrap w:val="0"/>
                  <w:vAlign w:val="center"/>
                </w:tcPr>
                <w:p w14:paraId="1CE27C7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98#汽油</w:t>
                  </w:r>
                </w:p>
              </w:tc>
              <w:tc>
                <w:tcPr>
                  <w:tcW w:w="825" w:type="dxa"/>
                  <w:tcBorders>
                    <w:tl2br w:val="nil"/>
                    <w:tr2bl w:val="nil"/>
                  </w:tcBorders>
                  <w:noWrap w:val="0"/>
                  <w:vAlign w:val="center"/>
                </w:tcPr>
                <w:p w14:paraId="4B29406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t/a</w:t>
                  </w:r>
                </w:p>
              </w:tc>
              <w:tc>
                <w:tcPr>
                  <w:tcW w:w="1326" w:type="dxa"/>
                  <w:tcBorders>
                    <w:tl2br w:val="nil"/>
                    <w:tr2bl w:val="nil"/>
                  </w:tcBorders>
                  <w:noWrap w:val="0"/>
                  <w:vAlign w:val="center"/>
                </w:tcPr>
                <w:p w14:paraId="7F28340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50</w:t>
                  </w:r>
                </w:p>
              </w:tc>
              <w:tc>
                <w:tcPr>
                  <w:tcW w:w="1327" w:type="dxa"/>
                  <w:tcBorders>
                    <w:tl2br w:val="nil"/>
                    <w:tr2bl w:val="nil"/>
                  </w:tcBorders>
                  <w:noWrap w:val="0"/>
                  <w:vAlign w:val="center"/>
                </w:tcPr>
                <w:p w14:paraId="57F2F28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20.3</w:t>
                  </w:r>
                </w:p>
              </w:tc>
              <w:tc>
                <w:tcPr>
                  <w:tcW w:w="2291" w:type="dxa"/>
                  <w:tcBorders>
                    <w:tl2br w:val="nil"/>
                    <w:tr2bl w:val="nil"/>
                  </w:tcBorders>
                  <w:noWrap w:val="0"/>
                  <w:vAlign w:val="center"/>
                </w:tcPr>
                <w:p w14:paraId="0A869B7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1只30m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埋地式双层储罐（密度取0.753t/m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tc>
            </w:tr>
            <w:tr w14:paraId="10737DB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Merge w:val="continue"/>
                  <w:tcBorders>
                    <w:tl2br w:val="nil"/>
                    <w:tr2bl w:val="nil"/>
                  </w:tcBorders>
                  <w:noWrap w:val="0"/>
                  <w:vAlign w:val="center"/>
                </w:tcPr>
                <w:p w14:paraId="2D6FB68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2" w:type="dxa"/>
                  <w:tcBorders>
                    <w:tl2br w:val="nil"/>
                    <w:tr2bl w:val="nil"/>
                  </w:tcBorders>
                  <w:noWrap w:val="0"/>
                  <w:vAlign w:val="center"/>
                </w:tcPr>
                <w:p w14:paraId="32C71BC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0#柴油</w:t>
                  </w:r>
                </w:p>
              </w:tc>
              <w:tc>
                <w:tcPr>
                  <w:tcW w:w="825" w:type="dxa"/>
                  <w:tcBorders>
                    <w:tl2br w:val="nil"/>
                    <w:tr2bl w:val="nil"/>
                  </w:tcBorders>
                  <w:noWrap w:val="0"/>
                  <w:vAlign w:val="center"/>
                </w:tcPr>
                <w:p w14:paraId="33D9B1C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t/a</w:t>
                  </w:r>
                </w:p>
              </w:tc>
              <w:tc>
                <w:tcPr>
                  <w:tcW w:w="1326" w:type="dxa"/>
                  <w:tcBorders>
                    <w:tl2br w:val="nil"/>
                    <w:tr2bl w:val="nil"/>
                  </w:tcBorders>
                  <w:noWrap w:val="0"/>
                  <w:vAlign w:val="center"/>
                </w:tcPr>
                <w:p w14:paraId="654FA52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500</w:t>
                  </w:r>
                </w:p>
              </w:tc>
              <w:tc>
                <w:tcPr>
                  <w:tcW w:w="1327" w:type="dxa"/>
                  <w:tcBorders>
                    <w:tl2br w:val="nil"/>
                    <w:tr2bl w:val="nil"/>
                  </w:tcBorders>
                  <w:noWrap w:val="0"/>
                  <w:vAlign w:val="center"/>
                </w:tcPr>
                <w:p w14:paraId="713FCC0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37.6</w:t>
                  </w:r>
                </w:p>
              </w:tc>
              <w:tc>
                <w:tcPr>
                  <w:tcW w:w="2291" w:type="dxa"/>
                  <w:tcBorders>
                    <w:tl2br w:val="nil"/>
                    <w:tr2bl w:val="nil"/>
                  </w:tcBorders>
                  <w:noWrap w:val="0"/>
                  <w:vAlign w:val="center"/>
                </w:tcPr>
                <w:p w14:paraId="13EF891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1只50m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埋地式双层储罐（密度取0.835t/m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tc>
            </w:tr>
            <w:tr w14:paraId="1697712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Merge w:val="continue"/>
                  <w:tcBorders>
                    <w:tl2br w:val="nil"/>
                    <w:tr2bl w:val="nil"/>
                  </w:tcBorders>
                  <w:noWrap w:val="0"/>
                  <w:vAlign w:val="center"/>
                </w:tcPr>
                <w:p w14:paraId="2ED806B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2" w:type="dxa"/>
                  <w:tcBorders>
                    <w:tl2br w:val="nil"/>
                    <w:tr2bl w:val="nil"/>
                  </w:tcBorders>
                  <w:noWrap w:val="0"/>
                  <w:vAlign w:val="center"/>
                </w:tcPr>
                <w:p w14:paraId="68465DD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-10#柴油</w:t>
                  </w:r>
                </w:p>
              </w:tc>
              <w:tc>
                <w:tcPr>
                  <w:tcW w:w="825" w:type="dxa"/>
                  <w:tcBorders>
                    <w:tl2br w:val="nil"/>
                    <w:tr2bl w:val="nil"/>
                  </w:tcBorders>
                  <w:noWrap w:val="0"/>
                  <w:vAlign w:val="center"/>
                </w:tcPr>
                <w:p w14:paraId="0ADDB60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t/a</w:t>
                  </w:r>
                </w:p>
              </w:tc>
              <w:tc>
                <w:tcPr>
                  <w:tcW w:w="1326" w:type="dxa"/>
                  <w:tcBorders>
                    <w:tl2br w:val="nil"/>
                    <w:tr2bl w:val="nil"/>
                  </w:tcBorders>
                  <w:noWrap w:val="0"/>
                  <w:vAlign w:val="center"/>
                </w:tcPr>
                <w:p w14:paraId="51862CE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50</w:t>
                  </w:r>
                </w:p>
              </w:tc>
              <w:tc>
                <w:tcPr>
                  <w:tcW w:w="1327" w:type="dxa"/>
                  <w:tcBorders>
                    <w:tl2br w:val="nil"/>
                    <w:tr2bl w:val="nil"/>
                  </w:tcBorders>
                  <w:noWrap w:val="0"/>
                  <w:vAlign w:val="center"/>
                </w:tcPr>
                <w:p w14:paraId="7E44CCB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37.8</w:t>
                  </w:r>
                </w:p>
              </w:tc>
              <w:tc>
                <w:tcPr>
                  <w:tcW w:w="2291" w:type="dxa"/>
                  <w:tcBorders>
                    <w:tl2br w:val="nil"/>
                    <w:tr2bl w:val="nil"/>
                  </w:tcBorders>
                  <w:noWrap w:val="0"/>
                  <w:vAlign w:val="center"/>
                </w:tcPr>
                <w:p w14:paraId="5FEA04A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1只50m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埋地式双层储罐（密度取0.84t/m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tc>
            </w:tr>
            <w:tr w14:paraId="78F7040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Merge w:val="continue"/>
                  <w:tcBorders>
                    <w:tl2br w:val="nil"/>
                    <w:tr2bl w:val="nil"/>
                  </w:tcBorders>
                  <w:noWrap w:val="0"/>
                  <w:vAlign w:val="center"/>
                </w:tcPr>
                <w:p w14:paraId="0E69788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2" w:type="dxa"/>
                  <w:tcBorders>
                    <w:tl2br w:val="nil"/>
                    <w:tr2bl w:val="nil"/>
                  </w:tcBorders>
                  <w:noWrap w:val="0"/>
                  <w:vAlign w:val="center"/>
                </w:tcPr>
                <w:p w14:paraId="5520547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液化天然气</w:t>
                  </w:r>
                </w:p>
              </w:tc>
              <w:tc>
                <w:tcPr>
                  <w:tcW w:w="825" w:type="dxa"/>
                  <w:tcBorders>
                    <w:tl2br w:val="nil"/>
                    <w:tr2bl w:val="nil"/>
                  </w:tcBorders>
                  <w:noWrap w:val="0"/>
                  <w:vAlign w:val="center"/>
                </w:tcPr>
                <w:p w14:paraId="19AAF56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t/a</w:t>
                  </w:r>
                </w:p>
              </w:tc>
              <w:tc>
                <w:tcPr>
                  <w:tcW w:w="1326" w:type="dxa"/>
                  <w:tcBorders>
                    <w:tl2br w:val="nil"/>
                    <w:tr2bl w:val="nil"/>
                  </w:tcBorders>
                  <w:noWrap w:val="0"/>
                  <w:vAlign w:val="center"/>
                </w:tcPr>
                <w:p w14:paraId="2376AEF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450</w:t>
                  </w:r>
                </w:p>
              </w:tc>
              <w:tc>
                <w:tcPr>
                  <w:tcW w:w="1327" w:type="dxa"/>
                  <w:tcBorders>
                    <w:tl2br w:val="nil"/>
                    <w:tr2bl w:val="nil"/>
                  </w:tcBorders>
                  <w:noWrap w:val="0"/>
                  <w:vAlign w:val="center"/>
                </w:tcPr>
                <w:p w14:paraId="2E8B94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24.3</w:t>
                  </w:r>
                </w:p>
              </w:tc>
              <w:tc>
                <w:tcPr>
                  <w:tcW w:w="2291" w:type="dxa"/>
                  <w:tcBorders>
                    <w:tl2br w:val="nil"/>
                    <w:tr2bl w:val="nil"/>
                  </w:tcBorders>
                  <w:noWrap w:val="0"/>
                  <w:vAlign w:val="center"/>
                </w:tcPr>
                <w:p w14:paraId="6BEE7B4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1只60m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地上立式LNG双层储罐（密度取450kg/m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tc>
            </w:tr>
            <w:tr w14:paraId="355F8B1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Merge w:val="continue"/>
                  <w:tcBorders>
                    <w:tl2br w:val="nil"/>
                    <w:tr2bl w:val="nil"/>
                  </w:tcBorders>
                  <w:noWrap w:val="0"/>
                  <w:vAlign w:val="center"/>
                </w:tcPr>
                <w:p w14:paraId="3C0D057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2" w:type="dxa"/>
                  <w:tcBorders>
                    <w:tl2br w:val="nil"/>
                    <w:tr2bl w:val="nil"/>
                  </w:tcBorders>
                  <w:noWrap w:val="0"/>
                  <w:vAlign w:val="center"/>
                </w:tcPr>
                <w:p w14:paraId="6253118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尿素溶液</w:t>
                  </w:r>
                </w:p>
              </w:tc>
              <w:tc>
                <w:tcPr>
                  <w:tcW w:w="825" w:type="dxa"/>
                  <w:tcBorders>
                    <w:tl2br w:val="nil"/>
                    <w:tr2bl w:val="nil"/>
                  </w:tcBorders>
                  <w:noWrap w:val="0"/>
                  <w:vAlign w:val="center"/>
                </w:tcPr>
                <w:p w14:paraId="349EDA0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t/a</w:t>
                  </w:r>
                </w:p>
              </w:tc>
              <w:tc>
                <w:tcPr>
                  <w:tcW w:w="1326" w:type="dxa"/>
                  <w:tcBorders>
                    <w:tl2br w:val="nil"/>
                    <w:tr2bl w:val="nil"/>
                  </w:tcBorders>
                  <w:noWrap w:val="0"/>
                  <w:vAlign w:val="center"/>
                </w:tcPr>
                <w:p w14:paraId="5455492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30</w:t>
                  </w:r>
                </w:p>
              </w:tc>
              <w:tc>
                <w:tcPr>
                  <w:tcW w:w="1327" w:type="dxa"/>
                  <w:tcBorders>
                    <w:tl2br w:val="nil"/>
                    <w:tr2bl w:val="nil"/>
                  </w:tcBorders>
                  <w:noWrap w:val="0"/>
                  <w:vAlign w:val="center"/>
                </w:tcPr>
                <w:p w14:paraId="51424DC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1.09</w:t>
                  </w:r>
                </w:p>
              </w:tc>
              <w:tc>
                <w:tcPr>
                  <w:tcW w:w="2291" w:type="dxa"/>
                  <w:tcBorders>
                    <w:tl2br w:val="nil"/>
                    <w:tr2bl w:val="nil"/>
                  </w:tcBorders>
                  <w:noWrap w:val="0"/>
                  <w:vAlign w:val="center"/>
                </w:tcPr>
                <w:p w14:paraId="67D94B7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吨桶（密度取1.0913t/m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w:t>
                  </w:r>
                </w:p>
              </w:tc>
            </w:tr>
            <w:tr w14:paraId="36EFD1D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Merge w:val="restart"/>
                  <w:tcBorders>
                    <w:tl2br w:val="nil"/>
                    <w:tr2bl w:val="nil"/>
                  </w:tcBorders>
                  <w:noWrap w:val="0"/>
                  <w:vAlign w:val="center"/>
                </w:tcPr>
                <w:p w14:paraId="56BE422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能源</w:t>
                  </w:r>
                </w:p>
              </w:tc>
              <w:tc>
                <w:tcPr>
                  <w:tcW w:w="1622" w:type="dxa"/>
                  <w:tcBorders>
                    <w:tl2br w:val="nil"/>
                    <w:tr2bl w:val="nil"/>
                  </w:tcBorders>
                  <w:noWrap w:val="0"/>
                  <w:vAlign w:val="center"/>
                </w:tcPr>
                <w:p w14:paraId="6739BC0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水</w:t>
                  </w:r>
                </w:p>
              </w:tc>
              <w:tc>
                <w:tcPr>
                  <w:tcW w:w="825" w:type="dxa"/>
                  <w:tcBorders>
                    <w:tl2br w:val="nil"/>
                    <w:tr2bl w:val="nil"/>
                  </w:tcBorders>
                  <w:noWrap w:val="0"/>
                  <w:vAlign w:val="center"/>
                </w:tcPr>
                <w:p w14:paraId="51A55FB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t/a</w:t>
                  </w:r>
                </w:p>
              </w:tc>
              <w:tc>
                <w:tcPr>
                  <w:tcW w:w="1326" w:type="dxa"/>
                  <w:tcBorders>
                    <w:tl2br w:val="nil"/>
                    <w:tr2bl w:val="nil"/>
                  </w:tcBorders>
                  <w:noWrap w:val="0"/>
                  <w:vAlign w:val="center"/>
                </w:tcPr>
                <w:p w14:paraId="2705BB9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1327" w:type="dxa"/>
                  <w:tcBorders>
                    <w:tl2br w:val="nil"/>
                    <w:tr2bl w:val="nil"/>
                  </w:tcBorders>
                  <w:noWrap w:val="0"/>
                  <w:vAlign w:val="center"/>
                </w:tcPr>
                <w:p w14:paraId="12F01AA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2291" w:type="dxa"/>
                  <w:tcBorders>
                    <w:tl2br w:val="nil"/>
                    <w:tr2bl w:val="nil"/>
                  </w:tcBorders>
                  <w:noWrap w:val="0"/>
                  <w:vAlign w:val="center"/>
                </w:tcPr>
                <w:p w14:paraId="24FABB7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r>
            <w:tr w14:paraId="652E980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7" w:type="dxa"/>
                  <w:vMerge w:val="continue"/>
                  <w:tcBorders>
                    <w:tl2br w:val="nil"/>
                    <w:tr2bl w:val="nil"/>
                  </w:tcBorders>
                  <w:noWrap w:val="0"/>
                  <w:vAlign w:val="center"/>
                </w:tcPr>
                <w:p w14:paraId="7BC9B13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c>
                <w:tcPr>
                  <w:tcW w:w="1622" w:type="dxa"/>
                  <w:tcBorders>
                    <w:tl2br w:val="nil"/>
                    <w:tr2bl w:val="nil"/>
                  </w:tcBorders>
                  <w:noWrap w:val="0"/>
                  <w:vAlign w:val="center"/>
                </w:tcPr>
                <w:p w14:paraId="23F116A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电</w:t>
                  </w:r>
                </w:p>
              </w:tc>
              <w:tc>
                <w:tcPr>
                  <w:tcW w:w="825" w:type="dxa"/>
                  <w:tcBorders>
                    <w:tl2br w:val="nil"/>
                    <w:tr2bl w:val="nil"/>
                  </w:tcBorders>
                  <w:noWrap w:val="0"/>
                  <w:vAlign w:val="center"/>
                </w:tcPr>
                <w:p w14:paraId="25E4DDF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kWh/a</w:t>
                  </w:r>
                </w:p>
              </w:tc>
              <w:tc>
                <w:tcPr>
                  <w:tcW w:w="1326" w:type="dxa"/>
                  <w:tcBorders>
                    <w:tl2br w:val="nil"/>
                    <w:tr2bl w:val="nil"/>
                  </w:tcBorders>
                  <w:noWrap w:val="0"/>
                  <w:vAlign w:val="center"/>
                </w:tcPr>
                <w:p w14:paraId="53D0CFC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1+3万kW/h</w:t>
                  </w:r>
                </w:p>
              </w:tc>
              <w:tc>
                <w:tcPr>
                  <w:tcW w:w="1327" w:type="dxa"/>
                  <w:tcBorders>
                    <w:tl2br w:val="nil"/>
                    <w:tr2bl w:val="nil"/>
                  </w:tcBorders>
                  <w:noWrap w:val="0"/>
                  <w:vAlign w:val="center"/>
                </w:tcPr>
                <w:p w14:paraId="53C5B6A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2291" w:type="dxa"/>
                  <w:tcBorders>
                    <w:tl2br w:val="nil"/>
                    <w:tr2bl w:val="nil"/>
                  </w:tcBorders>
                  <w:noWrap w:val="0"/>
                  <w:vAlign w:val="center"/>
                </w:tcPr>
                <w:p w14:paraId="19B855A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r>
            <w:tr w14:paraId="61CD804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88" w:type="dxa"/>
                  <w:gridSpan w:val="6"/>
                  <w:tcBorders>
                    <w:tl2br w:val="nil"/>
                    <w:tr2bl w:val="nil"/>
                  </w:tcBorders>
                  <w:noWrap w:val="0"/>
                  <w:vAlign w:val="center"/>
                </w:tcPr>
                <w:p w14:paraId="332EA486">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注：储罐充填系数取0.9，单只储罐最大储存量=填料密度×储罐容积×充填系数。</w:t>
                  </w:r>
                </w:p>
              </w:tc>
            </w:tr>
          </w:tbl>
          <w:p w14:paraId="2604473A">
            <w:pPr>
              <w:keepNext w:val="0"/>
              <w:keepLines w:val="0"/>
              <w:pageBreakBefore w:val="0"/>
              <w:widowControl w:val="0"/>
              <w:numPr>
                <w:ilvl w:val="0"/>
                <w:numId w:val="4"/>
              </w:numPr>
              <w:tabs>
                <w:tab w:val="left" w:pos="420"/>
                <w:tab w:val="left" w:pos="630"/>
              </w:tabs>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原材料理化性质</w:t>
            </w:r>
          </w:p>
          <w:p w14:paraId="24949406">
            <w:pPr>
              <w:pStyle w:val="49"/>
              <w:adjustRightIn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rPr>
              <w:t>表</w:t>
            </w:r>
            <w:r>
              <w:rPr>
                <w:rFonts w:hint="default" w:ascii="Times New Roman" w:hAnsi="Times New Roman" w:eastAsia="仿宋_GB2312" w:cs="Times New Roman"/>
                <w:color w:val="auto"/>
                <w:sz w:val="24"/>
                <w:szCs w:val="24"/>
                <w:lang w:val="en-US" w:eastAsia="zh-CN"/>
              </w:rPr>
              <w:t>2-4</w:t>
            </w:r>
            <w:r>
              <w:rPr>
                <w:rFonts w:hint="default" w:ascii="Times New Roman" w:hAnsi="Times New Roman" w:eastAsia="仿宋_GB2312" w:cs="Times New Roman"/>
                <w:color w:val="auto"/>
                <w:sz w:val="24"/>
                <w:szCs w:val="24"/>
              </w:rPr>
              <w:t xml:space="preserve"> </w:t>
            </w:r>
            <w:r>
              <w:rPr>
                <w:rFonts w:hint="default" w:ascii="Times New Roman" w:hAnsi="Times New Roman" w:eastAsia="仿宋_GB2312" w:cs="Times New Roman"/>
                <w:color w:val="auto"/>
                <w:sz w:val="24"/>
                <w:szCs w:val="24"/>
                <w:lang w:eastAsia="zh-CN"/>
              </w:rPr>
              <w:t>项目原材料理化性质表</w:t>
            </w:r>
          </w:p>
          <w:tbl>
            <w:tblPr>
              <w:tblStyle w:val="20"/>
              <w:tblW w:w="8088"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847"/>
              <w:gridCol w:w="1847"/>
              <w:gridCol w:w="1603"/>
              <w:gridCol w:w="2094"/>
            </w:tblGrid>
            <w:tr w14:paraId="7A0A352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tcBorders>
                    <w:tl2br w:val="nil"/>
                    <w:tr2bl w:val="nil"/>
                  </w:tcBorders>
                  <w:noWrap w:val="0"/>
                  <w:vAlign w:val="center"/>
                </w:tcPr>
                <w:p w14:paraId="3A9F6BB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名称</w:t>
                  </w:r>
                </w:p>
              </w:tc>
              <w:tc>
                <w:tcPr>
                  <w:tcW w:w="1847" w:type="dxa"/>
                  <w:tcBorders>
                    <w:tl2br w:val="nil"/>
                    <w:tr2bl w:val="nil"/>
                  </w:tcBorders>
                  <w:noWrap w:val="0"/>
                  <w:vAlign w:val="center"/>
                </w:tcPr>
                <w:p w14:paraId="256A516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理化特性</w:t>
                  </w:r>
                </w:p>
              </w:tc>
              <w:tc>
                <w:tcPr>
                  <w:tcW w:w="1847" w:type="dxa"/>
                  <w:tcBorders>
                    <w:tl2br w:val="nil"/>
                    <w:tr2bl w:val="nil"/>
                  </w:tcBorders>
                  <w:noWrap w:val="0"/>
                  <w:vAlign w:val="center"/>
                </w:tcPr>
                <w:p w14:paraId="7FDE1B0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燃烧爆炸性</w:t>
                  </w:r>
                </w:p>
              </w:tc>
              <w:tc>
                <w:tcPr>
                  <w:tcW w:w="1603" w:type="dxa"/>
                  <w:tcBorders>
                    <w:tl2br w:val="nil"/>
                    <w:tr2bl w:val="nil"/>
                  </w:tcBorders>
                  <w:noWrap w:val="0"/>
                  <w:vAlign w:val="center"/>
                </w:tcPr>
                <w:p w14:paraId="239E7FC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毒性毒理</w:t>
                  </w:r>
                </w:p>
              </w:tc>
              <w:tc>
                <w:tcPr>
                  <w:tcW w:w="2094" w:type="dxa"/>
                  <w:tcBorders>
                    <w:tl2br w:val="nil"/>
                    <w:tr2bl w:val="nil"/>
                  </w:tcBorders>
                  <w:noWrap w:val="0"/>
                  <w:vAlign w:val="center"/>
                </w:tcPr>
                <w:p w14:paraId="0182B76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储运及泄漏应急</w:t>
                  </w:r>
                </w:p>
                <w:p w14:paraId="05CFBA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处理措施</w:t>
                  </w:r>
                </w:p>
              </w:tc>
            </w:tr>
            <w:tr w14:paraId="4D44C20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tcBorders>
                    <w:tl2br w:val="nil"/>
                    <w:tr2bl w:val="nil"/>
                  </w:tcBorders>
                  <w:noWrap w:val="0"/>
                  <w:vAlign w:val="center"/>
                </w:tcPr>
                <w:p w14:paraId="009C97B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柴油</w:t>
                  </w:r>
                </w:p>
              </w:tc>
              <w:tc>
                <w:tcPr>
                  <w:tcW w:w="1847" w:type="dxa"/>
                  <w:tcBorders>
                    <w:tl2br w:val="nil"/>
                    <w:tr2bl w:val="nil"/>
                  </w:tcBorders>
                  <w:noWrap w:val="0"/>
                  <w:vAlign w:val="center"/>
                </w:tcPr>
                <w:p w14:paraId="7A1382D4">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稍有粘性的棕色液体，闪点55℃,沸点282~338℃,相对密度（水=1）0.85，自燃温度</w:t>
                  </w:r>
                </w:p>
                <w:p w14:paraId="0282A15D">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257℃,难溶于水，易溶于醇和其他有机溶剂，爆炸下限（V%）0.6，爆炸上限（V%）6.5。</w:t>
                  </w:r>
                </w:p>
              </w:tc>
              <w:tc>
                <w:tcPr>
                  <w:tcW w:w="1847" w:type="dxa"/>
                  <w:tcBorders>
                    <w:tl2br w:val="nil"/>
                    <w:tr2bl w:val="nil"/>
                  </w:tcBorders>
                  <w:noWrap w:val="0"/>
                  <w:vAlign w:val="center"/>
                </w:tcPr>
                <w:p w14:paraId="027C9485">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易燃，遇明火、高热与氧化剂接触，有引起燃烧爆炸的危险。若遇高热，容器内压增大，有开裂和爆炸的危险。</w:t>
                  </w:r>
                </w:p>
              </w:tc>
              <w:tc>
                <w:tcPr>
                  <w:tcW w:w="1603" w:type="dxa"/>
                  <w:tcBorders>
                    <w:tl2br w:val="nil"/>
                    <w:tr2bl w:val="nil"/>
                  </w:tcBorders>
                  <w:noWrap w:val="0"/>
                  <w:vAlign w:val="center"/>
                </w:tcPr>
                <w:p w14:paraId="248A579F">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LD</w:t>
                  </w:r>
                  <w:r>
                    <w:rPr>
                      <w:rFonts w:hint="default" w:ascii="Times New Roman" w:hAnsi="Times New Roman" w:eastAsia="仿宋_GB2312" w:cs="Times New Roman"/>
                      <w:color w:val="auto"/>
                      <w:sz w:val="21"/>
                      <w:szCs w:val="21"/>
                      <w:highlight w:val="none"/>
                      <w:vertAlign w:val="subscript"/>
                      <w:lang w:val="en-US" w:eastAsia="zh-CN"/>
                    </w:rPr>
                    <w:t>50</w:t>
                  </w:r>
                  <w:r>
                    <w:rPr>
                      <w:rFonts w:hint="default" w:ascii="Times New Roman" w:hAnsi="Times New Roman" w:eastAsia="仿宋_GB2312" w:cs="Times New Roman"/>
                      <w:color w:val="auto"/>
                      <w:sz w:val="21"/>
                      <w:szCs w:val="21"/>
                      <w:highlight w:val="none"/>
                      <w:vertAlign w:val="baseline"/>
                      <w:lang w:val="en-US" w:eastAsia="zh-CN"/>
                    </w:rPr>
                    <w:t>＞5000mg/kg（大鼠经口）；</w:t>
                  </w:r>
                </w:p>
                <w:p w14:paraId="4E7E2690">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LC</w:t>
                  </w:r>
                  <w:r>
                    <w:rPr>
                      <w:rFonts w:hint="default" w:ascii="Times New Roman" w:hAnsi="Times New Roman" w:eastAsia="仿宋_GB2312" w:cs="Times New Roman"/>
                      <w:color w:val="auto"/>
                      <w:sz w:val="21"/>
                      <w:szCs w:val="21"/>
                      <w:highlight w:val="none"/>
                      <w:vertAlign w:val="subscript"/>
                      <w:lang w:val="en-US" w:eastAsia="zh-CN"/>
                    </w:rPr>
                    <w:t>50</w:t>
                  </w:r>
                  <w:r>
                    <w:rPr>
                      <w:rFonts w:hint="default" w:ascii="Times New Roman" w:hAnsi="Times New Roman" w:eastAsia="仿宋_GB2312" w:cs="Times New Roman"/>
                      <w:color w:val="auto"/>
                      <w:sz w:val="21"/>
                      <w:szCs w:val="21"/>
                      <w:highlight w:val="none"/>
                      <w:vertAlign w:val="baseline"/>
                      <w:lang w:val="en-US" w:eastAsia="zh-CN"/>
                    </w:rPr>
                    <w:t>＞5000mg/m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/45h（大鼠吸入）</w:t>
                  </w:r>
                </w:p>
              </w:tc>
              <w:tc>
                <w:tcPr>
                  <w:tcW w:w="2094" w:type="dxa"/>
                  <w:vMerge w:val="restart"/>
                  <w:tcBorders>
                    <w:tl2br w:val="nil"/>
                    <w:tr2bl w:val="nil"/>
                  </w:tcBorders>
                  <w:noWrap w:val="0"/>
                  <w:vAlign w:val="center"/>
                </w:tcPr>
                <w:p w14:paraId="150576DD">
                  <w:pPr>
                    <w:pStyle w:val="51"/>
                    <w:spacing w:before="36" w:line="249" w:lineRule="auto"/>
                    <w:ind w:left="48" w:right="60" w:firstLine="6"/>
                    <w:jc w:val="both"/>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pacing w:val="10"/>
                      <w:sz w:val="21"/>
                      <w:szCs w:val="21"/>
                    </w:rPr>
                    <w:t>储运：储存于阴凉、</w:t>
                  </w:r>
                  <w:r>
                    <w:rPr>
                      <w:rFonts w:hint="default" w:ascii="Times New Roman" w:hAnsi="Times New Roman" w:eastAsia="仿宋_GB2312" w:cs="Times New Roman"/>
                      <w:color w:val="auto"/>
                      <w:spacing w:val="11"/>
                      <w:sz w:val="21"/>
                      <w:szCs w:val="21"/>
                    </w:rPr>
                    <w:t>通风处。远离火种、</w:t>
                  </w:r>
                  <w:r>
                    <w:rPr>
                      <w:rFonts w:hint="default" w:ascii="Times New Roman" w:hAnsi="Times New Roman" w:eastAsia="仿宋_GB2312" w:cs="Times New Roman"/>
                      <w:color w:val="auto"/>
                      <w:spacing w:val="-3"/>
                      <w:sz w:val="21"/>
                      <w:szCs w:val="21"/>
                    </w:rPr>
                    <w:t>热源。防止阳光直射。</w:t>
                  </w:r>
                  <w:r>
                    <w:rPr>
                      <w:rFonts w:hint="default" w:ascii="Times New Roman" w:hAnsi="Times New Roman" w:eastAsia="仿宋_GB2312" w:cs="Times New Roman"/>
                      <w:color w:val="auto"/>
                      <w:spacing w:val="9"/>
                      <w:sz w:val="21"/>
                      <w:szCs w:val="21"/>
                    </w:rPr>
                    <w:t>保持容器密封。应与氧化剂分开存放。罐储时要有防火防爆技术措施。禁止使用易产生火花的机械设备和工具。充装要控制流速，注意防止静电积聚。搬运时要轻装</w:t>
                  </w:r>
                  <w:r>
                    <w:rPr>
                      <w:rFonts w:hint="default" w:ascii="Times New Roman" w:hAnsi="Times New Roman" w:eastAsia="仿宋_GB2312" w:cs="Times New Roman"/>
                      <w:color w:val="auto"/>
                      <w:spacing w:val="8"/>
                      <w:sz w:val="21"/>
                      <w:szCs w:val="21"/>
                    </w:rPr>
                    <w:t>轻卸，防止包装及容</w:t>
                  </w:r>
                  <w:r>
                    <w:rPr>
                      <w:rFonts w:hint="default" w:ascii="Times New Roman" w:hAnsi="Times New Roman" w:eastAsia="仿宋_GB2312" w:cs="Times New Roman"/>
                      <w:color w:val="auto"/>
                      <w:spacing w:val="5"/>
                      <w:sz w:val="21"/>
                      <w:szCs w:val="21"/>
                    </w:rPr>
                    <w:t>器损坏。</w:t>
                  </w:r>
                </w:p>
                <w:p w14:paraId="75AC754C">
                  <w:pPr>
                    <w:pStyle w:val="51"/>
                    <w:spacing w:before="23" w:line="244" w:lineRule="auto"/>
                    <w:ind w:left="55" w:right="60" w:hanging="12"/>
                    <w:jc w:val="both"/>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sz w:val="21"/>
                      <w:szCs w:val="21"/>
                    </w:rPr>
                    <w:t>应急处置：切断火源。</w:t>
                  </w:r>
                  <w:r>
                    <w:rPr>
                      <w:rFonts w:hint="default" w:ascii="Times New Roman" w:hAnsi="Times New Roman" w:eastAsia="仿宋_GB2312" w:cs="Times New Roman"/>
                      <w:color w:val="auto"/>
                      <w:spacing w:val="8"/>
                      <w:sz w:val="21"/>
                      <w:szCs w:val="21"/>
                    </w:rPr>
                    <w:t>应急处理人员戴好面</w:t>
                  </w:r>
                  <w:r>
                    <w:rPr>
                      <w:rFonts w:hint="default" w:ascii="Times New Roman" w:hAnsi="Times New Roman" w:eastAsia="仿宋_GB2312" w:cs="Times New Roman"/>
                      <w:color w:val="auto"/>
                      <w:spacing w:val="7"/>
                      <w:sz w:val="21"/>
                      <w:szCs w:val="21"/>
                    </w:rPr>
                    <w:t>具，穿化学防护服。</w:t>
                  </w:r>
                  <w:r>
                    <w:rPr>
                      <w:rFonts w:hint="default" w:ascii="Times New Roman" w:hAnsi="Times New Roman" w:eastAsia="仿宋_GB2312" w:cs="Times New Roman"/>
                      <w:color w:val="auto"/>
                      <w:spacing w:val="9"/>
                      <w:sz w:val="21"/>
                      <w:szCs w:val="21"/>
                    </w:rPr>
                    <w:t>在确保安全情况下堵</w:t>
                  </w:r>
                  <w:r>
                    <w:rPr>
                      <w:rFonts w:hint="default" w:ascii="Times New Roman" w:hAnsi="Times New Roman" w:eastAsia="仿宋_GB2312" w:cs="Times New Roman"/>
                      <w:color w:val="auto"/>
                      <w:spacing w:val="8"/>
                      <w:sz w:val="21"/>
                      <w:szCs w:val="21"/>
                    </w:rPr>
                    <w:t>漏。用活性炭或其他</w:t>
                  </w:r>
                  <w:r>
                    <w:rPr>
                      <w:rFonts w:hint="default" w:ascii="Times New Roman" w:hAnsi="Times New Roman" w:eastAsia="仿宋_GB2312" w:cs="Times New Roman"/>
                      <w:color w:val="auto"/>
                      <w:spacing w:val="9"/>
                      <w:sz w:val="21"/>
                      <w:szCs w:val="21"/>
                    </w:rPr>
                    <w:t>惰性材料吸收，然后</w:t>
                  </w:r>
                  <w:r>
                    <w:rPr>
                      <w:rFonts w:hint="default" w:ascii="Times New Roman" w:hAnsi="Times New Roman" w:eastAsia="仿宋_GB2312" w:cs="Times New Roman"/>
                      <w:color w:val="auto"/>
                      <w:spacing w:val="7"/>
                      <w:sz w:val="21"/>
                      <w:szCs w:val="21"/>
                    </w:rPr>
                    <w:t>收集运到空旷处焚</w:t>
                  </w:r>
                  <w:r>
                    <w:rPr>
                      <w:rFonts w:hint="default" w:ascii="Times New Roman" w:hAnsi="Times New Roman" w:eastAsia="仿宋_GB2312" w:cs="Times New Roman"/>
                      <w:color w:val="auto"/>
                      <w:spacing w:val="9"/>
                      <w:sz w:val="21"/>
                      <w:szCs w:val="21"/>
                    </w:rPr>
                    <w:t>烧。如大量泄漏，用</w:t>
                  </w:r>
                  <w:r>
                    <w:rPr>
                      <w:rFonts w:hint="default" w:ascii="Times New Roman" w:hAnsi="Times New Roman" w:eastAsia="仿宋_GB2312" w:cs="Times New Roman"/>
                      <w:color w:val="auto"/>
                      <w:spacing w:val="-2"/>
                      <w:sz w:val="21"/>
                      <w:szCs w:val="21"/>
                    </w:rPr>
                    <w:t>围堤收容，然后收集、</w:t>
                  </w:r>
                  <w:r>
                    <w:rPr>
                      <w:rFonts w:hint="default" w:ascii="Times New Roman" w:hAnsi="Times New Roman" w:eastAsia="仿宋_GB2312" w:cs="Times New Roman"/>
                      <w:color w:val="auto"/>
                      <w:spacing w:val="8"/>
                      <w:sz w:val="21"/>
                      <w:szCs w:val="21"/>
                    </w:rPr>
                    <w:t>转移、回收或无害处</w:t>
                  </w:r>
                  <w:r>
                    <w:rPr>
                      <w:rFonts w:hint="default" w:ascii="Times New Roman" w:hAnsi="Times New Roman" w:eastAsia="仿宋_GB2312" w:cs="Times New Roman"/>
                      <w:color w:val="auto"/>
                      <w:spacing w:val="6"/>
                      <w:sz w:val="21"/>
                      <w:szCs w:val="21"/>
                    </w:rPr>
                    <w:t>理后废弃</w:t>
                  </w:r>
                  <w:r>
                    <w:rPr>
                      <w:rFonts w:hint="default" w:ascii="Times New Roman" w:hAnsi="Times New Roman" w:eastAsia="仿宋_GB2312" w:cs="Times New Roman"/>
                      <w:color w:val="auto"/>
                      <w:spacing w:val="6"/>
                      <w:sz w:val="21"/>
                      <w:szCs w:val="21"/>
                      <w:lang w:eastAsia="zh-CN"/>
                    </w:rPr>
                    <w:t>。</w:t>
                  </w:r>
                </w:p>
              </w:tc>
            </w:tr>
            <w:tr w14:paraId="00F791A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tcBorders>
                    <w:tl2br w:val="nil"/>
                    <w:tr2bl w:val="nil"/>
                  </w:tcBorders>
                  <w:noWrap w:val="0"/>
                  <w:vAlign w:val="center"/>
                </w:tcPr>
                <w:p w14:paraId="4FB252C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汽油</w:t>
                  </w:r>
                </w:p>
              </w:tc>
              <w:tc>
                <w:tcPr>
                  <w:tcW w:w="1847" w:type="dxa"/>
                  <w:tcBorders>
                    <w:tl2br w:val="nil"/>
                    <w:tr2bl w:val="nil"/>
                  </w:tcBorders>
                  <w:noWrap w:val="0"/>
                  <w:vAlign w:val="center"/>
                </w:tcPr>
                <w:p w14:paraId="25DB4CD6">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无色或淡黄色易挥发液体，具有特殊臭味；熔点&lt;-60℃,沸点：40～200℃；不溶于水，易溶于苯、二硫化碳、醇、脂肪；相对密度（水=1）0.70~0.79；相对密度（空气=1）3.5；闪点-50℃,自燃温415~530℃,爆炸下限（V%）1.4，爆炸上限（V%）7.6。</w:t>
                  </w:r>
                </w:p>
              </w:tc>
              <w:tc>
                <w:tcPr>
                  <w:tcW w:w="1847" w:type="dxa"/>
                  <w:tcBorders>
                    <w:tl2br w:val="nil"/>
                    <w:tr2bl w:val="nil"/>
                  </w:tcBorders>
                  <w:noWrap w:val="0"/>
                  <w:vAlign w:val="center"/>
                </w:tcPr>
                <w:p w14:paraId="43B3545D">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易燃，其蒸气与空气可形成爆炸性混合物。遇明火、高热极易燃烧爆炸。与氧化剂能发生强烈反应。其蒸气比空气重，能在较低处扩散到相当远的地方，遇明火会引着回燃。</w:t>
                  </w:r>
                </w:p>
              </w:tc>
              <w:tc>
                <w:tcPr>
                  <w:tcW w:w="1603" w:type="dxa"/>
                  <w:tcBorders>
                    <w:tl2br w:val="nil"/>
                    <w:tr2bl w:val="nil"/>
                  </w:tcBorders>
                  <w:noWrap w:val="0"/>
                  <w:vAlign w:val="center"/>
                </w:tcPr>
                <w:p w14:paraId="263828D5">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LD</w:t>
                  </w:r>
                  <w:r>
                    <w:rPr>
                      <w:rFonts w:hint="default" w:ascii="Times New Roman" w:hAnsi="Times New Roman" w:eastAsia="仿宋_GB2312" w:cs="Times New Roman"/>
                      <w:color w:val="auto"/>
                      <w:sz w:val="21"/>
                      <w:szCs w:val="21"/>
                      <w:highlight w:val="none"/>
                      <w:vertAlign w:val="subscript"/>
                      <w:lang w:val="en-US" w:eastAsia="zh-CN"/>
                    </w:rPr>
                    <w:t>50</w:t>
                  </w:r>
                  <w:r>
                    <w:rPr>
                      <w:rFonts w:hint="default" w:ascii="Times New Roman" w:hAnsi="Times New Roman" w:eastAsia="仿宋_GB2312" w:cs="Times New Roman"/>
                      <w:color w:val="auto"/>
                      <w:sz w:val="21"/>
                      <w:szCs w:val="21"/>
                      <w:highlight w:val="none"/>
                      <w:vertAlign w:val="baseline"/>
                      <w:lang w:val="en-US" w:eastAsia="zh-CN"/>
                    </w:rPr>
                    <w:t>：67000mg/kg（小鼠经口）；</w:t>
                  </w:r>
                </w:p>
                <w:p w14:paraId="5EE58E1D">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LC</w:t>
                  </w:r>
                  <w:r>
                    <w:rPr>
                      <w:rFonts w:hint="default" w:ascii="Times New Roman" w:hAnsi="Times New Roman" w:eastAsia="仿宋_GB2312" w:cs="Times New Roman"/>
                      <w:color w:val="auto"/>
                      <w:sz w:val="21"/>
                      <w:szCs w:val="21"/>
                      <w:highlight w:val="none"/>
                      <w:vertAlign w:val="subscript"/>
                      <w:lang w:val="en-US" w:eastAsia="zh-CN"/>
                    </w:rPr>
                    <w:t>50</w:t>
                  </w:r>
                  <w:r>
                    <w:rPr>
                      <w:rFonts w:hint="default" w:ascii="Times New Roman" w:hAnsi="Times New Roman" w:eastAsia="仿宋_GB2312" w:cs="Times New Roman"/>
                      <w:color w:val="auto"/>
                      <w:sz w:val="21"/>
                      <w:szCs w:val="21"/>
                      <w:highlight w:val="none"/>
                      <w:vertAlign w:val="baseline"/>
                      <w:lang w:val="en-US" w:eastAsia="zh-CN"/>
                    </w:rPr>
                    <w:t>：103000mg/m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 xml:space="preserve"> ，2小时（小鼠吸入）；</w:t>
                  </w:r>
                </w:p>
                <w:p w14:paraId="3FB0B979">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人经眼：140ppm（8小时），轻度刺激；</w:t>
                  </w:r>
                </w:p>
                <w:p w14:paraId="23FA768C">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大鼠吸入3g/m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，12-24小时/天，78天，中毒症状。大鼠</w:t>
                  </w:r>
                </w:p>
                <w:p w14:paraId="54F5AA6D">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吸入2500mg/m</w:t>
                  </w:r>
                  <w:r>
                    <w:rPr>
                      <w:rFonts w:hint="default" w:ascii="Times New Roman" w:hAnsi="Times New Roman" w:eastAsia="仿宋_GB2312" w:cs="Times New Roman"/>
                      <w:color w:val="auto"/>
                      <w:sz w:val="21"/>
                      <w:szCs w:val="21"/>
                      <w:highlight w:val="none"/>
                      <w:vertAlign w:val="superscript"/>
                      <w:lang w:val="en-US" w:eastAsia="zh-CN"/>
                    </w:rPr>
                    <w:t>3</w:t>
                  </w:r>
                </w:p>
              </w:tc>
              <w:tc>
                <w:tcPr>
                  <w:tcW w:w="2094" w:type="dxa"/>
                  <w:vMerge w:val="continue"/>
                  <w:tcBorders>
                    <w:tl2br w:val="nil"/>
                    <w:tr2bl w:val="nil"/>
                  </w:tcBorders>
                  <w:noWrap w:val="0"/>
                  <w:vAlign w:val="center"/>
                </w:tcPr>
                <w:p w14:paraId="1F29C2A9">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2B9736B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7" w:type="dxa"/>
                  <w:tcBorders>
                    <w:tl2br w:val="nil"/>
                    <w:tr2bl w:val="nil"/>
                  </w:tcBorders>
                  <w:noWrap w:val="0"/>
                  <w:vAlign w:val="center"/>
                </w:tcPr>
                <w:p w14:paraId="121E609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LNG</w:t>
                  </w:r>
                </w:p>
              </w:tc>
              <w:tc>
                <w:tcPr>
                  <w:tcW w:w="1847" w:type="dxa"/>
                  <w:tcBorders>
                    <w:tl2br w:val="nil"/>
                    <w:tr2bl w:val="nil"/>
                  </w:tcBorders>
                  <w:noWrap w:val="0"/>
                  <w:vAlign w:val="center"/>
                </w:tcPr>
                <w:p w14:paraId="228F4CE1">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主要是由甲烷组成，可能含有少量乙烷、丙烷、丁烷、氮或通常存在于天然气中的其他组分的一种无色低温液态流体，密度430~470kg/m</w:t>
                  </w:r>
                  <w:r>
                    <w:rPr>
                      <w:rFonts w:hint="default" w:ascii="Times New Roman" w:hAnsi="Times New Roman" w:eastAsia="仿宋_GB2312" w:cs="Times New Roman"/>
                      <w:color w:val="auto"/>
                      <w:sz w:val="21"/>
                      <w:szCs w:val="21"/>
                      <w:highlight w:val="none"/>
                      <w:vertAlign w:val="superscript"/>
                      <w:lang w:val="en-US" w:eastAsia="zh-CN"/>
                    </w:rPr>
                    <w:t>3</w:t>
                  </w:r>
                  <w:r>
                    <w:rPr>
                      <w:rFonts w:hint="default" w:ascii="Times New Roman" w:hAnsi="Times New Roman" w:eastAsia="仿宋_GB2312" w:cs="Times New Roman"/>
                      <w:color w:val="auto"/>
                      <w:sz w:val="21"/>
                      <w:szCs w:val="21"/>
                      <w:highlight w:val="none"/>
                      <w:vertAlign w:val="baseline"/>
                      <w:lang w:val="en-US" w:eastAsia="zh-CN"/>
                    </w:rPr>
                    <w:t>。沸点约-160℃（还与其组分有关），在此温度下，其蒸发气的密度高于周围空气的密度。1单位体积的LNG液体可以转变为约600单位体积的气体。</w:t>
                  </w:r>
                </w:p>
              </w:tc>
              <w:tc>
                <w:tcPr>
                  <w:tcW w:w="1847" w:type="dxa"/>
                  <w:tcBorders>
                    <w:tl2br w:val="nil"/>
                    <w:tr2bl w:val="nil"/>
                  </w:tcBorders>
                  <w:noWrap w:val="0"/>
                  <w:vAlign w:val="center"/>
                </w:tcPr>
                <w:p w14:paraId="05A8F283">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天然气具有易燃性，在大气环境下与空气的混合物的可燃烧范围约为天然气体积分数的5%~15%。若蒸发气在密闭空间内积聚，遇点火源将导致爆炸和高压冲击波。</w:t>
                  </w:r>
                </w:p>
              </w:tc>
              <w:tc>
                <w:tcPr>
                  <w:tcW w:w="1603" w:type="dxa"/>
                  <w:tcBorders>
                    <w:tl2br w:val="nil"/>
                    <w:tr2bl w:val="nil"/>
                  </w:tcBorders>
                  <w:noWrap w:val="0"/>
                  <w:vAlign w:val="center"/>
                </w:tcPr>
                <w:p w14:paraId="3A655B61">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当皮肤与液体LNG接触时，可造成类似于灼伤的皮肤起泡现象。暴露于LNG蒸发气时，会对眼睛等脆弱的外部器官造成伤害。</w:t>
                  </w:r>
                </w:p>
              </w:tc>
              <w:tc>
                <w:tcPr>
                  <w:tcW w:w="2094" w:type="dxa"/>
                  <w:tcBorders>
                    <w:tl2br w:val="nil"/>
                    <w:tr2bl w:val="nil"/>
                  </w:tcBorders>
                  <w:noWrap w:val="0"/>
                  <w:vAlign w:val="center"/>
                </w:tcPr>
                <w:p w14:paraId="6F84BC8E">
                  <w:pPr>
                    <w:keepNext w:val="0"/>
                    <w:keepLines w:val="0"/>
                    <w:pageBreakBefore w:val="0"/>
                    <w:widowControl w:val="0"/>
                    <w:kinsoku/>
                    <w:wordWrap/>
                    <w:overflowPunct/>
                    <w:topLinePunct w:val="0"/>
                    <w:autoSpaceDE w:val="0"/>
                    <w:autoSpaceDN w:val="0"/>
                    <w:bidi w:val="0"/>
                    <w:adjustRightInd w:val="0"/>
                    <w:snapToGrid/>
                    <w:spacing w:line="240" w:lineRule="auto"/>
                    <w:jc w:val="both"/>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储运：建议备好干粉灭火器。与装运LNG有关的人员应经过使用干粉灭火器扑灭液体火灾的培训，不能使用水进行LNG的直接灭火。高膨胀性泡沫或泡沫玻璃块可用于覆盖LNG池火。</w:t>
                  </w:r>
                </w:p>
              </w:tc>
            </w:tr>
          </w:tbl>
          <w:p w14:paraId="63A83A82">
            <w:pPr>
              <w:pStyle w:val="5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5、生产设备</w:t>
            </w:r>
          </w:p>
          <w:p w14:paraId="25DC639A">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本项目生产设备均在一期建设完成，其中LNG撬装站为集成装配式移动站，由生产厂家在预留场地内安装调试。主要设备清单见下表。</w:t>
            </w:r>
          </w:p>
          <w:p w14:paraId="60811093">
            <w:pPr>
              <w:pStyle w:val="49"/>
              <w:adjustRightIn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rPr>
              <w:t>表</w:t>
            </w:r>
            <w:r>
              <w:rPr>
                <w:rFonts w:hint="default" w:ascii="Times New Roman" w:hAnsi="Times New Roman" w:eastAsia="仿宋_GB2312" w:cs="Times New Roman"/>
                <w:color w:val="auto"/>
                <w:sz w:val="24"/>
                <w:szCs w:val="24"/>
                <w:lang w:val="en-US" w:eastAsia="zh-CN"/>
              </w:rPr>
              <w:t>2-</w:t>
            </w:r>
            <w:r>
              <w:rPr>
                <w:rFonts w:hint="default" w:ascii="Times New Roman" w:hAnsi="Times New Roman" w:eastAsia="仿宋_GB2312" w:cs="Times New Roman"/>
                <w:color w:val="auto"/>
                <w:sz w:val="24"/>
                <w:szCs w:val="24"/>
                <w:highlight w:val="none"/>
                <w:lang w:val="en-US" w:eastAsia="zh-CN"/>
              </w:rPr>
              <w:t>5</w:t>
            </w:r>
            <w:r>
              <w:rPr>
                <w:rFonts w:hint="default" w:ascii="Times New Roman" w:hAnsi="Times New Roman" w:eastAsia="仿宋_GB2312" w:cs="Times New Roman"/>
                <w:color w:val="auto"/>
                <w:sz w:val="24"/>
                <w:szCs w:val="24"/>
                <w:highlight w:val="none"/>
              </w:rPr>
              <w:t xml:space="preserve"> </w:t>
            </w:r>
            <w:r>
              <w:rPr>
                <w:rFonts w:hint="default" w:ascii="Times New Roman" w:hAnsi="Times New Roman" w:eastAsia="仿宋_GB2312" w:cs="Times New Roman"/>
                <w:color w:val="auto"/>
                <w:sz w:val="24"/>
                <w:szCs w:val="24"/>
                <w:highlight w:val="none"/>
                <w:lang w:eastAsia="zh-CN"/>
              </w:rPr>
              <w:t>项目主要生产设备一览表</w:t>
            </w:r>
          </w:p>
          <w:tbl>
            <w:tblPr>
              <w:tblStyle w:val="20"/>
              <w:tblW w:w="8088"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78"/>
              <w:gridCol w:w="2288"/>
              <w:gridCol w:w="1087"/>
              <w:gridCol w:w="1400"/>
            </w:tblGrid>
            <w:tr w14:paraId="1AF7A5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noWrap w:val="0"/>
                  <w:vAlign w:val="center"/>
                </w:tcPr>
                <w:p w14:paraId="5F947D2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序号</w:t>
                  </w:r>
                </w:p>
              </w:tc>
              <w:tc>
                <w:tcPr>
                  <w:tcW w:w="2578" w:type="dxa"/>
                  <w:tcBorders>
                    <w:tl2br w:val="nil"/>
                    <w:tr2bl w:val="nil"/>
                  </w:tcBorders>
                  <w:noWrap w:val="0"/>
                  <w:vAlign w:val="center"/>
                </w:tcPr>
                <w:p w14:paraId="55C787F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设备名称</w:t>
                  </w:r>
                </w:p>
              </w:tc>
              <w:tc>
                <w:tcPr>
                  <w:tcW w:w="2288" w:type="dxa"/>
                  <w:tcBorders>
                    <w:tl2br w:val="nil"/>
                    <w:tr2bl w:val="nil"/>
                  </w:tcBorders>
                  <w:noWrap w:val="0"/>
                  <w:vAlign w:val="center"/>
                </w:tcPr>
                <w:p w14:paraId="55F9FB2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设备型号或技术性能</w:t>
                  </w:r>
                </w:p>
              </w:tc>
              <w:tc>
                <w:tcPr>
                  <w:tcW w:w="1087" w:type="dxa"/>
                  <w:tcBorders>
                    <w:tl2br w:val="nil"/>
                    <w:tr2bl w:val="nil"/>
                  </w:tcBorders>
                  <w:noWrap w:val="0"/>
                  <w:vAlign w:val="center"/>
                </w:tcPr>
                <w:p w14:paraId="0DBFF75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数量（个）</w:t>
                  </w:r>
                </w:p>
              </w:tc>
              <w:tc>
                <w:tcPr>
                  <w:tcW w:w="1400" w:type="dxa"/>
                  <w:tcBorders>
                    <w:tl2br w:val="nil"/>
                    <w:tr2bl w:val="nil"/>
                  </w:tcBorders>
                  <w:noWrap w:val="0"/>
                  <w:vAlign w:val="center"/>
                </w:tcPr>
                <w:p w14:paraId="1B410F0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备注</w:t>
                  </w:r>
                </w:p>
              </w:tc>
            </w:tr>
            <w:tr w14:paraId="6E4E304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noWrap w:val="0"/>
                  <w:vAlign w:val="center"/>
                </w:tcPr>
                <w:p w14:paraId="3EA5B4F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w:t>
                  </w:r>
                </w:p>
              </w:tc>
              <w:tc>
                <w:tcPr>
                  <w:tcW w:w="2578" w:type="dxa"/>
                  <w:tcBorders>
                    <w:tl2br w:val="nil"/>
                    <w:tr2bl w:val="nil"/>
                  </w:tcBorders>
                  <w:noWrap w:val="0"/>
                  <w:vAlign w:val="center"/>
                </w:tcPr>
                <w:p w14:paraId="2F5D1C9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埋地式双层汽油储罐</w:t>
                  </w:r>
                </w:p>
              </w:tc>
              <w:tc>
                <w:tcPr>
                  <w:tcW w:w="2288" w:type="dxa"/>
                  <w:tcBorders>
                    <w:tl2br w:val="nil"/>
                    <w:tr2bl w:val="nil"/>
                  </w:tcBorders>
                  <w:noWrap w:val="0"/>
                  <w:vAlign w:val="center"/>
                </w:tcPr>
                <w:p w14:paraId="024E7EB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30m</w:t>
                  </w:r>
                  <w:r>
                    <w:rPr>
                      <w:rFonts w:hint="default" w:ascii="Times New Roman" w:hAnsi="Times New Roman" w:eastAsia="仿宋_GB2312" w:cs="Times New Roman"/>
                      <w:color w:val="auto"/>
                      <w:sz w:val="21"/>
                      <w:szCs w:val="21"/>
                      <w:highlight w:val="none"/>
                      <w:vertAlign w:val="superscript"/>
                      <w:lang w:val="en-US" w:eastAsia="zh-CN"/>
                    </w:rPr>
                    <w:t>3</w:t>
                  </w:r>
                </w:p>
              </w:tc>
              <w:tc>
                <w:tcPr>
                  <w:tcW w:w="1087" w:type="dxa"/>
                  <w:tcBorders>
                    <w:tl2br w:val="nil"/>
                    <w:tr2bl w:val="nil"/>
                  </w:tcBorders>
                  <w:noWrap w:val="0"/>
                  <w:vAlign w:val="center"/>
                </w:tcPr>
                <w:p w14:paraId="5AE4CA8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w:t>
                  </w:r>
                </w:p>
              </w:tc>
              <w:tc>
                <w:tcPr>
                  <w:tcW w:w="1400" w:type="dxa"/>
                  <w:tcBorders>
                    <w:tl2br w:val="nil"/>
                    <w:tr2bl w:val="nil"/>
                  </w:tcBorders>
                  <w:noWrap w:val="0"/>
                  <w:vAlign w:val="center"/>
                </w:tcPr>
                <w:p w14:paraId="1B7AA46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06D92B0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noWrap w:val="0"/>
                  <w:vAlign w:val="center"/>
                </w:tcPr>
                <w:p w14:paraId="5D777F0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w:t>
                  </w:r>
                </w:p>
              </w:tc>
              <w:tc>
                <w:tcPr>
                  <w:tcW w:w="2578" w:type="dxa"/>
                  <w:tcBorders>
                    <w:tl2br w:val="nil"/>
                    <w:tr2bl w:val="nil"/>
                  </w:tcBorders>
                  <w:noWrap w:val="0"/>
                  <w:vAlign w:val="center"/>
                </w:tcPr>
                <w:p w14:paraId="780C542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埋地式双层柴油储罐</w:t>
                  </w:r>
                </w:p>
              </w:tc>
              <w:tc>
                <w:tcPr>
                  <w:tcW w:w="2288" w:type="dxa"/>
                  <w:tcBorders>
                    <w:tl2br w:val="nil"/>
                    <w:tr2bl w:val="nil"/>
                  </w:tcBorders>
                  <w:noWrap w:val="0"/>
                  <w:vAlign w:val="center"/>
                </w:tcPr>
                <w:p w14:paraId="21AE970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50m</w:t>
                  </w:r>
                  <w:r>
                    <w:rPr>
                      <w:rFonts w:hint="default" w:ascii="Times New Roman" w:hAnsi="Times New Roman" w:eastAsia="仿宋_GB2312" w:cs="Times New Roman"/>
                      <w:color w:val="auto"/>
                      <w:sz w:val="21"/>
                      <w:szCs w:val="21"/>
                      <w:highlight w:val="none"/>
                      <w:vertAlign w:val="superscript"/>
                      <w:lang w:val="en-US" w:eastAsia="zh-CN"/>
                    </w:rPr>
                    <w:t>3</w:t>
                  </w:r>
                </w:p>
              </w:tc>
              <w:tc>
                <w:tcPr>
                  <w:tcW w:w="1087" w:type="dxa"/>
                  <w:tcBorders>
                    <w:tl2br w:val="nil"/>
                    <w:tr2bl w:val="nil"/>
                  </w:tcBorders>
                  <w:noWrap w:val="0"/>
                  <w:vAlign w:val="center"/>
                </w:tcPr>
                <w:p w14:paraId="56640DB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w:t>
                  </w:r>
                </w:p>
              </w:tc>
              <w:tc>
                <w:tcPr>
                  <w:tcW w:w="1400" w:type="dxa"/>
                  <w:tcBorders>
                    <w:tl2br w:val="nil"/>
                    <w:tr2bl w:val="nil"/>
                  </w:tcBorders>
                  <w:noWrap w:val="0"/>
                  <w:vAlign w:val="center"/>
                </w:tcPr>
                <w:p w14:paraId="1FD9B43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432790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noWrap w:val="0"/>
                  <w:vAlign w:val="center"/>
                </w:tcPr>
                <w:p w14:paraId="143CDF0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w:t>
                  </w:r>
                </w:p>
              </w:tc>
              <w:tc>
                <w:tcPr>
                  <w:tcW w:w="2578" w:type="dxa"/>
                  <w:tcBorders>
                    <w:tl2br w:val="nil"/>
                    <w:tr2bl w:val="nil"/>
                  </w:tcBorders>
                  <w:noWrap w:val="0"/>
                  <w:vAlign w:val="center"/>
                </w:tcPr>
                <w:p w14:paraId="16F6C5F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LNG双层储罐</w:t>
                  </w:r>
                </w:p>
              </w:tc>
              <w:tc>
                <w:tcPr>
                  <w:tcW w:w="2288" w:type="dxa"/>
                  <w:tcBorders>
                    <w:tl2br w:val="nil"/>
                    <w:tr2bl w:val="nil"/>
                  </w:tcBorders>
                  <w:noWrap w:val="0"/>
                  <w:vAlign w:val="center"/>
                </w:tcPr>
                <w:p w14:paraId="156F9D8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60m</w:t>
                  </w:r>
                  <w:r>
                    <w:rPr>
                      <w:rFonts w:hint="default" w:ascii="Times New Roman" w:hAnsi="Times New Roman" w:eastAsia="仿宋_GB2312" w:cs="Times New Roman"/>
                      <w:color w:val="auto"/>
                      <w:sz w:val="21"/>
                      <w:szCs w:val="21"/>
                      <w:highlight w:val="none"/>
                      <w:vertAlign w:val="superscript"/>
                      <w:lang w:val="en-US" w:eastAsia="zh-CN"/>
                    </w:rPr>
                    <w:t>3</w:t>
                  </w:r>
                </w:p>
              </w:tc>
              <w:tc>
                <w:tcPr>
                  <w:tcW w:w="1087" w:type="dxa"/>
                  <w:tcBorders>
                    <w:tl2br w:val="nil"/>
                    <w:tr2bl w:val="nil"/>
                  </w:tcBorders>
                  <w:noWrap w:val="0"/>
                  <w:vAlign w:val="center"/>
                </w:tcPr>
                <w:p w14:paraId="2703BCF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w:t>
                  </w:r>
                </w:p>
              </w:tc>
              <w:tc>
                <w:tcPr>
                  <w:tcW w:w="1400" w:type="dxa"/>
                  <w:vMerge w:val="restart"/>
                  <w:tcBorders>
                    <w:tl2br w:val="nil"/>
                    <w:tr2bl w:val="nil"/>
                  </w:tcBorders>
                  <w:noWrap w:val="0"/>
                  <w:vAlign w:val="center"/>
                </w:tcPr>
                <w:p w14:paraId="384764D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装配式</w:t>
                  </w:r>
                </w:p>
              </w:tc>
            </w:tr>
            <w:tr w14:paraId="09797D4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noWrap w:val="0"/>
                  <w:vAlign w:val="center"/>
                </w:tcPr>
                <w:p w14:paraId="18E0FE9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4</w:t>
                  </w:r>
                </w:p>
              </w:tc>
              <w:tc>
                <w:tcPr>
                  <w:tcW w:w="2578" w:type="dxa"/>
                  <w:tcBorders>
                    <w:tl2br w:val="nil"/>
                    <w:tr2bl w:val="nil"/>
                  </w:tcBorders>
                  <w:noWrap w:val="0"/>
                  <w:vAlign w:val="center"/>
                </w:tcPr>
                <w:p w14:paraId="63A5C31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LNG泵撬组</w:t>
                  </w:r>
                </w:p>
              </w:tc>
              <w:tc>
                <w:tcPr>
                  <w:tcW w:w="2288" w:type="dxa"/>
                  <w:tcBorders>
                    <w:tl2br w:val="nil"/>
                    <w:tr2bl w:val="nil"/>
                  </w:tcBorders>
                  <w:noWrap w:val="0"/>
                  <w:vAlign w:val="center"/>
                </w:tcPr>
                <w:p w14:paraId="3D289FD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浸没式低温泵/柱塞泵、卸车增压撬、组合增压器</w:t>
                  </w:r>
                </w:p>
              </w:tc>
              <w:tc>
                <w:tcPr>
                  <w:tcW w:w="1087" w:type="dxa"/>
                  <w:tcBorders>
                    <w:tl2br w:val="nil"/>
                    <w:tr2bl w:val="nil"/>
                  </w:tcBorders>
                  <w:noWrap w:val="0"/>
                  <w:vAlign w:val="center"/>
                </w:tcPr>
                <w:p w14:paraId="117C54F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1套</w:t>
                  </w:r>
                </w:p>
              </w:tc>
              <w:tc>
                <w:tcPr>
                  <w:tcW w:w="1400" w:type="dxa"/>
                  <w:vMerge w:val="continue"/>
                  <w:tcBorders>
                    <w:tl2br w:val="nil"/>
                    <w:tr2bl w:val="nil"/>
                  </w:tcBorders>
                  <w:noWrap w:val="0"/>
                  <w:vAlign w:val="center"/>
                </w:tcPr>
                <w:p w14:paraId="7FD752F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77A41A1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3ABFFA2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5</w:t>
                  </w:r>
                </w:p>
              </w:tc>
              <w:tc>
                <w:tcPr>
                  <w:tcW w:w="2578" w:type="dxa"/>
                  <w:tcBorders>
                    <w:tl2br w:val="nil"/>
                    <w:tr2bl w:val="nil"/>
                  </w:tcBorders>
                  <w:noWrap w:val="0"/>
                  <w:vAlign w:val="center"/>
                </w:tcPr>
                <w:p w14:paraId="4935B85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BOG汽化撬</w:t>
                  </w:r>
                </w:p>
              </w:tc>
              <w:tc>
                <w:tcPr>
                  <w:tcW w:w="2288" w:type="dxa"/>
                  <w:tcBorders>
                    <w:tl2br w:val="nil"/>
                    <w:tr2bl w:val="nil"/>
                  </w:tcBorders>
                  <w:noWrap w:val="0"/>
                  <w:vAlign w:val="center"/>
                </w:tcPr>
                <w:p w14:paraId="5C6D792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含缓冲罐</w:t>
                  </w:r>
                </w:p>
              </w:tc>
              <w:tc>
                <w:tcPr>
                  <w:tcW w:w="1087" w:type="dxa"/>
                  <w:tcBorders>
                    <w:tl2br w:val="nil"/>
                    <w:tr2bl w:val="nil"/>
                  </w:tcBorders>
                  <w:noWrap w:val="0"/>
                  <w:vAlign w:val="center"/>
                </w:tcPr>
                <w:p w14:paraId="3CC1896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1套</w:t>
                  </w:r>
                </w:p>
              </w:tc>
              <w:tc>
                <w:tcPr>
                  <w:tcW w:w="1400" w:type="dxa"/>
                  <w:vMerge w:val="continue"/>
                  <w:tcBorders>
                    <w:tl2br w:val="nil"/>
                    <w:tr2bl w:val="nil"/>
                  </w:tcBorders>
                  <w:noWrap w:val="0"/>
                  <w:vAlign w:val="center"/>
                </w:tcPr>
                <w:p w14:paraId="01F3EB6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765D659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7BE2F9D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6</w:t>
                  </w:r>
                </w:p>
              </w:tc>
              <w:tc>
                <w:tcPr>
                  <w:tcW w:w="2578" w:type="dxa"/>
                  <w:tcBorders>
                    <w:tl2br w:val="nil"/>
                    <w:tr2bl w:val="nil"/>
                  </w:tcBorders>
                  <w:noWrap w:val="0"/>
                  <w:vAlign w:val="center"/>
                </w:tcPr>
                <w:p w14:paraId="3AE032E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加气机</w:t>
                  </w:r>
                </w:p>
              </w:tc>
              <w:tc>
                <w:tcPr>
                  <w:tcW w:w="2288" w:type="dxa"/>
                  <w:tcBorders>
                    <w:tl2br w:val="nil"/>
                    <w:tr2bl w:val="nil"/>
                  </w:tcBorders>
                  <w:noWrap w:val="0"/>
                  <w:vAlign w:val="center"/>
                </w:tcPr>
                <w:p w14:paraId="5064616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双枪</w:t>
                  </w:r>
                </w:p>
              </w:tc>
              <w:tc>
                <w:tcPr>
                  <w:tcW w:w="1087" w:type="dxa"/>
                  <w:tcBorders>
                    <w:tl2br w:val="nil"/>
                    <w:tr2bl w:val="nil"/>
                  </w:tcBorders>
                  <w:noWrap w:val="0"/>
                  <w:vAlign w:val="center"/>
                </w:tcPr>
                <w:p w14:paraId="33B3A50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w:t>
                  </w:r>
                </w:p>
              </w:tc>
              <w:tc>
                <w:tcPr>
                  <w:tcW w:w="1400" w:type="dxa"/>
                  <w:tcBorders>
                    <w:tl2br w:val="nil"/>
                    <w:tr2bl w:val="nil"/>
                  </w:tcBorders>
                  <w:noWrap w:val="0"/>
                  <w:vAlign w:val="center"/>
                </w:tcPr>
                <w:p w14:paraId="7D896FA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451BF0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0391C96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7</w:t>
                  </w:r>
                </w:p>
              </w:tc>
              <w:tc>
                <w:tcPr>
                  <w:tcW w:w="2578" w:type="dxa"/>
                  <w:tcBorders>
                    <w:tl2br w:val="nil"/>
                    <w:tr2bl w:val="nil"/>
                  </w:tcBorders>
                  <w:noWrap w:val="0"/>
                  <w:vAlign w:val="center"/>
                </w:tcPr>
                <w:p w14:paraId="024B473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潜油</w:t>
                  </w:r>
                  <w:r>
                    <w:rPr>
                      <w:rFonts w:hint="default" w:ascii="Times New Roman" w:hAnsi="Times New Roman" w:eastAsia="仿宋_GB2312" w:cs="Times New Roman"/>
                      <w:bCs/>
                      <w:color w:val="auto"/>
                      <w:sz w:val="21"/>
                      <w:szCs w:val="21"/>
                      <w:vertAlign w:val="baseline"/>
                      <w:lang w:val="en-US" w:eastAsia="zh-CN"/>
                    </w:rPr>
                    <w:t>泵加油机</w:t>
                  </w:r>
                </w:p>
              </w:tc>
              <w:tc>
                <w:tcPr>
                  <w:tcW w:w="2288" w:type="dxa"/>
                  <w:tcBorders>
                    <w:tl2br w:val="nil"/>
                    <w:tr2bl w:val="nil"/>
                  </w:tcBorders>
                  <w:noWrap w:val="0"/>
                  <w:vAlign w:val="center"/>
                </w:tcPr>
                <w:p w14:paraId="2759C1B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6枪三油品</w:t>
                  </w:r>
                </w:p>
              </w:tc>
              <w:tc>
                <w:tcPr>
                  <w:tcW w:w="1087" w:type="dxa"/>
                  <w:tcBorders>
                    <w:tl2br w:val="nil"/>
                    <w:tr2bl w:val="nil"/>
                  </w:tcBorders>
                  <w:noWrap w:val="0"/>
                  <w:vAlign w:val="center"/>
                </w:tcPr>
                <w:p w14:paraId="57962A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w:t>
                  </w:r>
                </w:p>
              </w:tc>
              <w:tc>
                <w:tcPr>
                  <w:tcW w:w="1400" w:type="dxa"/>
                  <w:tcBorders>
                    <w:tl2br w:val="nil"/>
                    <w:tr2bl w:val="nil"/>
                  </w:tcBorders>
                  <w:noWrap w:val="0"/>
                  <w:vAlign w:val="center"/>
                </w:tcPr>
                <w:p w14:paraId="7116FFB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汽油枪20把、柴油机10把</w:t>
                  </w:r>
                </w:p>
              </w:tc>
            </w:tr>
            <w:tr w14:paraId="5CEDAF1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41C5110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2"/>
                      <w:sz w:val="21"/>
                      <w:szCs w:val="21"/>
                      <w:highlight w:val="none"/>
                      <w:vertAlign w:val="baseline"/>
                      <w:lang w:val="en-US" w:eastAsia="zh-CN" w:bidi="ar-SA"/>
                    </w:rPr>
                    <w:t>8</w:t>
                  </w:r>
                </w:p>
              </w:tc>
              <w:tc>
                <w:tcPr>
                  <w:tcW w:w="2578" w:type="dxa"/>
                  <w:tcBorders>
                    <w:tl2br w:val="nil"/>
                    <w:tr2bl w:val="nil"/>
                  </w:tcBorders>
                  <w:noWrap w:val="0"/>
                  <w:vAlign w:val="center"/>
                </w:tcPr>
                <w:p w14:paraId="7D65782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液位仪</w:t>
                  </w:r>
                </w:p>
              </w:tc>
              <w:tc>
                <w:tcPr>
                  <w:tcW w:w="2288" w:type="dxa"/>
                  <w:tcBorders>
                    <w:tl2br w:val="nil"/>
                    <w:tr2bl w:val="nil"/>
                  </w:tcBorders>
                  <w:noWrap w:val="0"/>
                  <w:vAlign w:val="center"/>
                </w:tcPr>
                <w:p w14:paraId="494E62B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精度为0.5级</w:t>
                  </w:r>
                </w:p>
              </w:tc>
              <w:tc>
                <w:tcPr>
                  <w:tcW w:w="1087" w:type="dxa"/>
                  <w:tcBorders>
                    <w:tl2br w:val="nil"/>
                    <w:tr2bl w:val="nil"/>
                  </w:tcBorders>
                  <w:noWrap w:val="0"/>
                  <w:vAlign w:val="center"/>
                </w:tcPr>
                <w:p w14:paraId="442984C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w:t>
                  </w:r>
                </w:p>
              </w:tc>
              <w:tc>
                <w:tcPr>
                  <w:tcW w:w="1400" w:type="dxa"/>
                  <w:tcBorders>
                    <w:tl2br w:val="nil"/>
                    <w:tr2bl w:val="nil"/>
                  </w:tcBorders>
                  <w:noWrap w:val="0"/>
                  <w:vAlign w:val="center"/>
                </w:tcPr>
                <w:p w14:paraId="7559290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防爆型</w:t>
                  </w:r>
                </w:p>
              </w:tc>
            </w:tr>
            <w:tr w14:paraId="7AAA669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293D4B0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9</w:t>
                  </w:r>
                </w:p>
              </w:tc>
              <w:tc>
                <w:tcPr>
                  <w:tcW w:w="2578" w:type="dxa"/>
                  <w:tcBorders>
                    <w:tl2br w:val="nil"/>
                    <w:tr2bl w:val="nil"/>
                  </w:tcBorders>
                  <w:noWrap w:val="0"/>
                  <w:vAlign w:val="center"/>
                </w:tcPr>
                <w:p w14:paraId="10DEC83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车用尿素溶液加注机</w:t>
                  </w:r>
                </w:p>
              </w:tc>
              <w:tc>
                <w:tcPr>
                  <w:tcW w:w="2288" w:type="dxa"/>
                  <w:tcBorders>
                    <w:tl2br w:val="nil"/>
                    <w:tr2bl w:val="nil"/>
                  </w:tcBorders>
                  <w:noWrap w:val="0"/>
                  <w:vAlign w:val="center"/>
                </w:tcPr>
                <w:p w14:paraId="739D07F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1087" w:type="dxa"/>
                  <w:tcBorders>
                    <w:tl2br w:val="nil"/>
                    <w:tr2bl w:val="nil"/>
                  </w:tcBorders>
                  <w:noWrap w:val="0"/>
                  <w:vAlign w:val="center"/>
                </w:tcPr>
                <w:p w14:paraId="5CD83E2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w:t>
                  </w:r>
                </w:p>
              </w:tc>
              <w:tc>
                <w:tcPr>
                  <w:tcW w:w="1400" w:type="dxa"/>
                  <w:tcBorders>
                    <w:tl2br w:val="nil"/>
                    <w:tr2bl w:val="nil"/>
                  </w:tcBorders>
                  <w:noWrap w:val="0"/>
                  <w:vAlign w:val="center"/>
                </w:tcPr>
                <w:p w14:paraId="33DB569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1E0BA14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6530A6B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10</w:t>
                  </w:r>
                </w:p>
              </w:tc>
              <w:tc>
                <w:tcPr>
                  <w:tcW w:w="2578" w:type="dxa"/>
                  <w:tcBorders>
                    <w:tl2br w:val="nil"/>
                    <w:tr2bl w:val="nil"/>
                  </w:tcBorders>
                  <w:noWrap w:val="0"/>
                  <w:vAlign w:val="center"/>
                </w:tcPr>
                <w:p w14:paraId="2BB494C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充电桩</w:t>
                  </w:r>
                </w:p>
              </w:tc>
              <w:tc>
                <w:tcPr>
                  <w:tcW w:w="2288" w:type="dxa"/>
                  <w:tcBorders>
                    <w:tl2br w:val="nil"/>
                    <w:tr2bl w:val="nil"/>
                  </w:tcBorders>
                  <w:noWrap w:val="0"/>
                  <w:vAlign w:val="center"/>
                </w:tcPr>
                <w:p w14:paraId="6778F6E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双枪</w:t>
                  </w:r>
                </w:p>
              </w:tc>
              <w:tc>
                <w:tcPr>
                  <w:tcW w:w="1087" w:type="dxa"/>
                  <w:tcBorders>
                    <w:tl2br w:val="nil"/>
                    <w:tr2bl w:val="nil"/>
                  </w:tcBorders>
                  <w:noWrap w:val="0"/>
                  <w:vAlign w:val="center"/>
                </w:tcPr>
                <w:p w14:paraId="7C0D785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45</w:t>
                  </w:r>
                </w:p>
              </w:tc>
              <w:tc>
                <w:tcPr>
                  <w:tcW w:w="1400" w:type="dxa"/>
                  <w:tcBorders>
                    <w:tl2br w:val="nil"/>
                    <w:tr2bl w:val="nil"/>
                  </w:tcBorders>
                  <w:noWrap w:val="0"/>
                  <w:vAlign w:val="center"/>
                </w:tcPr>
                <w:p w14:paraId="3BE9A6E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6C9940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7B7DE4D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11</w:t>
                  </w:r>
                </w:p>
              </w:tc>
              <w:tc>
                <w:tcPr>
                  <w:tcW w:w="2578" w:type="dxa"/>
                  <w:tcBorders>
                    <w:tl2br w:val="nil"/>
                    <w:tr2bl w:val="nil"/>
                  </w:tcBorders>
                  <w:noWrap w:val="0"/>
                  <w:vAlign w:val="center"/>
                </w:tcPr>
                <w:p w14:paraId="352A51A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卸油油气回收系统</w:t>
                  </w:r>
                </w:p>
              </w:tc>
              <w:tc>
                <w:tcPr>
                  <w:tcW w:w="2288" w:type="dxa"/>
                  <w:tcBorders>
                    <w:tl2br w:val="nil"/>
                    <w:tr2bl w:val="nil"/>
                  </w:tcBorders>
                  <w:noWrap w:val="0"/>
                  <w:vAlign w:val="center"/>
                </w:tcPr>
                <w:p w14:paraId="4429404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1087" w:type="dxa"/>
                  <w:tcBorders>
                    <w:tl2br w:val="nil"/>
                    <w:tr2bl w:val="nil"/>
                  </w:tcBorders>
                  <w:noWrap w:val="0"/>
                  <w:vAlign w:val="center"/>
                </w:tcPr>
                <w:p w14:paraId="671C2F3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1套</w:t>
                  </w:r>
                </w:p>
              </w:tc>
              <w:tc>
                <w:tcPr>
                  <w:tcW w:w="1400" w:type="dxa"/>
                  <w:tcBorders>
                    <w:tl2br w:val="nil"/>
                    <w:tr2bl w:val="nil"/>
                  </w:tcBorders>
                  <w:noWrap w:val="0"/>
                  <w:vAlign w:val="center"/>
                </w:tcPr>
                <w:p w14:paraId="2A54A94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786B16B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52C4015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12</w:t>
                  </w:r>
                </w:p>
              </w:tc>
              <w:tc>
                <w:tcPr>
                  <w:tcW w:w="2578" w:type="dxa"/>
                  <w:tcBorders>
                    <w:tl2br w:val="nil"/>
                    <w:tr2bl w:val="nil"/>
                  </w:tcBorders>
                  <w:noWrap w:val="0"/>
                  <w:vAlign w:val="center"/>
                </w:tcPr>
                <w:p w14:paraId="67AD36E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加油油气回收系统</w:t>
                  </w:r>
                </w:p>
              </w:tc>
              <w:tc>
                <w:tcPr>
                  <w:tcW w:w="2288" w:type="dxa"/>
                  <w:tcBorders>
                    <w:tl2br w:val="nil"/>
                    <w:tr2bl w:val="nil"/>
                  </w:tcBorders>
                  <w:noWrap w:val="0"/>
                  <w:vAlign w:val="center"/>
                </w:tcPr>
                <w:p w14:paraId="6381D12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1087" w:type="dxa"/>
                  <w:tcBorders>
                    <w:tl2br w:val="nil"/>
                    <w:tr2bl w:val="nil"/>
                  </w:tcBorders>
                  <w:noWrap w:val="0"/>
                  <w:vAlign w:val="center"/>
                </w:tcPr>
                <w:p w14:paraId="4A5F069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5套</w:t>
                  </w:r>
                </w:p>
              </w:tc>
              <w:tc>
                <w:tcPr>
                  <w:tcW w:w="1400" w:type="dxa"/>
                  <w:tcBorders>
                    <w:tl2br w:val="nil"/>
                    <w:tr2bl w:val="nil"/>
                  </w:tcBorders>
                  <w:noWrap w:val="0"/>
                  <w:vAlign w:val="center"/>
                </w:tcPr>
                <w:p w14:paraId="6D2436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6ACAC09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2FF3E46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13</w:t>
                  </w:r>
                </w:p>
              </w:tc>
              <w:tc>
                <w:tcPr>
                  <w:tcW w:w="2578" w:type="dxa"/>
                  <w:tcBorders>
                    <w:tl2br w:val="nil"/>
                    <w:tr2bl w:val="nil"/>
                  </w:tcBorders>
                  <w:noWrap w:val="0"/>
                  <w:vAlign w:val="center"/>
                </w:tcPr>
                <w:p w14:paraId="6CC4DCB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bCs/>
                      <w:color w:val="auto"/>
                      <w:sz w:val="21"/>
                      <w:szCs w:val="21"/>
                      <w:highlight w:val="none"/>
                      <w:vertAlign w:val="baseline"/>
                      <w:lang w:val="en-US" w:eastAsia="zh-CN"/>
                    </w:rPr>
                    <w:t>油气回收在线检测仪</w:t>
                  </w:r>
                </w:p>
              </w:tc>
              <w:tc>
                <w:tcPr>
                  <w:tcW w:w="2288" w:type="dxa"/>
                  <w:tcBorders>
                    <w:tl2br w:val="nil"/>
                    <w:tr2bl w:val="nil"/>
                  </w:tcBorders>
                  <w:noWrap w:val="0"/>
                  <w:vAlign w:val="center"/>
                </w:tcPr>
                <w:p w14:paraId="401B477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1087" w:type="dxa"/>
                  <w:tcBorders>
                    <w:tl2br w:val="nil"/>
                    <w:tr2bl w:val="nil"/>
                  </w:tcBorders>
                  <w:noWrap w:val="0"/>
                  <w:vAlign w:val="center"/>
                </w:tcPr>
                <w:p w14:paraId="3E35815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w:t>
                  </w:r>
                </w:p>
              </w:tc>
              <w:tc>
                <w:tcPr>
                  <w:tcW w:w="1400" w:type="dxa"/>
                  <w:tcBorders>
                    <w:tl2br w:val="nil"/>
                    <w:tr2bl w:val="nil"/>
                  </w:tcBorders>
                  <w:noWrap w:val="0"/>
                  <w:vAlign w:val="center"/>
                </w:tcPr>
                <w:p w14:paraId="35E0BEF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2B32403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shd w:val="clear" w:color="auto" w:fill="auto"/>
                  <w:noWrap w:val="0"/>
                  <w:vAlign w:val="center"/>
                </w:tcPr>
                <w:p w14:paraId="70F04D2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2"/>
                      <w:sz w:val="21"/>
                      <w:szCs w:val="21"/>
                      <w:highlight w:val="none"/>
                      <w:vertAlign w:val="baseline"/>
                      <w:lang w:val="en-US" w:eastAsia="zh-CN" w:bidi="ar-SA"/>
                    </w:rPr>
                    <w:t>14</w:t>
                  </w:r>
                </w:p>
              </w:tc>
              <w:tc>
                <w:tcPr>
                  <w:tcW w:w="2578" w:type="dxa"/>
                  <w:tcBorders>
                    <w:tl2br w:val="nil"/>
                    <w:tr2bl w:val="nil"/>
                  </w:tcBorders>
                  <w:noWrap w:val="0"/>
                  <w:vAlign w:val="center"/>
                </w:tcPr>
                <w:p w14:paraId="03AE537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Cs/>
                      <w:color w:val="auto"/>
                      <w:sz w:val="21"/>
                      <w:szCs w:val="21"/>
                      <w:highlight w:val="none"/>
                      <w:vertAlign w:val="baseline"/>
                      <w:lang w:val="en-US" w:eastAsia="zh-CN"/>
                    </w:rPr>
                  </w:pPr>
                  <w:r>
                    <w:rPr>
                      <w:rFonts w:hint="default" w:ascii="Times New Roman" w:hAnsi="Times New Roman" w:eastAsia="仿宋_GB2312" w:cs="Times New Roman"/>
                      <w:color w:val="auto"/>
                      <w:spacing w:val="7"/>
                      <w:sz w:val="21"/>
                      <w:szCs w:val="21"/>
                    </w:rPr>
                    <w:t>管道泄漏检</w:t>
                  </w:r>
                  <w:r>
                    <w:rPr>
                      <w:rFonts w:hint="default" w:ascii="Times New Roman" w:hAnsi="Times New Roman" w:eastAsia="仿宋_GB2312" w:cs="Times New Roman"/>
                      <w:color w:val="auto"/>
                      <w:spacing w:val="4"/>
                      <w:sz w:val="21"/>
                      <w:szCs w:val="21"/>
                    </w:rPr>
                    <w:t>测仪</w:t>
                  </w:r>
                </w:p>
              </w:tc>
              <w:tc>
                <w:tcPr>
                  <w:tcW w:w="2288" w:type="dxa"/>
                  <w:tcBorders>
                    <w:tl2br w:val="nil"/>
                    <w:tr2bl w:val="nil"/>
                  </w:tcBorders>
                  <w:noWrap w:val="0"/>
                  <w:vAlign w:val="center"/>
                </w:tcPr>
                <w:p w14:paraId="25ACE71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1087" w:type="dxa"/>
                  <w:tcBorders>
                    <w:tl2br w:val="nil"/>
                    <w:tr2bl w:val="nil"/>
                  </w:tcBorders>
                  <w:noWrap w:val="0"/>
                  <w:vAlign w:val="center"/>
                </w:tcPr>
                <w:p w14:paraId="6583E4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w:t>
                  </w:r>
                </w:p>
              </w:tc>
              <w:tc>
                <w:tcPr>
                  <w:tcW w:w="1400" w:type="dxa"/>
                  <w:tcBorders>
                    <w:tl2br w:val="nil"/>
                    <w:tr2bl w:val="nil"/>
                  </w:tcBorders>
                  <w:noWrap w:val="0"/>
                  <w:vAlign w:val="center"/>
                </w:tcPr>
                <w:p w14:paraId="3B03EF5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r w14:paraId="488CAE0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5" w:type="dxa"/>
                  <w:tcBorders>
                    <w:tl2br w:val="nil"/>
                    <w:tr2bl w:val="nil"/>
                  </w:tcBorders>
                  <w:noWrap w:val="0"/>
                  <w:vAlign w:val="center"/>
                </w:tcPr>
                <w:p w14:paraId="690F7D4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2"/>
                      <w:sz w:val="21"/>
                      <w:szCs w:val="21"/>
                      <w:highlight w:val="none"/>
                      <w:vertAlign w:val="baseline"/>
                      <w:lang w:val="en-US" w:eastAsia="zh-CN" w:bidi="ar-SA"/>
                    </w:rPr>
                    <w:t>15</w:t>
                  </w:r>
                </w:p>
              </w:tc>
              <w:tc>
                <w:tcPr>
                  <w:tcW w:w="2578" w:type="dxa"/>
                  <w:tcBorders>
                    <w:tl2br w:val="nil"/>
                    <w:tr2bl w:val="nil"/>
                  </w:tcBorders>
                  <w:noWrap w:val="0"/>
                  <w:vAlign w:val="center"/>
                </w:tcPr>
                <w:p w14:paraId="52B5831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7"/>
                      <w:sz w:val="21"/>
                      <w:szCs w:val="21"/>
                      <w:lang w:eastAsia="zh-CN"/>
                    </w:rPr>
                  </w:pPr>
                  <w:r>
                    <w:rPr>
                      <w:rFonts w:hint="default" w:ascii="Times New Roman" w:hAnsi="Times New Roman" w:eastAsia="仿宋_GB2312" w:cs="Times New Roman"/>
                      <w:color w:val="auto"/>
                      <w:spacing w:val="7"/>
                      <w:sz w:val="21"/>
                      <w:szCs w:val="21"/>
                      <w:lang w:eastAsia="zh-CN"/>
                    </w:rPr>
                    <w:t>自助洗车机</w:t>
                  </w:r>
                </w:p>
              </w:tc>
              <w:tc>
                <w:tcPr>
                  <w:tcW w:w="2288" w:type="dxa"/>
                  <w:tcBorders>
                    <w:tl2br w:val="nil"/>
                    <w:tr2bl w:val="nil"/>
                  </w:tcBorders>
                  <w:noWrap w:val="0"/>
                  <w:vAlign w:val="center"/>
                </w:tcPr>
                <w:p w14:paraId="15E7C25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7"/>
                      <w:sz w:val="21"/>
                      <w:szCs w:val="21"/>
                      <w:lang w:val="en-US" w:eastAsia="zh-CN"/>
                    </w:rPr>
                  </w:pPr>
                  <w:r>
                    <w:rPr>
                      <w:rFonts w:hint="default" w:ascii="Times New Roman" w:hAnsi="Times New Roman" w:eastAsia="仿宋_GB2312" w:cs="Times New Roman"/>
                      <w:color w:val="auto"/>
                      <w:spacing w:val="7"/>
                      <w:sz w:val="21"/>
                      <w:szCs w:val="21"/>
                      <w:lang w:val="en-US" w:eastAsia="zh-CN"/>
                    </w:rPr>
                    <w:t>/</w:t>
                  </w:r>
                </w:p>
              </w:tc>
              <w:tc>
                <w:tcPr>
                  <w:tcW w:w="1087" w:type="dxa"/>
                  <w:tcBorders>
                    <w:tl2br w:val="nil"/>
                    <w:tr2bl w:val="nil"/>
                  </w:tcBorders>
                  <w:noWrap w:val="0"/>
                  <w:vAlign w:val="center"/>
                </w:tcPr>
                <w:p w14:paraId="34742E8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w:t>
                  </w:r>
                </w:p>
              </w:tc>
              <w:tc>
                <w:tcPr>
                  <w:tcW w:w="1400" w:type="dxa"/>
                  <w:tcBorders>
                    <w:tl2br w:val="nil"/>
                    <w:tr2bl w:val="nil"/>
                  </w:tcBorders>
                  <w:noWrap w:val="0"/>
                  <w:vAlign w:val="center"/>
                </w:tcPr>
                <w:p w14:paraId="1E8EE6D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p>
              </w:tc>
            </w:tr>
          </w:tbl>
          <w:p w14:paraId="65A3CF25">
            <w:pPr>
              <w:pStyle w:val="5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6、公用工程</w:t>
            </w:r>
          </w:p>
          <w:p w14:paraId="56F7078F">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（1）给水</w:t>
            </w:r>
          </w:p>
          <w:p w14:paraId="5721133D">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本项目用水主要为生活用水，另外还有少量用于洗车、保洁、绿化用水，取自市政供水管网，站内设置水量计量装置。</w:t>
            </w:r>
          </w:p>
          <w:p w14:paraId="6B54C932">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①生活用水</w:t>
            </w:r>
          </w:p>
          <w:p w14:paraId="7E1BC6BF">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lang w:val="en-US" w:eastAsia="zh-CN"/>
              </w:rPr>
              <w:t>项目职工定员8人，不提供食宿，年工作365天，根据《建筑给水排水设计规范》（GB 50015-2019），员工办公生活用水定额以50L/（人·d）进行计算，</w:t>
            </w:r>
            <w:r>
              <w:rPr>
                <w:rFonts w:hint="default" w:ascii="Times New Roman" w:hAnsi="Times New Roman" w:eastAsia="仿宋_GB2312" w:cs="Times New Roman"/>
                <w:color w:val="auto"/>
                <w:sz w:val="24"/>
                <w:szCs w:val="24"/>
                <w:highlight w:val="none"/>
                <w:lang w:val="en-US" w:eastAsia="zh-CN"/>
              </w:rPr>
              <w:t>办公用水量为400L/d（146t/a）；过往人员用水主要为冲厕和洗手，用水以5L/人计，估算加油站运营期日均进站如厕人员以500人/d计，过往人员用水量为2.5t/d（912.5t/a）；项目总生活用水量为2.9t/d（1058.5t/a），产污系数以80%计，则生活污水产生量为4.32t/d（846.8t/a）。生活污水经地埋式一体化污水处理装置处理后进入市政污水管网。</w:t>
            </w:r>
          </w:p>
          <w:p w14:paraId="6EC27055">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②洗车用水</w:t>
            </w:r>
          </w:p>
          <w:p w14:paraId="2E374D24">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根据《建筑给水排水设计规范》（GB 50015-2019），洗车用水量约为40L/辆，根据业主预测日均洗车30辆/d，则用水量为1.2t/d（438t/a）。用水损耗量以10%计，则废水排放量为1.08t/d（394.2t/a）。污染因子主要为COD、SS和石油类，洗车废水经隔油沉淀池处理后进入市政污水管网。</w:t>
            </w:r>
          </w:p>
          <w:p w14:paraId="47088A40">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③</w:t>
            </w:r>
            <w:r>
              <w:rPr>
                <w:rFonts w:hint="default" w:ascii="Times New Roman" w:hAnsi="Times New Roman" w:eastAsia="仿宋_GB2312" w:cs="Times New Roman"/>
                <w:color w:val="auto"/>
                <w:sz w:val="24"/>
                <w:szCs w:val="24"/>
                <w:highlight w:val="none"/>
                <w:lang w:val="en-US" w:eastAsia="zh-CN"/>
              </w:rPr>
              <w:t>站区地面保洁用水</w:t>
            </w:r>
          </w:p>
          <w:p w14:paraId="6732F0E3">
            <w:pPr>
              <w:autoSpaceDE w:val="0"/>
              <w:autoSpaceDN w:val="0"/>
              <w:adjustRightInd w:val="0"/>
              <w:spacing w:line="360" w:lineRule="auto"/>
              <w:ind w:firstLine="472"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pacing w:val="-2"/>
                <w:sz w:val="24"/>
                <w:szCs w:val="24"/>
              </w:rPr>
              <w:t>本</w:t>
            </w:r>
            <w:r>
              <w:rPr>
                <w:rFonts w:hint="default" w:ascii="Times New Roman" w:hAnsi="Times New Roman" w:eastAsia="仿宋_GB2312" w:cs="Times New Roman"/>
                <w:color w:val="auto"/>
                <w:sz w:val="24"/>
                <w:szCs w:val="24"/>
                <w:lang w:val="en-US" w:eastAsia="zh-CN"/>
              </w:rPr>
              <w:t>项目站区每2天保洁一次，以人工清扫和拖洗为主，站区保洁用水量约1.0L/m</w:t>
            </w:r>
            <w:r>
              <w:rPr>
                <w:rFonts w:hint="default" w:ascii="Times New Roman" w:hAnsi="Times New Roman" w:eastAsia="仿宋_GB2312" w:cs="Times New Roman"/>
                <w:color w:val="auto"/>
                <w:sz w:val="24"/>
                <w:szCs w:val="24"/>
                <w:vertAlign w:val="superscript"/>
                <w:lang w:val="en-US" w:eastAsia="zh-CN"/>
              </w:rPr>
              <w:t>2</w:t>
            </w:r>
            <w:r>
              <w:rPr>
                <w:rFonts w:hint="default" w:ascii="Times New Roman" w:hAnsi="Times New Roman" w:eastAsia="仿宋_GB2312" w:cs="Times New Roman"/>
                <w:color w:val="auto"/>
                <w:sz w:val="24"/>
                <w:szCs w:val="24"/>
                <w:lang w:val="en-US" w:eastAsia="zh-CN"/>
              </w:rPr>
              <w:t>，站区需清洁面积约1200m</w:t>
            </w:r>
            <w:r>
              <w:rPr>
                <w:rFonts w:hint="default" w:ascii="Times New Roman" w:hAnsi="Times New Roman" w:eastAsia="仿宋_GB2312" w:cs="Times New Roman"/>
                <w:color w:val="auto"/>
                <w:sz w:val="24"/>
                <w:szCs w:val="24"/>
                <w:vertAlign w:val="superscript"/>
                <w:lang w:val="en-US" w:eastAsia="zh-CN"/>
              </w:rPr>
              <w:t>2</w:t>
            </w:r>
            <w:r>
              <w:rPr>
                <w:rFonts w:hint="default" w:ascii="Times New Roman" w:hAnsi="Times New Roman" w:eastAsia="仿宋_GB2312" w:cs="Times New Roman"/>
                <w:color w:val="auto"/>
                <w:sz w:val="24"/>
                <w:szCs w:val="24"/>
                <w:lang w:val="en-US" w:eastAsia="zh-CN"/>
              </w:rPr>
              <w:t>，则保洁用水量为0.6t/d（219t/a），损耗量以20%计，则清洁废水排放量为0.48t/d（175.2t/a），保洁废水经隔油沉淀池处理后进入市政污水管网。</w:t>
            </w:r>
          </w:p>
          <w:p w14:paraId="7A230A17">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④绿化用水</w:t>
            </w:r>
          </w:p>
          <w:p w14:paraId="3BE2C580">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站区绿化面积约2000m</w:t>
            </w:r>
            <w:r>
              <w:rPr>
                <w:rFonts w:hint="default" w:ascii="Times New Roman" w:hAnsi="Times New Roman" w:eastAsia="仿宋_GB2312" w:cs="Times New Roman"/>
                <w:color w:val="auto"/>
                <w:sz w:val="24"/>
                <w:szCs w:val="24"/>
                <w:vertAlign w:val="superscript"/>
                <w:lang w:val="en-US" w:eastAsia="zh-CN"/>
              </w:rPr>
              <w:t>2</w:t>
            </w:r>
            <w:r>
              <w:rPr>
                <w:rFonts w:hint="default" w:ascii="Times New Roman" w:hAnsi="Times New Roman" w:eastAsia="仿宋_GB2312" w:cs="Times New Roman"/>
                <w:color w:val="auto"/>
                <w:sz w:val="24"/>
                <w:szCs w:val="24"/>
                <w:lang w:val="en-US" w:eastAsia="zh-CN"/>
              </w:rPr>
              <w:t>，绿化用水以1.0L/（m</w:t>
            </w:r>
            <w:r>
              <w:rPr>
                <w:rFonts w:hint="default" w:ascii="Times New Roman" w:hAnsi="Times New Roman" w:eastAsia="仿宋_GB2312" w:cs="Times New Roman"/>
                <w:color w:val="auto"/>
                <w:sz w:val="24"/>
                <w:szCs w:val="24"/>
                <w:vertAlign w:val="superscript"/>
                <w:lang w:val="en-US" w:eastAsia="zh-CN"/>
              </w:rPr>
              <w:t>2</w:t>
            </w:r>
            <w:r>
              <w:rPr>
                <w:rFonts w:hint="default" w:ascii="Times New Roman" w:hAnsi="Times New Roman" w:eastAsia="仿宋_GB2312" w:cs="Times New Roman"/>
                <w:color w:val="auto"/>
                <w:sz w:val="24"/>
                <w:szCs w:val="24"/>
                <w:lang w:val="en-US" w:eastAsia="zh-CN"/>
              </w:rPr>
              <w:t>·次）计，年绿化次数以50次/年计，则绿化用水量为100t/a，全部蒸发损耗或进入土壤。</w:t>
            </w:r>
          </w:p>
          <w:p w14:paraId="55222E97">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⑤含油初期雨水</w:t>
            </w:r>
          </w:p>
          <w:p w14:paraId="2E3B3037">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大量的研究表明，雨水径流有明显的初期冲刷作用，当遇到降雨时，地面的油污被冲洗下来，使得初期径流雨水中含有一定浓度的污染物。为此，本项目须对初期雨水进行收集和处理。依据《给水排水工程快速设计手册》中相关要求，初期雨水收集时间为5min，实际工程经验计算出降雨历时为8min。本报告从安全考虑取下雨初期15min的时间来计算初期雨水。</w:t>
            </w:r>
          </w:p>
          <w:p w14:paraId="41771226">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项目位于东至县，临近安庆市因此，参照安庆地区暴雨强度公式：</w:t>
            </w:r>
          </w:p>
          <w:p w14:paraId="3759810D">
            <w:pPr>
              <w:autoSpaceDE w:val="0"/>
              <w:autoSpaceDN w:val="0"/>
              <w:adjustRightInd w:val="0"/>
              <w:spacing w:line="360" w:lineRule="auto"/>
              <w:ind w:left="0" w:leftChars="0" w:firstLine="1058" w:firstLineChars="441"/>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position w:val="-24"/>
                <w:sz w:val="24"/>
                <w:szCs w:val="24"/>
                <w:lang w:val="en-US" w:eastAsia="zh-CN"/>
              </w:rPr>
              <w:object>
                <v:shape id="_x0000_i1029" o:spt="75" type="#_x0000_t75" style="height:31pt;width:123pt;" o:ole="t" filled="f" o:preferrelative="t" stroked="f" coordsize="21600,21600">
                  <v:path/>
                  <v:fill on="f" focussize="0,0"/>
                  <v:stroke on="f"/>
                  <v:imagedata r:id="rId21" o:title=""/>
                  <o:lock v:ext="edit" aspectratio="t"/>
                  <w10:wrap type="none"/>
                  <w10:anchorlock/>
                </v:shape>
                <o:OLEObject Type="Embed" ProgID="Equation.KSEE3" ShapeID="_x0000_i1029" DrawAspect="Content" ObjectID="_1468075729" r:id="rId20">
                  <o:LockedField>false</o:LockedField>
                </o:OLEObject>
              </w:object>
            </w:r>
            <w:r>
              <w:rPr>
                <w:rFonts w:hint="default" w:ascii="Times New Roman" w:hAnsi="Times New Roman" w:eastAsia="仿宋_GB2312" w:cs="Times New Roman"/>
                <w:color w:val="auto"/>
                <w:sz w:val="24"/>
                <w:szCs w:val="24"/>
                <w:lang w:val="en-US" w:eastAsia="zh-CN"/>
              </w:rPr>
              <w:t xml:space="preserve">             （Ⅰ）</w:t>
            </w:r>
          </w:p>
          <w:p w14:paraId="43627F68">
            <w:pPr>
              <w:autoSpaceDE w:val="0"/>
              <w:autoSpaceDN w:val="0"/>
              <w:adjustRightInd w:val="0"/>
              <w:spacing w:line="360" w:lineRule="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式中：q——暴雨强度（升/秒•公顷）； P——重现期，取1年； t——降雨历时，取30min；</w:t>
            </w:r>
          </w:p>
          <w:p w14:paraId="116CB208">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计算结果（Ⅰ）：</w:t>
            </w:r>
            <w:r>
              <w:rPr>
                <w:rFonts w:hint="default" w:ascii="Times New Roman" w:hAnsi="Times New Roman" w:eastAsia="仿宋_GB2312" w:cs="Times New Roman"/>
                <w:color w:val="auto"/>
                <w:spacing w:val="11"/>
                <w:sz w:val="24"/>
                <w:szCs w:val="24"/>
                <w:lang w:val="en-US" w:eastAsia="zh-CN"/>
              </w:rPr>
              <w:t>q=160.9升</w:t>
            </w:r>
            <w:r>
              <w:rPr>
                <w:rFonts w:hint="default" w:ascii="Times New Roman" w:hAnsi="Times New Roman" w:eastAsia="仿宋_GB2312" w:cs="Times New Roman"/>
                <w:color w:val="auto"/>
                <w:sz w:val="24"/>
                <w:szCs w:val="24"/>
                <w:lang w:val="en-US" w:eastAsia="zh-CN"/>
              </w:rPr>
              <w:t>/（秒•公顷）。</w:t>
            </w:r>
          </w:p>
          <w:p w14:paraId="52F0371D">
            <w:pPr>
              <w:autoSpaceDE w:val="0"/>
              <w:autoSpaceDN w:val="0"/>
              <w:adjustRightInd w:val="0"/>
              <w:spacing w:line="360" w:lineRule="auto"/>
              <w:ind w:left="0" w:leftChars="0" w:firstLine="1209" w:firstLineChars="504"/>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position w:val="-10"/>
                <w:sz w:val="24"/>
                <w:szCs w:val="24"/>
                <w:lang w:val="en-US" w:eastAsia="zh-CN"/>
              </w:rPr>
              <w:object>
                <v:shape id="_x0000_i1030" o:spt="75" type="#_x0000_t75" style="height:16pt;width:82pt;" o:ole="t" filled="f" o:preferrelative="t" stroked="f" coordsize="21600,21600">
                  <v:path/>
                  <v:fill on="f" focussize="0,0"/>
                  <v:stroke on="f"/>
                  <v:imagedata r:id="rId23" o:title=""/>
                  <o:lock v:ext="edit" aspectratio="t"/>
                  <w10:wrap type="none"/>
                  <w10:anchorlock/>
                </v:shape>
                <o:OLEObject Type="Embed" ProgID="Equation.KSEE3" ShapeID="_x0000_i1030" DrawAspect="Content" ObjectID="_1468075730" r:id="rId22">
                  <o:LockedField>false</o:LockedField>
                </o:OLEObject>
              </w:object>
            </w:r>
            <w:r>
              <w:rPr>
                <w:rFonts w:hint="default" w:ascii="Times New Roman" w:hAnsi="Times New Roman" w:eastAsia="仿宋_GB2312" w:cs="Times New Roman"/>
                <w:color w:val="auto"/>
                <w:sz w:val="24"/>
                <w:szCs w:val="24"/>
                <w:lang w:val="en-US" w:eastAsia="zh-CN"/>
              </w:rPr>
              <w:t xml:space="preserve">                   （Ⅱ）</w:t>
            </w:r>
          </w:p>
          <w:p w14:paraId="35070E1F">
            <w:pPr>
              <w:autoSpaceDE w:val="0"/>
              <w:autoSpaceDN w:val="0"/>
              <w:adjustRightInd w:val="0"/>
              <w:spacing w:line="360" w:lineRule="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式中：Q——初期雨水排放量；              F——汇水面积（公顷），取0.15hm</w:t>
            </w:r>
            <w:r>
              <w:rPr>
                <w:rFonts w:hint="default" w:ascii="Times New Roman" w:hAnsi="Times New Roman" w:eastAsia="仿宋_GB2312" w:cs="Times New Roman"/>
                <w:color w:val="auto"/>
                <w:sz w:val="24"/>
                <w:szCs w:val="24"/>
                <w:vertAlign w:val="superscript"/>
                <w:lang w:val="en-US" w:eastAsia="zh-CN"/>
              </w:rPr>
              <w:t>2</w:t>
            </w:r>
            <w:r>
              <w:rPr>
                <w:rFonts w:hint="default" w:ascii="Times New Roman" w:hAnsi="Times New Roman" w:eastAsia="仿宋_GB2312" w:cs="Times New Roman"/>
                <w:color w:val="auto"/>
                <w:sz w:val="24"/>
                <w:szCs w:val="24"/>
                <w:lang w:val="en-US" w:eastAsia="zh-CN"/>
              </w:rPr>
              <w:t>；</w:t>
            </w:r>
          </w:p>
          <w:p w14:paraId="78A61BFF">
            <w:pPr>
              <w:autoSpaceDE w:val="0"/>
              <w:autoSpaceDN w:val="0"/>
              <w:adjustRightInd w:val="0"/>
              <w:spacing w:line="360" w:lineRule="auto"/>
              <w:ind w:left="0" w:leftChars="0" w:firstLine="729" w:firstLineChars="304"/>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Ψ——为径流系数（0.4～0.9，取0.9）；T——为收水时间，取15min。</w:t>
            </w:r>
          </w:p>
          <w:p w14:paraId="066FC952">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计算结果（Ⅱ）：</w:t>
            </w:r>
            <w:r>
              <w:rPr>
                <w:rFonts w:hint="default" w:ascii="Times New Roman" w:hAnsi="Times New Roman" w:eastAsia="仿宋_GB2312" w:cs="Times New Roman"/>
                <w:color w:val="auto"/>
                <w:spacing w:val="11"/>
                <w:sz w:val="24"/>
                <w:szCs w:val="24"/>
                <w:lang w:val="en-US" w:eastAsia="zh-CN"/>
              </w:rPr>
              <w:t>Q=19.5t/次</w:t>
            </w:r>
            <w:r>
              <w:rPr>
                <w:rFonts w:hint="default" w:ascii="Times New Roman" w:hAnsi="Times New Roman" w:eastAsia="仿宋_GB2312" w:cs="Times New Roman"/>
                <w:color w:val="auto"/>
                <w:sz w:val="24"/>
                <w:szCs w:val="24"/>
                <w:lang w:val="en-US" w:eastAsia="zh-CN"/>
              </w:rPr>
              <w:t>。</w:t>
            </w:r>
          </w:p>
          <w:p w14:paraId="56BE288A">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项目汇水区以卸油区及洗车区为主，具体初期雨水汇水范围见附图6，估算汇水面积0.15hm</w:t>
            </w:r>
            <w:r>
              <w:rPr>
                <w:rFonts w:hint="default" w:ascii="Times New Roman" w:hAnsi="Times New Roman" w:eastAsia="仿宋_GB2312" w:cs="Times New Roman"/>
                <w:color w:val="auto"/>
                <w:sz w:val="24"/>
                <w:szCs w:val="24"/>
                <w:vertAlign w:val="superscript"/>
                <w:lang w:val="en-US" w:eastAsia="zh-CN"/>
              </w:rPr>
              <w:t>2</w:t>
            </w:r>
            <w:r>
              <w:rPr>
                <w:rFonts w:hint="default" w:ascii="Times New Roman" w:hAnsi="Times New Roman" w:eastAsia="仿宋_GB2312" w:cs="Times New Roman"/>
                <w:color w:val="auto"/>
                <w:sz w:val="24"/>
                <w:szCs w:val="24"/>
                <w:lang w:val="en-US" w:eastAsia="zh-CN"/>
              </w:rPr>
              <w:t>，计算可得最大初期雨水需收集量Q为19.5t/次，收集的初期雨水按照一年30场次，则年产生的初期雨水为585t/a。本项目初期雨水汇入隔油沉淀池处理，达标后排入市政污水管网。</w:t>
            </w:r>
          </w:p>
          <w:p w14:paraId="7EF2E85F">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项目废水污染物产生情况见下表。</w:t>
            </w:r>
          </w:p>
          <w:p w14:paraId="02BDC0A9">
            <w:pPr>
              <w:pStyle w:val="49"/>
              <w:adjustRightInd w:val="0"/>
              <w:spacing w:line="240" w:lineRule="auto"/>
              <w:jc w:val="center"/>
              <w:rPr>
                <w:rFonts w:hint="default" w:ascii="Times New Roman" w:hAnsi="Times New Roman" w:eastAsia="仿宋_GB2312" w:cs="Times New Roman"/>
                <w:color w:val="auto"/>
                <w:sz w:val="24"/>
                <w:szCs w:val="24"/>
              </w:rPr>
            </w:pPr>
          </w:p>
          <w:p w14:paraId="1D4D1C7C">
            <w:pPr>
              <w:pStyle w:val="49"/>
              <w:adjustRightInd w:val="0"/>
              <w:spacing w:line="240" w:lineRule="auto"/>
              <w:jc w:val="center"/>
              <w:rPr>
                <w:rFonts w:hint="default" w:ascii="Times New Roman" w:hAnsi="Times New Roman" w:eastAsia="仿宋_GB2312" w:cs="Times New Roman"/>
                <w:color w:val="auto"/>
                <w:sz w:val="24"/>
                <w:szCs w:val="24"/>
              </w:rPr>
            </w:pPr>
          </w:p>
          <w:p w14:paraId="0DF155C2">
            <w:pPr>
              <w:pStyle w:val="49"/>
              <w:adjustRightInd w:val="0"/>
              <w:spacing w:line="240" w:lineRule="auto"/>
              <w:jc w:val="center"/>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rPr>
              <w:t>表</w:t>
            </w:r>
            <w:r>
              <w:rPr>
                <w:rFonts w:hint="default" w:ascii="Times New Roman" w:hAnsi="Times New Roman" w:eastAsia="仿宋_GB2312" w:cs="Times New Roman"/>
                <w:color w:val="auto"/>
                <w:sz w:val="24"/>
                <w:szCs w:val="24"/>
                <w:highlight w:val="none"/>
                <w:lang w:val="en-US" w:eastAsia="zh-CN"/>
              </w:rPr>
              <w:t>2-6</w:t>
            </w:r>
            <w:r>
              <w:rPr>
                <w:rFonts w:hint="default" w:ascii="Times New Roman" w:hAnsi="Times New Roman" w:eastAsia="仿宋_GB2312" w:cs="Times New Roman"/>
                <w:color w:val="auto"/>
                <w:sz w:val="24"/>
                <w:szCs w:val="24"/>
                <w:highlight w:val="none"/>
              </w:rPr>
              <w:t xml:space="preserve"> </w:t>
            </w:r>
            <w:r>
              <w:rPr>
                <w:rFonts w:hint="default" w:ascii="Times New Roman" w:hAnsi="Times New Roman" w:eastAsia="仿宋_GB2312" w:cs="Times New Roman"/>
                <w:color w:val="auto"/>
                <w:sz w:val="24"/>
                <w:szCs w:val="24"/>
                <w:highlight w:val="none"/>
                <w:lang w:eastAsia="zh-CN"/>
              </w:rPr>
              <w:t>项目用水、排水情况一览表</w:t>
            </w:r>
          </w:p>
          <w:tbl>
            <w:tblPr>
              <w:tblStyle w:val="20"/>
              <w:tblW w:w="8059"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0"/>
              <w:gridCol w:w="839"/>
              <w:gridCol w:w="1000"/>
              <w:gridCol w:w="1110"/>
              <w:gridCol w:w="830"/>
              <w:gridCol w:w="860"/>
              <w:gridCol w:w="800"/>
              <w:gridCol w:w="800"/>
              <w:gridCol w:w="1130"/>
            </w:tblGrid>
            <w:tr w14:paraId="4D8C867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29" w:type="dxa"/>
                  <w:gridSpan w:val="2"/>
                  <w:tcBorders>
                    <w:tl2br w:val="nil"/>
                    <w:tr2bl w:val="nil"/>
                  </w:tcBorders>
                  <w:noWrap w:val="0"/>
                  <w:vAlign w:val="center"/>
                </w:tcPr>
                <w:p w14:paraId="6C427B1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用水名称</w:t>
                  </w:r>
                </w:p>
              </w:tc>
              <w:tc>
                <w:tcPr>
                  <w:tcW w:w="1000" w:type="dxa"/>
                  <w:tcBorders>
                    <w:tl2br w:val="nil"/>
                    <w:tr2bl w:val="nil"/>
                  </w:tcBorders>
                  <w:noWrap w:val="0"/>
                  <w:vAlign w:val="center"/>
                </w:tcPr>
                <w:p w14:paraId="4D0B467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用水</w:t>
                  </w:r>
                </w:p>
                <w:p w14:paraId="79A6123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基数</w:t>
                  </w:r>
                </w:p>
              </w:tc>
              <w:tc>
                <w:tcPr>
                  <w:tcW w:w="1110" w:type="dxa"/>
                  <w:tcBorders>
                    <w:tl2br w:val="nil"/>
                    <w:tr2bl w:val="nil"/>
                  </w:tcBorders>
                  <w:noWrap w:val="0"/>
                  <w:vAlign w:val="center"/>
                </w:tcPr>
                <w:p w14:paraId="0CC925A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用水</w:t>
                  </w:r>
                </w:p>
                <w:p w14:paraId="106D30B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定额</w:t>
                  </w:r>
                </w:p>
              </w:tc>
              <w:tc>
                <w:tcPr>
                  <w:tcW w:w="830" w:type="dxa"/>
                  <w:tcBorders>
                    <w:tl2br w:val="nil"/>
                    <w:tr2bl w:val="nil"/>
                  </w:tcBorders>
                  <w:noWrap w:val="0"/>
                  <w:vAlign w:val="center"/>
                </w:tcPr>
                <w:p w14:paraId="192B28C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周期</w:t>
                  </w:r>
                </w:p>
                <w:p w14:paraId="3A9F1BE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d</w:t>
                  </w:r>
                </w:p>
              </w:tc>
              <w:tc>
                <w:tcPr>
                  <w:tcW w:w="1660" w:type="dxa"/>
                  <w:gridSpan w:val="2"/>
                  <w:tcBorders>
                    <w:tl2br w:val="nil"/>
                    <w:tr2bl w:val="nil"/>
                  </w:tcBorders>
                  <w:noWrap w:val="0"/>
                  <w:vAlign w:val="center"/>
                </w:tcPr>
                <w:p w14:paraId="1E76F91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用水量</w:t>
                  </w:r>
                </w:p>
                <w:p w14:paraId="1855E59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t/a</w:t>
                  </w:r>
                </w:p>
              </w:tc>
              <w:tc>
                <w:tcPr>
                  <w:tcW w:w="800" w:type="dxa"/>
                  <w:tcBorders>
                    <w:tl2br w:val="nil"/>
                    <w:tr2bl w:val="nil"/>
                  </w:tcBorders>
                  <w:noWrap w:val="0"/>
                  <w:vAlign w:val="center"/>
                </w:tcPr>
                <w:p w14:paraId="0DD4CF4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产污</w:t>
                  </w:r>
                </w:p>
                <w:p w14:paraId="6A6E185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系数</w:t>
                  </w:r>
                </w:p>
              </w:tc>
              <w:tc>
                <w:tcPr>
                  <w:tcW w:w="1130" w:type="dxa"/>
                  <w:tcBorders>
                    <w:tl2br w:val="nil"/>
                    <w:tr2bl w:val="nil"/>
                  </w:tcBorders>
                  <w:noWrap w:val="0"/>
                  <w:vAlign w:val="center"/>
                </w:tcPr>
                <w:p w14:paraId="4D4EFD5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排水量</w:t>
                  </w:r>
                </w:p>
                <w:p w14:paraId="72EA2DC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t/a</w:t>
                  </w:r>
                </w:p>
              </w:tc>
            </w:tr>
            <w:tr w14:paraId="3286AF6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0" w:type="dxa"/>
                  <w:vMerge w:val="restart"/>
                  <w:tcBorders>
                    <w:tl2br w:val="nil"/>
                    <w:tr2bl w:val="nil"/>
                  </w:tcBorders>
                  <w:noWrap w:val="0"/>
                  <w:vAlign w:val="center"/>
                </w:tcPr>
                <w:p w14:paraId="38AA1DC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生活用水</w:t>
                  </w:r>
                </w:p>
              </w:tc>
              <w:tc>
                <w:tcPr>
                  <w:tcW w:w="839" w:type="dxa"/>
                  <w:tcBorders>
                    <w:tl2br w:val="nil"/>
                    <w:tr2bl w:val="nil"/>
                  </w:tcBorders>
                  <w:noWrap w:val="0"/>
                  <w:vAlign w:val="center"/>
                </w:tcPr>
                <w:p w14:paraId="4F8D025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办公</w:t>
                  </w:r>
                </w:p>
              </w:tc>
              <w:tc>
                <w:tcPr>
                  <w:tcW w:w="1000" w:type="dxa"/>
                  <w:tcBorders>
                    <w:tl2br w:val="nil"/>
                    <w:tr2bl w:val="nil"/>
                  </w:tcBorders>
                  <w:noWrap w:val="0"/>
                  <w:vAlign w:val="center"/>
                </w:tcPr>
                <w:p w14:paraId="2DC9E59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8人</w:t>
                  </w:r>
                </w:p>
              </w:tc>
              <w:tc>
                <w:tcPr>
                  <w:tcW w:w="1110" w:type="dxa"/>
                  <w:tcBorders>
                    <w:tl2br w:val="nil"/>
                    <w:tr2bl w:val="nil"/>
                  </w:tcBorders>
                  <w:noWrap w:val="0"/>
                  <w:vAlign w:val="center"/>
                </w:tcPr>
                <w:p w14:paraId="43CC3706">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lang w:val="en-US" w:eastAsia="zh-CN"/>
                    </w:rPr>
                    <w:t>50L/（人·d）</w:t>
                  </w:r>
                </w:p>
              </w:tc>
              <w:tc>
                <w:tcPr>
                  <w:tcW w:w="830" w:type="dxa"/>
                  <w:tcBorders>
                    <w:tl2br w:val="nil"/>
                    <w:tr2bl w:val="nil"/>
                  </w:tcBorders>
                  <w:noWrap w:val="0"/>
                  <w:vAlign w:val="center"/>
                </w:tcPr>
                <w:p w14:paraId="4AB2B35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365</w:t>
                  </w:r>
                </w:p>
              </w:tc>
              <w:tc>
                <w:tcPr>
                  <w:tcW w:w="860" w:type="dxa"/>
                  <w:tcBorders>
                    <w:tl2br w:val="nil"/>
                    <w:tr2bl w:val="nil"/>
                  </w:tcBorders>
                  <w:noWrap w:val="0"/>
                  <w:vAlign w:val="center"/>
                </w:tcPr>
                <w:p w14:paraId="4CC1381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146</w:t>
                  </w:r>
                </w:p>
              </w:tc>
              <w:tc>
                <w:tcPr>
                  <w:tcW w:w="800" w:type="dxa"/>
                  <w:vMerge w:val="restart"/>
                  <w:tcBorders>
                    <w:tl2br w:val="nil"/>
                    <w:tr2bl w:val="nil"/>
                  </w:tcBorders>
                  <w:noWrap w:val="0"/>
                  <w:vAlign w:val="center"/>
                </w:tcPr>
                <w:p w14:paraId="75EAD51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1058.5</w:t>
                  </w:r>
                </w:p>
              </w:tc>
              <w:tc>
                <w:tcPr>
                  <w:tcW w:w="800" w:type="dxa"/>
                  <w:vMerge w:val="restart"/>
                  <w:tcBorders>
                    <w:tl2br w:val="nil"/>
                    <w:tr2bl w:val="nil"/>
                  </w:tcBorders>
                  <w:noWrap w:val="0"/>
                  <w:vAlign w:val="center"/>
                </w:tcPr>
                <w:p w14:paraId="3BFA9BC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80%</w:t>
                  </w:r>
                </w:p>
              </w:tc>
              <w:tc>
                <w:tcPr>
                  <w:tcW w:w="1130" w:type="dxa"/>
                  <w:vMerge w:val="restart"/>
                  <w:tcBorders>
                    <w:tl2br w:val="nil"/>
                    <w:tr2bl w:val="nil"/>
                  </w:tcBorders>
                  <w:noWrap w:val="0"/>
                  <w:vAlign w:val="center"/>
                </w:tcPr>
                <w:p w14:paraId="2983A4B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846.8</w:t>
                  </w:r>
                </w:p>
              </w:tc>
            </w:tr>
            <w:tr w14:paraId="07CC942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90" w:type="dxa"/>
                  <w:vMerge w:val="continue"/>
                  <w:tcBorders>
                    <w:tl2br w:val="nil"/>
                    <w:tr2bl w:val="nil"/>
                  </w:tcBorders>
                  <w:noWrap w:val="0"/>
                  <w:vAlign w:val="center"/>
                </w:tcPr>
                <w:p w14:paraId="4725F16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839" w:type="dxa"/>
                  <w:tcBorders>
                    <w:tl2br w:val="nil"/>
                    <w:tr2bl w:val="nil"/>
                  </w:tcBorders>
                  <w:noWrap w:val="0"/>
                  <w:vAlign w:val="center"/>
                </w:tcPr>
                <w:p w14:paraId="794CC18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过往人员</w:t>
                  </w:r>
                </w:p>
              </w:tc>
              <w:tc>
                <w:tcPr>
                  <w:tcW w:w="1000" w:type="dxa"/>
                  <w:tcBorders>
                    <w:tl2br w:val="nil"/>
                    <w:tr2bl w:val="nil"/>
                  </w:tcBorders>
                  <w:noWrap w:val="0"/>
                  <w:vAlign w:val="center"/>
                </w:tcPr>
                <w:p w14:paraId="5B51E492">
                  <w:pPr>
                    <w:keepNext w:val="0"/>
                    <w:keepLines w:val="0"/>
                    <w:pageBreakBefore w:val="0"/>
                    <w:widowControl w:val="0"/>
                    <w:kinsoku/>
                    <w:wordWrap/>
                    <w:overflowPunct/>
                    <w:topLinePunct w:val="0"/>
                    <w:autoSpaceDE w:val="0"/>
                    <w:autoSpaceDN w:val="0"/>
                    <w:bidi w:val="0"/>
                    <w:adjustRightInd w:val="0"/>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500人</w:t>
                  </w:r>
                </w:p>
              </w:tc>
              <w:tc>
                <w:tcPr>
                  <w:tcW w:w="1110" w:type="dxa"/>
                  <w:tcBorders>
                    <w:tl2br w:val="nil"/>
                    <w:tr2bl w:val="nil"/>
                  </w:tcBorders>
                  <w:noWrap w:val="0"/>
                  <w:vAlign w:val="center"/>
                </w:tcPr>
                <w:p w14:paraId="50F6CA0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5L/人</w:t>
                  </w:r>
                </w:p>
              </w:tc>
              <w:tc>
                <w:tcPr>
                  <w:tcW w:w="830" w:type="dxa"/>
                  <w:tcBorders>
                    <w:tl2br w:val="nil"/>
                    <w:tr2bl w:val="nil"/>
                  </w:tcBorders>
                  <w:noWrap w:val="0"/>
                  <w:vAlign w:val="center"/>
                </w:tcPr>
                <w:p w14:paraId="62CDE55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365</w:t>
                  </w:r>
                </w:p>
              </w:tc>
              <w:tc>
                <w:tcPr>
                  <w:tcW w:w="860" w:type="dxa"/>
                  <w:tcBorders>
                    <w:tl2br w:val="nil"/>
                    <w:tr2bl w:val="nil"/>
                  </w:tcBorders>
                  <w:noWrap w:val="0"/>
                  <w:vAlign w:val="center"/>
                </w:tcPr>
                <w:p w14:paraId="51BF560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912.5</w:t>
                  </w:r>
                </w:p>
              </w:tc>
              <w:tc>
                <w:tcPr>
                  <w:tcW w:w="800" w:type="dxa"/>
                  <w:vMerge w:val="continue"/>
                  <w:tcBorders>
                    <w:tl2br w:val="nil"/>
                    <w:tr2bl w:val="nil"/>
                  </w:tcBorders>
                  <w:noWrap w:val="0"/>
                  <w:vAlign w:val="center"/>
                </w:tcPr>
                <w:p w14:paraId="62A4562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800" w:type="dxa"/>
                  <w:vMerge w:val="continue"/>
                  <w:tcBorders>
                    <w:tl2br w:val="nil"/>
                    <w:tr2bl w:val="nil"/>
                  </w:tcBorders>
                  <w:noWrap w:val="0"/>
                  <w:vAlign w:val="center"/>
                </w:tcPr>
                <w:p w14:paraId="6E352F9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130" w:type="dxa"/>
                  <w:vMerge w:val="continue"/>
                  <w:tcBorders>
                    <w:tl2br w:val="nil"/>
                    <w:tr2bl w:val="nil"/>
                  </w:tcBorders>
                  <w:noWrap w:val="0"/>
                  <w:vAlign w:val="center"/>
                </w:tcPr>
                <w:p w14:paraId="4801E0D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7565B3B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29" w:type="dxa"/>
                  <w:gridSpan w:val="2"/>
                  <w:tcBorders>
                    <w:tl2br w:val="nil"/>
                    <w:tr2bl w:val="nil"/>
                  </w:tcBorders>
                  <w:noWrap w:val="0"/>
                  <w:vAlign w:val="center"/>
                </w:tcPr>
                <w:p w14:paraId="1316042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洗车用水</w:t>
                  </w:r>
                </w:p>
              </w:tc>
              <w:tc>
                <w:tcPr>
                  <w:tcW w:w="1000" w:type="dxa"/>
                  <w:tcBorders>
                    <w:tl2br w:val="nil"/>
                    <w:tr2bl w:val="nil"/>
                  </w:tcBorders>
                  <w:noWrap w:val="0"/>
                  <w:vAlign w:val="center"/>
                </w:tcPr>
                <w:p w14:paraId="38234E6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30辆</w:t>
                  </w:r>
                </w:p>
              </w:tc>
              <w:tc>
                <w:tcPr>
                  <w:tcW w:w="1110" w:type="dxa"/>
                  <w:tcBorders>
                    <w:tl2br w:val="nil"/>
                    <w:tr2bl w:val="nil"/>
                  </w:tcBorders>
                  <w:noWrap w:val="0"/>
                  <w:vAlign w:val="center"/>
                </w:tcPr>
                <w:p w14:paraId="7B31D7A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40L/辆</w:t>
                  </w:r>
                </w:p>
              </w:tc>
              <w:tc>
                <w:tcPr>
                  <w:tcW w:w="830" w:type="dxa"/>
                  <w:tcBorders>
                    <w:tl2br w:val="nil"/>
                    <w:tr2bl w:val="nil"/>
                  </w:tcBorders>
                  <w:noWrap w:val="0"/>
                  <w:vAlign w:val="center"/>
                </w:tcPr>
                <w:p w14:paraId="46409C1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365</w:t>
                  </w:r>
                </w:p>
              </w:tc>
              <w:tc>
                <w:tcPr>
                  <w:tcW w:w="1660" w:type="dxa"/>
                  <w:gridSpan w:val="2"/>
                  <w:tcBorders>
                    <w:tl2br w:val="nil"/>
                    <w:tr2bl w:val="nil"/>
                  </w:tcBorders>
                  <w:noWrap w:val="0"/>
                  <w:vAlign w:val="center"/>
                </w:tcPr>
                <w:p w14:paraId="6E7B49C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438</w:t>
                  </w:r>
                </w:p>
              </w:tc>
              <w:tc>
                <w:tcPr>
                  <w:tcW w:w="800" w:type="dxa"/>
                  <w:tcBorders>
                    <w:tl2br w:val="nil"/>
                    <w:tr2bl w:val="nil"/>
                  </w:tcBorders>
                  <w:noWrap w:val="0"/>
                  <w:vAlign w:val="center"/>
                </w:tcPr>
                <w:p w14:paraId="1740699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90%</w:t>
                  </w:r>
                </w:p>
              </w:tc>
              <w:tc>
                <w:tcPr>
                  <w:tcW w:w="1130" w:type="dxa"/>
                  <w:tcBorders>
                    <w:tl2br w:val="nil"/>
                    <w:tr2bl w:val="nil"/>
                  </w:tcBorders>
                  <w:noWrap w:val="0"/>
                  <w:vAlign w:val="center"/>
                </w:tcPr>
                <w:p w14:paraId="0F1877F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394.2</w:t>
                  </w:r>
                </w:p>
              </w:tc>
            </w:tr>
            <w:tr w14:paraId="611E751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29" w:type="dxa"/>
                  <w:gridSpan w:val="2"/>
                  <w:tcBorders>
                    <w:tl2br w:val="nil"/>
                    <w:tr2bl w:val="nil"/>
                  </w:tcBorders>
                  <w:noWrap w:val="0"/>
                  <w:vAlign w:val="center"/>
                </w:tcPr>
                <w:p w14:paraId="10A1674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保洁用水</w:t>
                  </w:r>
                </w:p>
              </w:tc>
              <w:tc>
                <w:tcPr>
                  <w:tcW w:w="1000" w:type="dxa"/>
                  <w:tcBorders>
                    <w:tl2br w:val="nil"/>
                    <w:tr2bl w:val="nil"/>
                  </w:tcBorders>
                  <w:noWrap w:val="0"/>
                  <w:vAlign w:val="center"/>
                </w:tcPr>
                <w:p w14:paraId="15ED2AE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0.12hm</w:t>
                  </w:r>
                  <w:r>
                    <w:rPr>
                      <w:rFonts w:hint="default" w:ascii="Times New Roman" w:hAnsi="Times New Roman" w:eastAsia="仿宋_GB2312" w:cs="Times New Roman"/>
                      <w:color w:val="auto"/>
                      <w:sz w:val="21"/>
                      <w:szCs w:val="21"/>
                      <w:vertAlign w:val="superscript"/>
                      <w:lang w:val="en-US" w:eastAsia="zh-CN"/>
                    </w:rPr>
                    <w:t>2</w:t>
                  </w:r>
                </w:p>
              </w:tc>
              <w:tc>
                <w:tcPr>
                  <w:tcW w:w="1110" w:type="dxa"/>
                  <w:tcBorders>
                    <w:tl2br w:val="nil"/>
                    <w:tr2bl w:val="nil"/>
                  </w:tcBorders>
                  <w:noWrap w:val="0"/>
                  <w:vAlign w:val="center"/>
                </w:tcPr>
                <w:p w14:paraId="5B513BD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1.0L/m</w:t>
                  </w:r>
                  <w:r>
                    <w:rPr>
                      <w:rFonts w:hint="default" w:ascii="Times New Roman" w:hAnsi="Times New Roman" w:eastAsia="仿宋_GB2312" w:cs="Times New Roman"/>
                      <w:color w:val="auto"/>
                      <w:sz w:val="21"/>
                      <w:szCs w:val="21"/>
                      <w:vertAlign w:val="superscript"/>
                      <w:lang w:val="en-US" w:eastAsia="zh-CN"/>
                    </w:rPr>
                    <w:t>2</w:t>
                  </w:r>
                </w:p>
              </w:tc>
              <w:tc>
                <w:tcPr>
                  <w:tcW w:w="830" w:type="dxa"/>
                  <w:tcBorders>
                    <w:tl2br w:val="nil"/>
                    <w:tr2bl w:val="nil"/>
                  </w:tcBorders>
                  <w:noWrap w:val="0"/>
                  <w:vAlign w:val="center"/>
                </w:tcPr>
                <w:p w14:paraId="6E594A1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365/2</w:t>
                  </w:r>
                </w:p>
              </w:tc>
              <w:tc>
                <w:tcPr>
                  <w:tcW w:w="1660" w:type="dxa"/>
                  <w:gridSpan w:val="2"/>
                  <w:tcBorders>
                    <w:tl2br w:val="nil"/>
                    <w:tr2bl w:val="nil"/>
                  </w:tcBorders>
                  <w:noWrap w:val="0"/>
                  <w:vAlign w:val="center"/>
                </w:tcPr>
                <w:p w14:paraId="5478BFF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219</w:t>
                  </w:r>
                </w:p>
              </w:tc>
              <w:tc>
                <w:tcPr>
                  <w:tcW w:w="800" w:type="dxa"/>
                  <w:tcBorders>
                    <w:tl2br w:val="nil"/>
                    <w:tr2bl w:val="nil"/>
                  </w:tcBorders>
                  <w:noWrap w:val="0"/>
                  <w:vAlign w:val="center"/>
                </w:tcPr>
                <w:p w14:paraId="64BDBD9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80%</w:t>
                  </w:r>
                </w:p>
              </w:tc>
              <w:tc>
                <w:tcPr>
                  <w:tcW w:w="1130" w:type="dxa"/>
                  <w:tcBorders>
                    <w:tl2br w:val="nil"/>
                    <w:tr2bl w:val="nil"/>
                  </w:tcBorders>
                  <w:noWrap w:val="0"/>
                  <w:vAlign w:val="center"/>
                </w:tcPr>
                <w:p w14:paraId="7D3ACB5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175.2</w:t>
                  </w:r>
                </w:p>
              </w:tc>
            </w:tr>
            <w:tr w14:paraId="7E0B1E2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29" w:type="dxa"/>
                  <w:gridSpan w:val="2"/>
                  <w:tcBorders>
                    <w:tl2br w:val="nil"/>
                    <w:tr2bl w:val="nil"/>
                  </w:tcBorders>
                  <w:noWrap w:val="0"/>
                  <w:vAlign w:val="center"/>
                </w:tcPr>
                <w:p w14:paraId="3A8C808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绿化用水</w:t>
                  </w:r>
                </w:p>
              </w:tc>
              <w:tc>
                <w:tcPr>
                  <w:tcW w:w="1000" w:type="dxa"/>
                  <w:tcBorders>
                    <w:tl2br w:val="nil"/>
                    <w:tr2bl w:val="nil"/>
                  </w:tcBorders>
                  <w:noWrap w:val="0"/>
                  <w:vAlign w:val="center"/>
                </w:tcPr>
                <w:p w14:paraId="490219E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0.20hm</w:t>
                  </w:r>
                  <w:r>
                    <w:rPr>
                      <w:rFonts w:hint="default" w:ascii="Times New Roman" w:hAnsi="Times New Roman" w:eastAsia="仿宋_GB2312" w:cs="Times New Roman"/>
                      <w:color w:val="auto"/>
                      <w:sz w:val="21"/>
                      <w:szCs w:val="21"/>
                      <w:vertAlign w:val="superscript"/>
                      <w:lang w:val="en-US" w:eastAsia="zh-CN"/>
                    </w:rPr>
                    <w:t>2</w:t>
                  </w:r>
                </w:p>
              </w:tc>
              <w:tc>
                <w:tcPr>
                  <w:tcW w:w="1110" w:type="dxa"/>
                  <w:tcBorders>
                    <w:tl2br w:val="nil"/>
                    <w:tr2bl w:val="nil"/>
                  </w:tcBorders>
                  <w:noWrap w:val="0"/>
                  <w:vAlign w:val="center"/>
                </w:tcPr>
                <w:p w14:paraId="621E563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1.0L/m</w:t>
                  </w:r>
                  <w:r>
                    <w:rPr>
                      <w:rFonts w:hint="default" w:ascii="Times New Roman" w:hAnsi="Times New Roman" w:eastAsia="仿宋_GB2312" w:cs="Times New Roman"/>
                      <w:color w:val="auto"/>
                      <w:sz w:val="21"/>
                      <w:szCs w:val="21"/>
                      <w:vertAlign w:val="superscript"/>
                      <w:lang w:val="en-US" w:eastAsia="zh-CN"/>
                    </w:rPr>
                    <w:t>2</w:t>
                  </w:r>
                </w:p>
              </w:tc>
              <w:tc>
                <w:tcPr>
                  <w:tcW w:w="830" w:type="dxa"/>
                  <w:tcBorders>
                    <w:tl2br w:val="nil"/>
                    <w:tr2bl w:val="nil"/>
                  </w:tcBorders>
                  <w:noWrap w:val="0"/>
                  <w:vAlign w:val="center"/>
                </w:tcPr>
                <w:p w14:paraId="17405C8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50次</w:t>
                  </w:r>
                </w:p>
              </w:tc>
              <w:tc>
                <w:tcPr>
                  <w:tcW w:w="1660" w:type="dxa"/>
                  <w:gridSpan w:val="2"/>
                  <w:tcBorders>
                    <w:tl2br w:val="nil"/>
                    <w:tr2bl w:val="nil"/>
                  </w:tcBorders>
                  <w:noWrap w:val="0"/>
                  <w:vAlign w:val="center"/>
                </w:tcPr>
                <w:p w14:paraId="5E5664C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100</w:t>
                  </w:r>
                </w:p>
              </w:tc>
              <w:tc>
                <w:tcPr>
                  <w:tcW w:w="800" w:type="dxa"/>
                  <w:tcBorders>
                    <w:tl2br w:val="nil"/>
                    <w:tr2bl w:val="nil"/>
                  </w:tcBorders>
                  <w:noWrap w:val="0"/>
                  <w:vAlign w:val="center"/>
                </w:tcPr>
                <w:p w14:paraId="239BDB8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1130" w:type="dxa"/>
                  <w:tcBorders>
                    <w:tl2br w:val="nil"/>
                    <w:tr2bl w:val="nil"/>
                  </w:tcBorders>
                  <w:noWrap w:val="0"/>
                  <w:vAlign w:val="center"/>
                </w:tcPr>
                <w:p w14:paraId="4FFD086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r>
            <w:tr w14:paraId="3321ACA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529" w:type="dxa"/>
                  <w:gridSpan w:val="2"/>
                  <w:tcBorders>
                    <w:tl2br w:val="nil"/>
                    <w:tr2bl w:val="nil"/>
                  </w:tcBorders>
                  <w:noWrap w:val="0"/>
                  <w:vAlign w:val="center"/>
                </w:tcPr>
                <w:p w14:paraId="58D0F70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（含油初期雨水）</w:t>
                  </w:r>
                </w:p>
              </w:tc>
              <w:tc>
                <w:tcPr>
                  <w:tcW w:w="1000" w:type="dxa"/>
                  <w:tcBorders>
                    <w:tl2br w:val="nil"/>
                    <w:tr2bl w:val="nil"/>
                  </w:tcBorders>
                  <w:noWrap w:val="0"/>
                  <w:vAlign w:val="center"/>
                </w:tcPr>
                <w:p w14:paraId="062C637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1110" w:type="dxa"/>
                  <w:tcBorders>
                    <w:tl2br w:val="nil"/>
                    <w:tr2bl w:val="nil"/>
                  </w:tcBorders>
                  <w:noWrap w:val="0"/>
                  <w:vAlign w:val="center"/>
                </w:tcPr>
                <w:p w14:paraId="26AEE38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830" w:type="dxa"/>
                  <w:tcBorders>
                    <w:tl2br w:val="nil"/>
                    <w:tr2bl w:val="nil"/>
                  </w:tcBorders>
                  <w:noWrap w:val="0"/>
                  <w:vAlign w:val="center"/>
                </w:tcPr>
                <w:p w14:paraId="0993316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1660" w:type="dxa"/>
                  <w:gridSpan w:val="2"/>
                  <w:tcBorders>
                    <w:tl2br w:val="nil"/>
                    <w:tr2bl w:val="nil"/>
                  </w:tcBorders>
                  <w:noWrap w:val="0"/>
                  <w:vAlign w:val="center"/>
                </w:tcPr>
                <w:p w14:paraId="1CBEDF3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800" w:type="dxa"/>
                  <w:tcBorders>
                    <w:tl2br w:val="nil"/>
                    <w:tr2bl w:val="nil"/>
                  </w:tcBorders>
                  <w:noWrap w:val="0"/>
                  <w:vAlign w:val="center"/>
                </w:tcPr>
                <w:p w14:paraId="5457505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1130" w:type="dxa"/>
                  <w:tcBorders>
                    <w:tl2br w:val="nil"/>
                    <w:tr2bl w:val="nil"/>
                  </w:tcBorders>
                  <w:noWrap w:val="0"/>
                  <w:vAlign w:val="center"/>
                </w:tcPr>
                <w:p w14:paraId="6FC82B8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585</w:t>
                  </w:r>
                </w:p>
              </w:tc>
            </w:tr>
          </w:tbl>
          <w:p w14:paraId="4674D96D">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项目水平衡图见下图：</w:t>
            </w:r>
          </w:p>
          <w:p w14:paraId="7C35DE89">
            <w:pPr>
              <w:autoSpaceDE w:val="0"/>
              <w:autoSpaceDN w:val="0"/>
              <w:adjustRightInd w:val="0"/>
              <w:spacing w:line="360" w:lineRule="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mc:AlternateContent>
                <mc:Choice Requires="wpg">
                  <w:drawing>
                    <wp:anchor distT="0" distB="0" distL="114300" distR="114300" simplePos="0" relativeHeight="251667456" behindDoc="0" locked="0" layoutInCell="1" allowOverlap="1">
                      <wp:simplePos x="0" y="0"/>
                      <wp:positionH relativeFrom="column">
                        <wp:posOffset>-90170</wp:posOffset>
                      </wp:positionH>
                      <wp:positionV relativeFrom="paragraph">
                        <wp:posOffset>38100</wp:posOffset>
                      </wp:positionV>
                      <wp:extent cx="5014595" cy="3057525"/>
                      <wp:effectExtent l="0" t="0" r="15240" b="9525"/>
                      <wp:wrapNone/>
                      <wp:docPr id="45" name="组合 30"/>
                      <wp:cNvGraphicFramePr/>
                      <a:graphic xmlns:a="http://schemas.openxmlformats.org/drawingml/2006/main">
                        <a:graphicData uri="http://schemas.microsoft.com/office/word/2010/wordprocessingGroup">
                          <wpg:wgp>
                            <wpg:cNvGrpSpPr/>
                            <wpg:grpSpPr>
                              <a:xfrm>
                                <a:off x="0" y="0"/>
                                <a:ext cx="5014595" cy="3057525"/>
                                <a:chOff x="2380" y="267291"/>
                                <a:chExt cx="7897" cy="4815"/>
                              </a:xfrm>
                            </wpg:grpSpPr>
                            <wps:wsp>
                              <wps:cNvPr id="9" name="文本框 75"/>
                              <wps:cNvSpPr txBox="1"/>
                              <wps:spPr>
                                <a:xfrm>
                                  <a:off x="3670" y="267743"/>
                                  <a:ext cx="1579" cy="44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3B2AF9C">
                                    <w:pPr>
                                      <w:jc w:val="center"/>
                                      <w:rPr>
                                        <w:rFonts w:hint="eastAsia" w:eastAsia="宋体"/>
                                        <w:lang w:eastAsia="zh-CN"/>
                                      </w:rPr>
                                    </w:pPr>
                                    <w:r>
                                      <w:rPr>
                                        <w:rFonts w:hint="eastAsia" w:eastAsia="宋体"/>
                                        <w:lang w:eastAsia="zh-CN"/>
                                      </w:rPr>
                                      <w:t>生活用水</w:t>
                                    </w:r>
                                  </w:p>
                                </w:txbxContent>
                              </wps:txbx>
                              <wps:bodyPr vert="horz" wrap="square" anchor="t" anchorCtr="0" upright="1"/>
                            </wps:wsp>
                            <wps:wsp>
                              <wps:cNvPr id="10" name="直线 76"/>
                              <wps:cNvCnPr/>
                              <wps:spPr>
                                <a:xfrm>
                                  <a:off x="3169" y="267978"/>
                                  <a:ext cx="11" cy="3070"/>
                                </a:xfrm>
                                <a:prstGeom prst="line">
                                  <a:avLst/>
                                </a:prstGeom>
                                <a:ln w="9525" cap="flat" cmpd="sng">
                                  <a:solidFill>
                                    <a:srgbClr val="000000"/>
                                  </a:solidFill>
                                  <a:prstDash val="solid"/>
                                  <a:headEnd type="none" w="med" len="med"/>
                                  <a:tailEnd type="none" w="med" len="med"/>
                                </a:ln>
                              </wps:spPr>
                              <wps:bodyPr upright="1"/>
                            </wps:wsp>
                            <wps:wsp>
                              <wps:cNvPr id="11" name="文本框 78"/>
                              <wps:cNvSpPr txBox="1"/>
                              <wps:spPr>
                                <a:xfrm>
                                  <a:off x="2380" y="269820"/>
                                  <a:ext cx="909" cy="461"/>
                                </a:xfrm>
                                <a:prstGeom prst="rect">
                                  <a:avLst/>
                                </a:prstGeom>
                                <a:noFill/>
                                <a:ln>
                                  <a:noFill/>
                                </a:ln>
                              </wps:spPr>
                              <wps:txbx>
                                <w:txbxContent>
                                  <w:p w14:paraId="278B68F5">
                                    <w:pPr>
                                      <w:rPr>
                                        <w:rFonts w:hint="eastAsia" w:eastAsia="宋体"/>
                                        <w:sz w:val="18"/>
                                        <w:szCs w:val="18"/>
                                        <w:lang w:eastAsia="zh-CN"/>
                                      </w:rPr>
                                    </w:pPr>
                                    <w:r>
                                      <w:rPr>
                                        <w:rFonts w:hint="eastAsia"/>
                                        <w:sz w:val="18"/>
                                        <w:szCs w:val="18"/>
                                        <w:lang w:eastAsia="zh-CN"/>
                                      </w:rPr>
                                      <w:t>自来水</w:t>
                                    </w:r>
                                  </w:p>
                                </w:txbxContent>
                              </wps:txbx>
                              <wps:bodyPr vert="horz" wrap="square" anchor="t" anchorCtr="0" upright="1"/>
                            </wps:wsp>
                            <wps:wsp>
                              <wps:cNvPr id="12" name="文本框 79"/>
                              <wps:cNvSpPr txBox="1"/>
                              <wps:spPr>
                                <a:xfrm>
                                  <a:off x="2409" y="269605"/>
                                  <a:ext cx="909" cy="461"/>
                                </a:xfrm>
                                <a:prstGeom prst="rect">
                                  <a:avLst/>
                                </a:prstGeom>
                                <a:noFill/>
                                <a:ln>
                                  <a:noFill/>
                                </a:ln>
                              </wps:spPr>
                              <wps:txbx>
                                <w:txbxContent>
                                  <w:p w14:paraId="6200FAAE">
                                    <w:pPr>
                                      <w:rPr>
                                        <w:rFonts w:hint="default" w:eastAsia="宋体"/>
                                        <w:sz w:val="18"/>
                                        <w:szCs w:val="18"/>
                                        <w:lang w:val="en-US" w:eastAsia="zh-CN"/>
                                      </w:rPr>
                                    </w:pPr>
                                    <w:r>
                                      <w:rPr>
                                        <w:rFonts w:hint="eastAsia"/>
                                        <w:sz w:val="18"/>
                                        <w:szCs w:val="18"/>
                                        <w:lang w:val="en-US" w:eastAsia="zh-CN"/>
                                      </w:rPr>
                                      <w:t>1815.5</w:t>
                                    </w:r>
                                  </w:p>
                                </w:txbxContent>
                              </wps:txbx>
                              <wps:bodyPr vert="horz" wrap="square" anchor="t" anchorCtr="0" upright="1"/>
                            </wps:wsp>
                            <wps:wsp>
                              <wps:cNvPr id="13" name="文本框 80"/>
                              <wps:cNvSpPr txBox="1"/>
                              <wps:spPr>
                                <a:xfrm>
                                  <a:off x="3688" y="269870"/>
                                  <a:ext cx="1579" cy="44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15DD52">
                                    <w:pPr>
                                      <w:jc w:val="center"/>
                                      <w:rPr>
                                        <w:rFonts w:hint="eastAsia" w:eastAsia="宋体"/>
                                        <w:lang w:eastAsia="zh-CN"/>
                                      </w:rPr>
                                    </w:pPr>
                                    <w:r>
                                      <w:rPr>
                                        <w:rFonts w:hint="eastAsia" w:eastAsia="宋体"/>
                                        <w:lang w:eastAsia="zh-CN"/>
                                      </w:rPr>
                                      <w:t>保洁用水</w:t>
                                    </w:r>
                                  </w:p>
                                </w:txbxContent>
                              </wps:txbx>
                              <wps:bodyPr vert="horz" wrap="square" anchor="t" anchorCtr="0" upright="1"/>
                            </wps:wsp>
                            <wps:wsp>
                              <wps:cNvPr id="14" name="文本框 81"/>
                              <wps:cNvSpPr txBox="1"/>
                              <wps:spPr>
                                <a:xfrm>
                                  <a:off x="3677" y="268770"/>
                                  <a:ext cx="1579" cy="44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0583DB0">
                                    <w:pPr>
                                      <w:jc w:val="center"/>
                                      <w:rPr>
                                        <w:rFonts w:hint="eastAsia" w:eastAsia="宋体"/>
                                        <w:lang w:eastAsia="zh-CN"/>
                                      </w:rPr>
                                    </w:pPr>
                                    <w:r>
                                      <w:rPr>
                                        <w:rFonts w:hint="eastAsia" w:eastAsia="宋体"/>
                                        <w:lang w:eastAsia="zh-CN"/>
                                      </w:rPr>
                                      <w:t>洗车用水</w:t>
                                    </w:r>
                                  </w:p>
                                </w:txbxContent>
                              </wps:txbx>
                              <wps:bodyPr vert="horz" wrap="square" anchor="t" anchorCtr="0" upright="1"/>
                            </wps:wsp>
                            <wps:wsp>
                              <wps:cNvPr id="15" name="文本框 86"/>
                              <wps:cNvSpPr txBox="1"/>
                              <wps:spPr>
                                <a:xfrm>
                                  <a:off x="3670" y="270805"/>
                                  <a:ext cx="1579" cy="44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D99FC82">
                                    <w:pPr>
                                      <w:jc w:val="center"/>
                                      <w:rPr>
                                        <w:rFonts w:hint="eastAsia" w:eastAsia="宋体"/>
                                        <w:lang w:eastAsia="zh-CN"/>
                                      </w:rPr>
                                    </w:pPr>
                                    <w:r>
                                      <w:rPr>
                                        <w:rFonts w:hint="eastAsia" w:eastAsia="宋体"/>
                                        <w:lang w:eastAsia="zh-CN"/>
                                      </w:rPr>
                                      <w:t>绿化用水</w:t>
                                    </w:r>
                                  </w:p>
                                </w:txbxContent>
                              </wps:txbx>
                              <wps:bodyPr vert="horz" wrap="square" anchor="t" anchorCtr="0" upright="1"/>
                            </wps:wsp>
                            <wps:wsp>
                              <wps:cNvPr id="16" name="文本框 87"/>
                              <wps:cNvSpPr txBox="1"/>
                              <wps:spPr>
                                <a:xfrm>
                                  <a:off x="6274" y="267624"/>
                                  <a:ext cx="1579" cy="709"/>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AE207E">
                                    <w:pPr>
                                      <w:jc w:val="center"/>
                                      <w:rPr>
                                        <w:rFonts w:hint="eastAsia" w:eastAsia="宋体"/>
                                        <w:lang w:eastAsia="zh-CN"/>
                                      </w:rPr>
                                    </w:pPr>
                                    <w:r>
                                      <w:rPr>
                                        <w:rFonts w:hint="eastAsia" w:eastAsia="宋体"/>
                                        <w:lang w:val="en-US" w:eastAsia="zh-CN"/>
                                      </w:rPr>
                                      <w:t>地埋式一体化污水处理装置</w:t>
                                    </w:r>
                                  </w:p>
                                </w:txbxContent>
                              </wps:txbx>
                              <wps:bodyPr vert="horz" wrap="square" anchor="t" anchorCtr="0" upright="1"/>
                            </wps:wsp>
                            <wps:wsp>
                              <wps:cNvPr id="17" name="直线 88"/>
                              <wps:cNvCnPr/>
                              <wps:spPr>
                                <a:xfrm flipV="1">
                                  <a:off x="5257" y="267968"/>
                                  <a:ext cx="1041" cy="10"/>
                                </a:xfrm>
                                <a:prstGeom prst="line">
                                  <a:avLst/>
                                </a:prstGeom>
                                <a:ln w="9525" cap="flat" cmpd="sng">
                                  <a:solidFill>
                                    <a:srgbClr val="000000"/>
                                  </a:solidFill>
                                  <a:prstDash val="solid"/>
                                  <a:headEnd type="none" w="med" len="med"/>
                                  <a:tailEnd type="arrow" w="med" len="med"/>
                                </a:ln>
                              </wps:spPr>
                              <wps:bodyPr upright="1"/>
                            </wps:wsp>
                            <wps:wsp>
                              <wps:cNvPr id="18" name="文本框 89"/>
                              <wps:cNvSpPr txBox="1"/>
                              <wps:spPr>
                                <a:xfrm>
                                  <a:off x="6284" y="269360"/>
                                  <a:ext cx="1579" cy="44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C382B1">
                                    <w:pPr>
                                      <w:jc w:val="center"/>
                                      <w:rPr>
                                        <w:rFonts w:hint="eastAsia" w:eastAsia="宋体"/>
                                        <w:lang w:eastAsia="zh-CN"/>
                                      </w:rPr>
                                    </w:pPr>
                                    <w:r>
                                      <w:rPr>
                                        <w:rFonts w:hint="eastAsia" w:eastAsia="宋体"/>
                                        <w:lang w:eastAsia="zh-CN"/>
                                      </w:rPr>
                                      <w:t>隔油沉淀池</w:t>
                                    </w:r>
                                  </w:p>
                                </w:txbxContent>
                              </wps:txbx>
                              <wps:bodyPr vert="horz" wrap="square" anchor="t" anchorCtr="0" upright="1"/>
                            </wps:wsp>
                            <wps:wsp>
                              <wps:cNvPr id="19" name="自选图形 91"/>
                              <wps:cNvCnPr>
                                <a:stCxn id="14" idx="3"/>
                                <a:endCxn id="18" idx="1"/>
                              </wps:cNvCnPr>
                              <wps:spPr>
                                <a:xfrm>
                                  <a:off x="5256" y="268991"/>
                                  <a:ext cx="1028" cy="590"/>
                                </a:xfrm>
                                <a:prstGeom prst="bentConnector3">
                                  <a:avLst>
                                    <a:gd name="adj1" fmla="val 50000"/>
                                  </a:avLst>
                                </a:prstGeom>
                                <a:ln w="9525" cap="flat" cmpd="sng">
                                  <a:solidFill>
                                    <a:srgbClr val="000000"/>
                                  </a:solidFill>
                                  <a:prstDash val="solid"/>
                                  <a:miter/>
                                  <a:headEnd type="none" w="med" len="med"/>
                                  <a:tailEnd type="arrow" w="med" len="med"/>
                                </a:ln>
                              </wps:spPr>
                              <wps:bodyPr/>
                            </wps:wsp>
                            <wps:wsp>
                              <wps:cNvPr id="20" name="自选图形 92"/>
                              <wps:cNvCnPr>
                                <a:stCxn id="13" idx="3"/>
                                <a:endCxn id="18" idx="1"/>
                              </wps:cNvCnPr>
                              <wps:spPr>
                                <a:xfrm flipV="1">
                                  <a:off x="5267" y="269581"/>
                                  <a:ext cx="1017" cy="510"/>
                                </a:xfrm>
                                <a:prstGeom prst="bentConnector3">
                                  <a:avLst>
                                    <a:gd name="adj1" fmla="val 50051"/>
                                  </a:avLst>
                                </a:prstGeom>
                                <a:ln w="9525" cap="flat" cmpd="sng">
                                  <a:solidFill>
                                    <a:srgbClr val="000000"/>
                                  </a:solidFill>
                                  <a:prstDash val="solid"/>
                                  <a:miter/>
                                  <a:headEnd type="none" w="med" len="med"/>
                                  <a:tailEnd type="arrow" w="med" len="med"/>
                                </a:ln>
                              </wps:spPr>
                              <wps:bodyPr/>
                            </wps:wsp>
                            <wps:wsp>
                              <wps:cNvPr id="21" name="自选图形 2"/>
                              <wps:cNvCnPr/>
                              <wps:spPr>
                                <a:xfrm flipV="1">
                                  <a:off x="4666" y="267517"/>
                                  <a:ext cx="340" cy="220"/>
                                </a:xfrm>
                                <a:prstGeom prst="curvedConnector3">
                                  <a:avLst>
                                    <a:gd name="adj1" fmla="val 50296"/>
                                  </a:avLst>
                                </a:prstGeom>
                                <a:ln w="9525" cap="flat" cmpd="sng">
                                  <a:solidFill>
                                    <a:srgbClr val="000000"/>
                                  </a:solidFill>
                                  <a:prstDash val="dashDot"/>
                                  <a:headEnd type="none" w="med" len="med"/>
                                  <a:tailEnd type="arrow" w="med" len="med"/>
                                </a:ln>
                              </wps:spPr>
                              <wps:bodyPr/>
                            </wps:wsp>
                            <wps:wsp>
                              <wps:cNvPr id="22" name="文本框 3"/>
                              <wps:cNvSpPr txBox="1"/>
                              <wps:spPr>
                                <a:xfrm>
                                  <a:off x="4929" y="267291"/>
                                  <a:ext cx="1180" cy="461"/>
                                </a:xfrm>
                                <a:prstGeom prst="rect">
                                  <a:avLst/>
                                </a:prstGeom>
                                <a:noFill/>
                                <a:ln>
                                  <a:noFill/>
                                </a:ln>
                              </wps:spPr>
                              <wps:txbx>
                                <w:txbxContent>
                                  <w:p w14:paraId="019E0C72">
                                    <w:pPr>
                                      <w:rPr>
                                        <w:rFonts w:hint="default" w:eastAsia="宋体"/>
                                        <w:sz w:val="18"/>
                                        <w:szCs w:val="18"/>
                                        <w:lang w:val="en-US" w:eastAsia="zh-CN"/>
                                      </w:rPr>
                                    </w:pPr>
                                    <w:r>
                                      <w:rPr>
                                        <w:rFonts w:hint="eastAsia"/>
                                        <w:sz w:val="18"/>
                                        <w:szCs w:val="18"/>
                                        <w:lang w:eastAsia="zh-CN"/>
                                      </w:rPr>
                                      <w:t>损耗</w:t>
                                    </w:r>
                                    <w:r>
                                      <w:rPr>
                                        <w:rFonts w:hint="eastAsia"/>
                                        <w:sz w:val="18"/>
                                        <w:szCs w:val="18"/>
                                        <w:lang w:val="en-US" w:eastAsia="zh-CN"/>
                                      </w:rPr>
                                      <w:t>211.7</w:t>
                                    </w:r>
                                  </w:p>
                                </w:txbxContent>
                              </wps:txbx>
                              <wps:bodyPr vert="horz" wrap="square" anchor="t" anchorCtr="0" upright="1"/>
                            </wps:wsp>
                            <wps:wsp>
                              <wps:cNvPr id="23" name="文本框 4"/>
                              <wps:cNvSpPr txBox="1"/>
                              <wps:spPr>
                                <a:xfrm>
                                  <a:off x="2970" y="267673"/>
                                  <a:ext cx="909" cy="461"/>
                                </a:xfrm>
                                <a:prstGeom prst="rect">
                                  <a:avLst/>
                                </a:prstGeom>
                                <a:noFill/>
                                <a:ln>
                                  <a:noFill/>
                                </a:ln>
                              </wps:spPr>
                              <wps:txbx>
                                <w:txbxContent>
                                  <w:p w14:paraId="4F7CF63E">
                                    <w:pPr>
                                      <w:rPr>
                                        <w:rFonts w:hint="default" w:eastAsia="宋体"/>
                                        <w:sz w:val="18"/>
                                        <w:szCs w:val="18"/>
                                        <w:lang w:val="en-US" w:eastAsia="zh-CN"/>
                                      </w:rPr>
                                    </w:pPr>
                                    <w:r>
                                      <w:rPr>
                                        <w:rFonts w:hint="eastAsia"/>
                                        <w:sz w:val="18"/>
                                        <w:szCs w:val="18"/>
                                        <w:lang w:val="en-US" w:eastAsia="zh-CN"/>
                                      </w:rPr>
                                      <w:t>1058.5</w:t>
                                    </w:r>
                                  </w:p>
                                </w:txbxContent>
                              </wps:txbx>
                              <wps:bodyPr vert="horz" wrap="square" anchor="t" anchorCtr="0" upright="1"/>
                            </wps:wsp>
                            <wps:wsp>
                              <wps:cNvPr id="24" name="文本框 5"/>
                              <wps:cNvSpPr txBox="1"/>
                              <wps:spPr>
                                <a:xfrm>
                                  <a:off x="3101" y="268672"/>
                                  <a:ext cx="909" cy="461"/>
                                </a:xfrm>
                                <a:prstGeom prst="rect">
                                  <a:avLst/>
                                </a:prstGeom>
                                <a:noFill/>
                                <a:ln>
                                  <a:noFill/>
                                </a:ln>
                              </wps:spPr>
                              <wps:txbx>
                                <w:txbxContent>
                                  <w:p w14:paraId="446E93FC">
                                    <w:pPr>
                                      <w:rPr>
                                        <w:rFonts w:hint="default" w:eastAsia="宋体"/>
                                        <w:sz w:val="18"/>
                                        <w:szCs w:val="18"/>
                                        <w:lang w:val="en-US" w:eastAsia="zh-CN"/>
                                      </w:rPr>
                                    </w:pPr>
                                    <w:r>
                                      <w:rPr>
                                        <w:rFonts w:hint="eastAsia"/>
                                        <w:sz w:val="18"/>
                                        <w:szCs w:val="18"/>
                                        <w:lang w:val="en-US" w:eastAsia="zh-CN"/>
                                      </w:rPr>
                                      <w:t>438</w:t>
                                    </w:r>
                                  </w:p>
                                </w:txbxContent>
                              </wps:txbx>
                              <wps:bodyPr vert="horz" wrap="square" anchor="t" anchorCtr="0" upright="1"/>
                            </wps:wsp>
                            <wps:wsp>
                              <wps:cNvPr id="25" name="文本框 6"/>
                              <wps:cNvSpPr txBox="1"/>
                              <wps:spPr>
                                <a:xfrm>
                                  <a:off x="3157" y="269760"/>
                                  <a:ext cx="909" cy="461"/>
                                </a:xfrm>
                                <a:prstGeom prst="rect">
                                  <a:avLst/>
                                </a:prstGeom>
                                <a:noFill/>
                                <a:ln>
                                  <a:noFill/>
                                </a:ln>
                              </wps:spPr>
                              <wps:txbx>
                                <w:txbxContent>
                                  <w:p w14:paraId="7F37782A">
                                    <w:pPr>
                                      <w:rPr>
                                        <w:rFonts w:hint="default" w:eastAsia="宋体"/>
                                        <w:sz w:val="18"/>
                                        <w:szCs w:val="18"/>
                                        <w:lang w:val="en-US" w:eastAsia="zh-CN"/>
                                      </w:rPr>
                                    </w:pPr>
                                    <w:r>
                                      <w:rPr>
                                        <w:rFonts w:hint="eastAsia"/>
                                        <w:sz w:val="18"/>
                                        <w:szCs w:val="18"/>
                                        <w:lang w:val="en-US" w:eastAsia="zh-CN"/>
                                      </w:rPr>
                                      <w:t>219</w:t>
                                    </w:r>
                                  </w:p>
                                </w:txbxContent>
                              </wps:txbx>
                              <wps:bodyPr vert="horz" wrap="square" anchor="t" anchorCtr="0" upright="1"/>
                            </wps:wsp>
                            <wps:wsp>
                              <wps:cNvPr id="26" name="文本框 7"/>
                              <wps:cNvSpPr txBox="1"/>
                              <wps:spPr>
                                <a:xfrm>
                                  <a:off x="3146" y="270722"/>
                                  <a:ext cx="909" cy="461"/>
                                </a:xfrm>
                                <a:prstGeom prst="rect">
                                  <a:avLst/>
                                </a:prstGeom>
                                <a:noFill/>
                                <a:ln>
                                  <a:noFill/>
                                </a:ln>
                              </wps:spPr>
                              <wps:txbx>
                                <w:txbxContent>
                                  <w:p w14:paraId="24ECC324">
                                    <w:pPr>
                                      <w:rPr>
                                        <w:rFonts w:hint="default" w:eastAsia="宋体"/>
                                        <w:sz w:val="18"/>
                                        <w:szCs w:val="18"/>
                                        <w:lang w:val="en-US" w:eastAsia="zh-CN"/>
                                      </w:rPr>
                                    </w:pPr>
                                    <w:r>
                                      <w:rPr>
                                        <w:rFonts w:hint="eastAsia"/>
                                        <w:sz w:val="18"/>
                                        <w:szCs w:val="18"/>
                                        <w:lang w:val="en-US" w:eastAsia="zh-CN"/>
                                      </w:rPr>
                                      <w:t>100</w:t>
                                    </w:r>
                                  </w:p>
                                </w:txbxContent>
                              </wps:txbx>
                              <wps:bodyPr vert="horz" wrap="square" anchor="t" anchorCtr="0" upright="1"/>
                            </wps:wsp>
                            <wps:wsp>
                              <wps:cNvPr id="27" name="自选图形 8"/>
                              <wps:cNvCnPr/>
                              <wps:spPr>
                                <a:xfrm flipV="1">
                                  <a:off x="4704" y="268537"/>
                                  <a:ext cx="340" cy="220"/>
                                </a:xfrm>
                                <a:prstGeom prst="curvedConnector3">
                                  <a:avLst>
                                    <a:gd name="adj1" fmla="val 50296"/>
                                  </a:avLst>
                                </a:prstGeom>
                                <a:ln w="9525" cap="flat" cmpd="sng">
                                  <a:solidFill>
                                    <a:srgbClr val="000000"/>
                                  </a:solidFill>
                                  <a:prstDash val="dashDot"/>
                                  <a:headEnd type="none" w="med" len="med"/>
                                  <a:tailEnd type="arrow" w="med" len="med"/>
                                </a:ln>
                              </wps:spPr>
                              <wps:bodyPr/>
                            </wps:wsp>
                            <wps:wsp>
                              <wps:cNvPr id="28" name="自选图形 9"/>
                              <wps:cNvCnPr/>
                              <wps:spPr>
                                <a:xfrm flipV="1">
                                  <a:off x="4722" y="269641"/>
                                  <a:ext cx="340" cy="220"/>
                                </a:xfrm>
                                <a:prstGeom prst="curvedConnector3">
                                  <a:avLst>
                                    <a:gd name="adj1" fmla="val 50296"/>
                                  </a:avLst>
                                </a:prstGeom>
                                <a:ln w="9525" cap="flat" cmpd="sng">
                                  <a:solidFill>
                                    <a:srgbClr val="000000"/>
                                  </a:solidFill>
                                  <a:prstDash val="dashDot"/>
                                  <a:headEnd type="none" w="med" len="med"/>
                                  <a:tailEnd type="arrow" w="med" len="med"/>
                                </a:ln>
                              </wps:spPr>
                              <wps:bodyPr/>
                            </wps:wsp>
                            <wps:wsp>
                              <wps:cNvPr id="29" name="文本框 11"/>
                              <wps:cNvSpPr txBox="1"/>
                              <wps:spPr>
                                <a:xfrm>
                                  <a:off x="4967" y="268320"/>
                                  <a:ext cx="1180" cy="461"/>
                                </a:xfrm>
                                <a:prstGeom prst="rect">
                                  <a:avLst/>
                                </a:prstGeom>
                                <a:noFill/>
                                <a:ln>
                                  <a:noFill/>
                                </a:ln>
                              </wps:spPr>
                              <wps:txbx>
                                <w:txbxContent>
                                  <w:p w14:paraId="18C1F5F4">
                                    <w:pPr>
                                      <w:rPr>
                                        <w:rFonts w:hint="default" w:eastAsia="宋体"/>
                                        <w:sz w:val="18"/>
                                        <w:szCs w:val="18"/>
                                        <w:lang w:val="en-US" w:eastAsia="zh-CN"/>
                                      </w:rPr>
                                    </w:pPr>
                                    <w:r>
                                      <w:rPr>
                                        <w:rFonts w:hint="eastAsia"/>
                                        <w:sz w:val="18"/>
                                        <w:szCs w:val="18"/>
                                        <w:lang w:eastAsia="zh-CN"/>
                                      </w:rPr>
                                      <w:t>损耗</w:t>
                                    </w:r>
                                    <w:r>
                                      <w:rPr>
                                        <w:rFonts w:hint="eastAsia"/>
                                        <w:sz w:val="18"/>
                                        <w:szCs w:val="18"/>
                                        <w:lang w:val="en-US" w:eastAsia="zh-CN"/>
                                      </w:rPr>
                                      <w:t>43.8</w:t>
                                    </w:r>
                                  </w:p>
                                </w:txbxContent>
                              </wps:txbx>
                              <wps:bodyPr vert="horz" wrap="square" anchor="t" anchorCtr="0" upright="1"/>
                            </wps:wsp>
                            <wps:wsp>
                              <wps:cNvPr id="30" name="文本框 12"/>
                              <wps:cNvSpPr txBox="1"/>
                              <wps:spPr>
                                <a:xfrm>
                                  <a:off x="4630" y="269284"/>
                                  <a:ext cx="1180" cy="461"/>
                                </a:xfrm>
                                <a:prstGeom prst="rect">
                                  <a:avLst/>
                                </a:prstGeom>
                                <a:noFill/>
                                <a:ln>
                                  <a:noFill/>
                                </a:ln>
                              </wps:spPr>
                              <wps:txbx>
                                <w:txbxContent>
                                  <w:p w14:paraId="6748FBDA">
                                    <w:pPr>
                                      <w:rPr>
                                        <w:rFonts w:hint="default" w:eastAsia="宋体"/>
                                        <w:sz w:val="18"/>
                                        <w:szCs w:val="18"/>
                                        <w:lang w:val="en-US" w:eastAsia="zh-CN"/>
                                      </w:rPr>
                                    </w:pPr>
                                    <w:r>
                                      <w:rPr>
                                        <w:rFonts w:hint="eastAsia"/>
                                        <w:sz w:val="18"/>
                                        <w:szCs w:val="18"/>
                                        <w:lang w:eastAsia="zh-CN"/>
                                      </w:rPr>
                                      <w:t>损耗</w:t>
                                    </w:r>
                                    <w:r>
                                      <w:rPr>
                                        <w:rFonts w:hint="eastAsia"/>
                                        <w:sz w:val="18"/>
                                        <w:szCs w:val="18"/>
                                        <w:lang w:val="en-US" w:eastAsia="zh-CN"/>
                                      </w:rPr>
                                      <w:t>43.8</w:t>
                                    </w:r>
                                  </w:p>
                                </w:txbxContent>
                              </wps:txbx>
                              <wps:bodyPr vert="horz" wrap="square" anchor="t" anchorCtr="0" upright="1"/>
                            </wps:wsp>
                            <wps:wsp>
                              <wps:cNvPr id="31" name="文本框 13"/>
                              <wps:cNvSpPr txBox="1"/>
                              <wps:spPr>
                                <a:xfrm>
                                  <a:off x="5679" y="269283"/>
                                  <a:ext cx="909" cy="461"/>
                                </a:xfrm>
                                <a:prstGeom prst="rect">
                                  <a:avLst/>
                                </a:prstGeom>
                                <a:noFill/>
                                <a:ln>
                                  <a:noFill/>
                                </a:ln>
                              </wps:spPr>
                              <wps:txbx>
                                <w:txbxContent>
                                  <w:p w14:paraId="5D7BBCA7">
                                    <w:pPr>
                                      <w:rPr>
                                        <w:rFonts w:hint="default" w:eastAsia="宋体"/>
                                        <w:sz w:val="18"/>
                                        <w:szCs w:val="18"/>
                                        <w:lang w:val="en-US" w:eastAsia="zh-CN"/>
                                      </w:rPr>
                                    </w:pPr>
                                    <w:r>
                                      <w:rPr>
                                        <w:rFonts w:hint="eastAsia"/>
                                        <w:sz w:val="18"/>
                                        <w:szCs w:val="18"/>
                                        <w:lang w:val="en-US" w:eastAsia="zh-CN"/>
                                      </w:rPr>
                                      <w:t>569.4</w:t>
                                    </w:r>
                                  </w:p>
                                </w:txbxContent>
                              </wps:txbx>
                              <wps:bodyPr vert="horz" wrap="square" anchor="t" anchorCtr="0" upright="1"/>
                            </wps:wsp>
                            <wps:wsp>
                              <wps:cNvPr id="32" name="文本框 14"/>
                              <wps:cNvSpPr txBox="1"/>
                              <wps:spPr>
                                <a:xfrm>
                                  <a:off x="3688" y="271665"/>
                                  <a:ext cx="1579" cy="44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8C5AB31">
                                    <w:pPr>
                                      <w:jc w:val="center"/>
                                      <w:rPr>
                                        <w:rFonts w:hint="eastAsia" w:eastAsia="宋体"/>
                                        <w:lang w:eastAsia="zh-CN"/>
                                      </w:rPr>
                                    </w:pPr>
                                    <w:r>
                                      <w:rPr>
                                        <w:rFonts w:hint="eastAsia" w:eastAsia="宋体"/>
                                        <w:lang w:eastAsia="zh-CN"/>
                                      </w:rPr>
                                      <w:t>含油初期雨水</w:t>
                                    </w:r>
                                  </w:p>
                                </w:txbxContent>
                              </wps:txbx>
                              <wps:bodyPr vert="horz" wrap="square" anchor="t" anchorCtr="0" upright="1"/>
                            </wps:wsp>
                            <wps:wsp>
                              <wps:cNvPr id="33" name="自选图形 15"/>
                              <wps:cNvCnPr>
                                <a:stCxn id="32" idx="3"/>
                                <a:endCxn id="18" idx="2"/>
                              </wps:cNvCnPr>
                              <wps:spPr>
                                <a:xfrm flipV="1">
                                  <a:off x="5267" y="269801"/>
                                  <a:ext cx="1807" cy="2085"/>
                                </a:xfrm>
                                <a:prstGeom prst="bentConnector2">
                                  <a:avLst/>
                                </a:prstGeom>
                                <a:ln w="9525" cap="flat" cmpd="sng">
                                  <a:solidFill>
                                    <a:srgbClr val="000000"/>
                                  </a:solidFill>
                                  <a:prstDash val="solid"/>
                                  <a:miter/>
                                  <a:headEnd type="none" w="med" len="med"/>
                                  <a:tailEnd type="arrow" w="med" len="med"/>
                                </a:ln>
                              </wps:spPr>
                              <wps:bodyPr/>
                            </wps:wsp>
                            <wps:wsp>
                              <wps:cNvPr id="34" name="自选图形 16"/>
                              <wps:cNvCnPr/>
                              <wps:spPr>
                                <a:xfrm flipV="1">
                                  <a:off x="4676" y="270567"/>
                                  <a:ext cx="340" cy="220"/>
                                </a:xfrm>
                                <a:prstGeom prst="curvedConnector3">
                                  <a:avLst>
                                    <a:gd name="adj1" fmla="val 50296"/>
                                  </a:avLst>
                                </a:prstGeom>
                                <a:ln w="9525" cap="flat" cmpd="sng">
                                  <a:solidFill>
                                    <a:srgbClr val="000000"/>
                                  </a:solidFill>
                                  <a:prstDash val="dashDot"/>
                                  <a:headEnd type="none" w="med" len="med"/>
                                  <a:tailEnd type="arrow" w="med" len="med"/>
                                </a:ln>
                              </wps:spPr>
                              <wps:bodyPr/>
                            </wps:wsp>
                            <wps:wsp>
                              <wps:cNvPr id="35" name="文本框 17"/>
                              <wps:cNvSpPr txBox="1"/>
                              <wps:spPr>
                                <a:xfrm>
                                  <a:off x="4939" y="270343"/>
                                  <a:ext cx="1180" cy="461"/>
                                </a:xfrm>
                                <a:prstGeom prst="rect">
                                  <a:avLst/>
                                </a:prstGeom>
                                <a:noFill/>
                                <a:ln>
                                  <a:noFill/>
                                </a:ln>
                              </wps:spPr>
                              <wps:txbx>
                                <w:txbxContent>
                                  <w:p w14:paraId="3E37C381">
                                    <w:pPr>
                                      <w:rPr>
                                        <w:rFonts w:hint="default" w:eastAsia="宋体"/>
                                        <w:sz w:val="18"/>
                                        <w:szCs w:val="18"/>
                                        <w:lang w:val="en-US" w:eastAsia="zh-CN"/>
                                      </w:rPr>
                                    </w:pPr>
                                    <w:r>
                                      <w:rPr>
                                        <w:rFonts w:hint="eastAsia"/>
                                        <w:sz w:val="18"/>
                                        <w:szCs w:val="18"/>
                                        <w:lang w:eastAsia="zh-CN"/>
                                      </w:rPr>
                                      <w:t>损耗</w:t>
                                    </w:r>
                                    <w:r>
                                      <w:rPr>
                                        <w:rFonts w:hint="eastAsia"/>
                                        <w:sz w:val="18"/>
                                        <w:szCs w:val="18"/>
                                        <w:lang w:val="en-US" w:eastAsia="zh-CN"/>
                                      </w:rPr>
                                      <w:t>100</w:t>
                                    </w:r>
                                  </w:p>
                                </w:txbxContent>
                              </wps:txbx>
                              <wps:bodyPr vert="horz" wrap="square" anchor="t" anchorCtr="0" upright="1"/>
                            </wps:wsp>
                            <wps:wsp>
                              <wps:cNvPr id="36" name="文本框 19"/>
                              <wps:cNvSpPr txBox="1"/>
                              <wps:spPr>
                                <a:xfrm>
                                  <a:off x="5773" y="271575"/>
                                  <a:ext cx="909" cy="461"/>
                                </a:xfrm>
                                <a:prstGeom prst="rect">
                                  <a:avLst/>
                                </a:prstGeom>
                                <a:noFill/>
                                <a:ln>
                                  <a:noFill/>
                                </a:ln>
                              </wps:spPr>
                              <wps:txbx>
                                <w:txbxContent>
                                  <w:p w14:paraId="31826314">
                                    <w:pPr>
                                      <w:rPr>
                                        <w:rFonts w:hint="default" w:eastAsia="宋体"/>
                                        <w:sz w:val="18"/>
                                        <w:szCs w:val="18"/>
                                        <w:lang w:val="en-US" w:eastAsia="zh-CN"/>
                                      </w:rPr>
                                    </w:pPr>
                                    <w:r>
                                      <w:rPr>
                                        <w:rFonts w:hint="eastAsia"/>
                                        <w:sz w:val="18"/>
                                        <w:szCs w:val="18"/>
                                        <w:lang w:val="en-US" w:eastAsia="zh-CN"/>
                                      </w:rPr>
                                      <w:t>585</w:t>
                                    </w:r>
                                  </w:p>
                                </w:txbxContent>
                              </wps:txbx>
                              <wps:bodyPr vert="horz" wrap="square" anchor="t" anchorCtr="0" upright="1"/>
                            </wps:wsp>
                            <wps:wsp>
                              <wps:cNvPr id="37" name="文本框 27"/>
                              <wps:cNvSpPr txBox="1"/>
                              <wps:spPr>
                                <a:xfrm>
                                  <a:off x="7816" y="269302"/>
                                  <a:ext cx="909" cy="461"/>
                                </a:xfrm>
                                <a:prstGeom prst="rect">
                                  <a:avLst/>
                                </a:prstGeom>
                                <a:noFill/>
                                <a:ln>
                                  <a:noFill/>
                                </a:ln>
                              </wps:spPr>
                              <wps:txbx>
                                <w:txbxContent>
                                  <w:p w14:paraId="08478649">
                                    <w:pPr>
                                      <w:rPr>
                                        <w:rFonts w:hint="default" w:eastAsia="宋体"/>
                                        <w:sz w:val="18"/>
                                        <w:szCs w:val="18"/>
                                        <w:lang w:val="en-US" w:eastAsia="zh-CN"/>
                                      </w:rPr>
                                    </w:pPr>
                                    <w:r>
                                      <w:rPr>
                                        <w:rFonts w:hint="eastAsia"/>
                                        <w:sz w:val="18"/>
                                        <w:szCs w:val="18"/>
                                        <w:lang w:val="en-US" w:eastAsia="zh-CN"/>
                                      </w:rPr>
                                      <w:t>1154.4</w:t>
                                    </w:r>
                                  </w:p>
                                </w:txbxContent>
                              </wps:txbx>
                              <wps:bodyPr vert="horz" wrap="square" anchor="t" anchorCtr="0" upright="1"/>
                            </wps:wsp>
                            <wps:wsp>
                              <wps:cNvPr id="38" name="文本框 20"/>
                              <wps:cNvSpPr txBox="1"/>
                              <wps:spPr>
                                <a:xfrm>
                                  <a:off x="5474" y="267682"/>
                                  <a:ext cx="909" cy="461"/>
                                </a:xfrm>
                                <a:prstGeom prst="rect">
                                  <a:avLst/>
                                </a:prstGeom>
                                <a:noFill/>
                                <a:ln>
                                  <a:noFill/>
                                </a:ln>
                              </wps:spPr>
                              <wps:txbx>
                                <w:txbxContent>
                                  <w:p w14:paraId="65D57253">
                                    <w:pPr>
                                      <w:rPr>
                                        <w:rFonts w:hint="default" w:eastAsia="宋体"/>
                                        <w:sz w:val="18"/>
                                        <w:szCs w:val="18"/>
                                        <w:lang w:val="en-US" w:eastAsia="zh-CN"/>
                                      </w:rPr>
                                    </w:pPr>
                                    <w:r>
                                      <w:rPr>
                                        <w:rFonts w:hint="eastAsia"/>
                                        <w:sz w:val="18"/>
                                        <w:szCs w:val="18"/>
                                        <w:lang w:val="en-US" w:eastAsia="zh-CN"/>
                                      </w:rPr>
                                      <w:t>846.8</w:t>
                                    </w:r>
                                  </w:p>
                                </w:txbxContent>
                              </wps:txbx>
                              <wps:bodyPr vert="horz" wrap="square" anchor="t" anchorCtr="0" upright="1"/>
                            </wps:wsp>
                            <wps:wsp>
                              <wps:cNvPr id="39" name="文本框 21"/>
                              <wps:cNvSpPr txBox="1"/>
                              <wps:spPr>
                                <a:xfrm>
                                  <a:off x="8689" y="269365"/>
                                  <a:ext cx="1579" cy="71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B916F44">
                                    <w:pPr>
                                      <w:jc w:val="center"/>
                                      <w:rPr>
                                        <w:rFonts w:hint="eastAsia"/>
                                        <w:lang w:eastAsia="zh-CN"/>
                                      </w:rPr>
                                    </w:pPr>
                                    <w:r>
                                      <w:rPr>
                                        <w:rFonts w:hint="eastAsia" w:eastAsia="宋体" w:cs="Times New Roman"/>
                                        <w:sz w:val="21"/>
                                        <w:szCs w:val="21"/>
                                        <w:lang w:val="en-US" w:eastAsia="zh-CN"/>
                                      </w:rPr>
                                      <w:t>东至国祯水处理有限公司</w:t>
                                    </w:r>
                                  </w:p>
                                </w:txbxContent>
                              </wps:txbx>
                              <wps:bodyPr vert="horz" wrap="square" anchor="t" anchorCtr="0" upright="1"/>
                            </wps:wsp>
                            <wps:wsp>
                              <wps:cNvPr id="40" name="直线 22"/>
                              <wps:cNvCnPr/>
                              <wps:spPr>
                                <a:xfrm flipV="1">
                                  <a:off x="7863" y="269571"/>
                                  <a:ext cx="825" cy="9"/>
                                </a:xfrm>
                                <a:prstGeom prst="line">
                                  <a:avLst/>
                                </a:prstGeom>
                                <a:ln w="9525" cap="flat" cmpd="sng">
                                  <a:solidFill>
                                    <a:srgbClr val="000000"/>
                                  </a:solidFill>
                                  <a:prstDash val="solid"/>
                                  <a:headEnd type="none" w="med" len="med"/>
                                  <a:tailEnd type="arrow" w="med" len="med"/>
                                </a:ln>
                              </wps:spPr>
                              <wps:bodyPr upright="1"/>
                            </wps:wsp>
                            <wps:wsp>
                              <wps:cNvPr id="41" name="自选图形 23"/>
                              <wps:cNvCnPr>
                                <a:stCxn id="16" idx="3"/>
                                <a:endCxn id="39" idx="0"/>
                              </wps:cNvCnPr>
                              <wps:spPr>
                                <a:xfrm>
                                  <a:off x="7853" y="267979"/>
                                  <a:ext cx="1626" cy="1386"/>
                                </a:xfrm>
                                <a:prstGeom prst="bentConnector2">
                                  <a:avLst/>
                                </a:prstGeom>
                                <a:ln w="9525" cap="flat" cmpd="sng">
                                  <a:solidFill>
                                    <a:srgbClr val="000000"/>
                                  </a:solidFill>
                                  <a:prstDash val="solid"/>
                                  <a:miter/>
                                  <a:headEnd type="none" w="med" len="med"/>
                                  <a:tailEnd type="arrow" w="med" len="med"/>
                                </a:ln>
                              </wps:spPr>
                              <wps:bodyPr/>
                            </wps:wsp>
                            <wps:wsp>
                              <wps:cNvPr id="42" name="文本框 24"/>
                              <wps:cNvSpPr txBox="1"/>
                              <wps:spPr>
                                <a:xfrm>
                                  <a:off x="7816" y="267673"/>
                                  <a:ext cx="909" cy="461"/>
                                </a:xfrm>
                                <a:prstGeom prst="rect">
                                  <a:avLst/>
                                </a:prstGeom>
                                <a:noFill/>
                                <a:ln>
                                  <a:noFill/>
                                </a:ln>
                              </wps:spPr>
                              <wps:txbx>
                                <w:txbxContent>
                                  <w:p w14:paraId="2636E7BF">
                                    <w:pPr>
                                      <w:rPr>
                                        <w:rFonts w:hint="default" w:eastAsia="宋体"/>
                                        <w:sz w:val="18"/>
                                        <w:szCs w:val="18"/>
                                        <w:lang w:val="en-US" w:eastAsia="zh-CN"/>
                                      </w:rPr>
                                    </w:pPr>
                                    <w:r>
                                      <w:rPr>
                                        <w:rFonts w:hint="eastAsia"/>
                                        <w:sz w:val="18"/>
                                        <w:szCs w:val="18"/>
                                        <w:lang w:val="en-US" w:eastAsia="zh-CN"/>
                                      </w:rPr>
                                      <w:t>846.8</w:t>
                                    </w:r>
                                  </w:p>
                                </w:txbxContent>
                              </wps:txbx>
                              <wps:bodyPr vert="horz" wrap="square" anchor="t" anchorCtr="0" upright="1"/>
                            </wps:wsp>
                            <wps:wsp>
                              <wps:cNvPr id="43" name="文本框 28"/>
                              <wps:cNvSpPr txBox="1"/>
                              <wps:spPr>
                                <a:xfrm>
                                  <a:off x="8698" y="270592"/>
                                  <a:ext cx="1579" cy="441"/>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1954CD">
                                    <w:pPr>
                                      <w:jc w:val="center"/>
                                      <w:rPr>
                                        <w:rFonts w:hint="default" w:eastAsia="宋体"/>
                                        <w:lang w:val="en-US" w:eastAsia="zh-CN"/>
                                      </w:rPr>
                                    </w:pPr>
                                    <w:r>
                                      <w:rPr>
                                        <w:rFonts w:hint="eastAsia" w:eastAsia="宋体"/>
                                        <w:lang w:val="en-US" w:eastAsia="zh-CN"/>
                                      </w:rPr>
                                      <w:t>尧渡河</w:t>
                                    </w:r>
                                  </w:p>
                                </w:txbxContent>
                              </wps:txbx>
                              <wps:bodyPr vert="horz" wrap="square" anchor="t" anchorCtr="0" upright="1"/>
                            </wps:wsp>
                            <wps:wsp>
                              <wps:cNvPr id="44" name="自选图形 29"/>
                              <wps:cNvCnPr>
                                <a:stCxn id="39" idx="2"/>
                              </wps:cNvCnPr>
                              <wps:spPr>
                                <a:xfrm rot="5400000">
                                  <a:off x="9203" y="270334"/>
                                  <a:ext cx="534" cy="5"/>
                                </a:xfrm>
                                <a:prstGeom prst="bentConnector3">
                                  <a:avLst>
                                    <a:gd name="adj1" fmla="val 49907"/>
                                  </a:avLst>
                                </a:prstGeom>
                                <a:ln w="9525" cap="flat" cmpd="sng">
                                  <a:solidFill>
                                    <a:srgbClr val="000000"/>
                                  </a:solidFill>
                                  <a:prstDash val="solid"/>
                                  <a:miter/>
                                  <a:headEnd type="none" w="med" len="med"/>
                                  <a:tailEnd type="arrow" w="med" len="med"/>
                                </a:ln>
                              </wps:spPr>
                              <wps:bodyPr/>
                            </wps:wsp>
                          </wpg:wgp>
                        </a:graphicData>
                      </a:graphic>
                    </wp:anchor>
                  </w:drawing>
                </mc:Choice>
                <mc:Fallback>
                  <w:pict>
                    <v:group id="组合 30" o:spid="_x0000_s1026" o:spt="203" style="position:absolute;left:0pt;margin-left:-7.1pt;margin-top:3pt;height:240.75pt;width:394.85pt;z-index:251667456;mso-width-relative:page;mso-height-relative:page;" coordorigin="2380,267291" coordsize="7897,4815" o:gfxdata="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">
                      <o:lock v:ext="edit" aspectratio="f"/>
                      <v:shape id="文本框 75" o:spid="_x0000_s1026" o:spt="202" type="#_x0000_t202" style="position:absolute;left:3670;top:267743;height:441;width:1579;" fillcolor="#FFFFFF" filled="t" stroked="t" coordsize="21600,21600" o:gfxdata="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oX48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53B2AF9C">
                              <w:pPr>
                                <w:jc w:val="center"/>
                                <w:rPr>
                                  <w:rFonts w:hint="eastAsia" w:eastAsia="宋体"/>
                                  <w:lang w:eastAsia="zh-CN"/>
                                </w:rPr>
                              </w:pPr>
                              <w:r>
                                <w:rPr>
                                  <w:rFonts w:hint="eastAsia" w:eastAsia="宋体"/>
                                  <w:lang w:eastAsia="zh-CN"/>
                                </w:rPr>
                                <w:t>生活用水</w:t>
                              </w:r>
                            </w:p>
                          </w:txbxContent>
                        </v:textbox>
                      </v:shape>
                      <v:line id="直线 76" o:spid="_x0000_s1026" o:spt="20" style="position:absolute;left:3169;top:267978;height:3070;width:11;" filled="f" stroked="t" coordsize="21600,21600" o:gfxdata="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zzQq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shape id="文本框 78" o:spid="_x0000_s1026" o:spt="202" type="#_x0000_t202" style="position:absolute;left:2380;top:269820;height:461;width:909;" filled="f" stroked="f" coordsize="21600,21600" o:gfxdata="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s/yNtugAAANsA&#10;AAAPAAAAAAAAAAEAIAAAACIAAABkcnMvZG93bnJldi54bWxQSwECFAAUAAAACACHTuJAMy8FnjsA&#10;AAA5AAAAEAAAAAAAAAABACAAAAAJAQAAZHJzL3NoYXBleG1sLnhtbFBLBQYAAAAABgAGAFsBAACz&#10;AwAAAAA=&#10;">
                        <v:fill on="f" focussize="0,0"/>
                        <v:stroke on="f"/>
                        <v:imagedata o:title=""/>
                        <o:lock v:ext="edit" aspectratio="f"/>
                        <v:textbox>
                          <w:txbxContent>
                            <w:p w14:paraId="278B68F5">
                              <w:pPr>
                                <w:rPr>
                                  <w:rFonts w:hint="eastAsia" w:eastAsia="宋体"/>
                                  <w:sz w:val="18"/>
                                  <w:szCs w:val="18"/>
                                  <w:lang w:eastAsia="zh-CN"/>
                                </w:rPr>
                              </w:pPr>
                              <w:r>
                                <w:rPr>
                                  <w:rFonts w:hint="eastAsia"/>
                                  <w:sz w:val="18"/>
                                  <w:szCs w:val="18"/>
                                  <w:lang w:eastAsia="zh-CN"/>
                                </w:rPr>
                                <w:t>自来水</w:t>
                              </w:r>
                            </w:p>
                          </w:txbxContent>
                        </v:textbox>
                      </v:shape>
                      <v:shape id="文本框 79" o:spid="_x0000_s1026" o:spt="202" type="#_x0000_t202" style="position:absolute;left:2409;top:269605;height:461;width:909;" filled="f" stroked="f" coordsize="21600,21600" o:gfxdata="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wtvRq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6200FAAE">
                              <w:pPr>
                                <w:rPr>
                                  <w:rFonts w:hint="default" w:eastAsia="宋体"/>
                                  <w:sz w:val="18"/>
                                  <w:szCs w:val="18"/>
                                  <w:lang w:val="en-US" w:eastAsia="zh-CN"/>
                                </w:rPr>
                              </w:pPr>
                              <w:r>
                                <w:rPr>
                                  <w:rFonts w:hint="eastAsia"/>
                                  <w:sz w:val="18"/>
                                  <w:szCs w:val="18"/>
                                  <w:lang w:val="en-US" w:eastAsia="zh-CN"/>
                                </w:rPr>
                                <w:t>1815.5</w:t>
                              </w:r>
                            </w:p>
                          </w:txbxContent>
                        </v:textbox>
                      </v:shape>
                      <v:shape id="文本框 80" o:spid="_x0000_s1026" o:spt="202" type="#_x0000_t202" style="position:absolute;left:3688;top:269870;height:441;width:1579;" fillcolor="#FFFFFF" filled="t" stroked="t" coordsize="21600,21600" o:gfxdata="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ZZBrr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1915DD52">
                              <w:pPr>
                                <w:jc w:val="center"/>
                                <w:rPr>
                                  <w:rFonts w:hint="eastAsia" w:eastAsia="宋体"/>
                                  <w:lang w:eastAsia="zh-CN"/>
                                </w:rPr>
                              </w:pPr>
                              <w:r>
                                <w:rPr>
                                  <w:rFonts w:hint="eastAsia" w:eastAsia="宋体"/>
                                  <w:lang w:eastAsia="zh-CN"/>
                                </w:rPr>
                                <w:t>保洁用水</w:t>
                              </w:r>
                            </w:p>
                          </w:txbxContent>
                        </v:textbox>
                      </v:shape>
                      <v:shape id="文本框 81" o:spid="_x0000_s1026" o:spt="202" type="#_x0000_t202" style="position:absolute;left:3677;top:268770;height:441;width:1579;" fillcolor="#FFFFFF" filled="t" stroked="t" coordsize="21600,21600" o:gfxdata="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n/Z2r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0583DB0">
                              <w:pPr>
                                <w:jc w:val="center"/>
                                <w:rPr>
                                  <w:rFonts w:hint="eastAsia" w:eastAsia="宋体"/>
                                  <w:lang w:eastAsia="zh-CN"/>
                                </w:rPr>
                              </w:pPr>
                              <w:r>
                                <w:rPr>
                                  <w:rFonts w:hint="eastAsia" w:eastAsia="宋体"/>
                                  <w:lang w:eastAsia="zh-CN"/>
                                </w:rPr>
                                <w:t>洗车用水</w:t>
                              </w:r>
                            </w:p>
                          </w:txbxContent>
                        </v:textbox>
                      </v:shape>
                      <v:shape id="文本框 86" o:spid="_x0000_s1026" o:spt="202" type="#_x0000_t202" style="position:absolute;left:3670;top:270805;height:441;width:1579;" fillcolor="#FFFFFF" filled="t" stroked="t" coordsize="21600,21600" o:gfxdata="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TN8Qb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D99FC82">
                              <w:pPr>
                                <w:jc w:val="center"/>
                                <w:rPr>
                                  <w:rFonts w:hint="eastAsia" w:eastAsia="宋体"/>
                                  <w:lang w:eastAsia="zh-CN"/>
                                </w:rPr>
                              </w:pPr>
                              <w:r>
                                <w:rPr>
                                  <w:rFonts w:hint="eastAsia" w:eastAsia="宋体"/>
                                  <w:lang w:eastAsia="zh-CN"/>
                                </w:rPr>
                                <w:t>绿化用水</w:t>
                              </w:r>
                            </w:p>
                          </w:txbxContent>
                        </v:textbox>
                      </v:shape>
                      <v:shape id="文本框 87" o:spid="_x0000_s1026" o:spt="202" type="#_x0000_t202" style="position:absolute;left:6274;top:267624;height:709;width:1579;" fillcolor="#FFFFFF" filled="t" stroked="t" coordsize="21600,21600" o:gfxdata="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nh4j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1CAE207E">
                              <w:pPr>
                                <w:jc w:val="center"/>
                                <w:rPr>
                                  <w:rFonts w:hint="eastAsia" w:eastAsia="宋体"/>
                                  <w:lang w:eastAsia="zh-CN"/>
                                </w:rPr>
                              </w:pPr>
                              <w:r>
                                <w:rPr>
                                  <w:rFonts w:hint="eastAsia" w:eastAsia="宋体"/>
                                  <w:lang w:val="en-US" w:eastAsia="zh-CN"/>
                                </w:rPr>
                                <w:t>地埋式一体化污水处理装置</w:t>
                              </w:r>
                            </w:p>
                          </w:txbxContent>
                        </v:textbox>
                      </v:shape>
                      <v:line id="直线 88" o:spid="_x0000_s1026" o:spt="20" style="position:absolute;left:5257;top:267968;flip:y;height:10;width:1041;" filled="f" stroked="t" coordsize="21600,21600" o:gfxdata="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nob4bugAAANsA&#10;AAAPAAAAAAAAAAEAIAAAACIAAABkcnMvZG93bnJldi54bWxQSwECFAAUAAAACACHTuJAMy8FnjsA&#10;AAA5AAAAEAAAAAAAAAABACAAAAAJAQAAZHJzL3NoYXBleG1sLnhtbFBLBQYAAAAABgAGAFsBAACz&#10;AwAAAAA=&#10;">
                        <v:fill on="f" focussize="0,0"/>
                        <v:stroke color="#000000" joinstyle="round" endarrow="open"/>
                        <v:imagedata o:title=""/>
                        <o:lock v:ext="edit" aspectratio="f"/>
                      </v:line>
                      <v:shape id="文本框 89" o:spid="_x0000_s1026" o:spt="202" type="#_x0000_t202" style="position:absolute;left:6284;top:269360;height:441;width:1579;" fillcolor="#FFFFFF" filled="t" stroked="t" coordsize="21600,21600" o:gfxdata="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zLT37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26C382B1">
                              <w:pPr>
                                <w:jc w:val="center"/>
                                <w:rPr>
                                  <w:rFonts w:hint="eastAsia" w:eastAsia="宋体"/>
                                  <w:lang w:eastAsia="zh-CN"/>
                                </w:rPr>
                              </w:pPr>
                              <w:r>
                                <w:rPr>
                                  <w:rFonts w:hint="eastAsia" w:eastAsia="宋体"/>
                                  <w:lang w:eastAsia="zh-CN"/>
                                </w:rPr>
                                <w:t>隔油沉淀池</w:t>
                              </w:r>
                            </w:p>
                          </w:txbxContent>
                        </v:textbox>
                      </v:shape>
                      <v:shape id="自选图形 91" o:spid="_x0000_s1026" o:spt="34" type="#_x0000_t34" style="position:absolute;left:5256;top:268991;height:590;width:1028;" filled="f" stroked="t" coordsize="21600,21600" o:gfxdata="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y7naLsAAADb&#10;AAAADwAAAAAAAAABACAAAAAiAAAAZHJzL2Rvd25yZXYueG1sUEsBAhQAFAAAAAgAh07iQDMvBZ47&#10;AAAAOQAAABAAAAAAAAAAAQAgAAAACgEAAGRycy9zaGFwZXhtbC54bWxQSwUGAAAAAAYABgBbAQAA&#10;tAMAAAAA&#10;" adj="10800">
                        <v:fill on="f" focussize="0,0"/>
                        <v:stroke color="#000000" joinstyle="miter" endarrow="open"/>
                        <v:imagedata o:title=""/>
                        <o:lock v:ext="edit" aspectratio="f"/>
                      </v:shape>
                      <v:shape id="自选图形 92" o:spid="_x0000_s1026" o:spt="34" type="#_x0000_t34" style="position:absolute;left:5267;top:269581;flip:y;height:510;width:1017;" filled="f" stroked="t" coordsize="21600,21600" o:gfxdata="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PqJ28AAAA&#10;2wAAAA8AAAAAAAAAAQAgAAAAIgAAAGRycy9kb3ducmV2LnhtbFBLAQIUABQAAAAIAIdO4kAzLwWe&#10;OwAAADkAAAAQAAAAAAAAAAEAIAAAAAsBAABkcnMvc2hhcGV4bWwueG1sUEsFBgAAAAAGAAYAWwEA&#10;ALUDAAAAAA==&#10;" adj="10811">
                        <v:fill on="f" focussize="0,0"/>
                        <v:stroke color="#000000" joinstyle="miter" endarrow="open"/>
                        <v:imagedata o:title=""/>
                        <o:lock v:ext="edit" aspectratio="f"/>
                      </v:shape>
                      <v:shape id="自选图形 2" o:spid="_x0000_s1026" o:spt="38" type="#_x0000_t38" style="position:absolute;left:4666;top:267517;flip:y;height:220;width:340;" filled="f" stroked="t" coordsize="21600,21600" o:gfxdata="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OcfZ68AAAA&#10;2wAAAA8AAAAAAAAAAQAgAAAAIgAAAGRycy9kb3ducmV2LnhtbFBLAQIUABQAAAAIAIdO4kAzLwWe&#10;OwAAADkAAAAQAAAAAAAAAAEAIAAAAAsBAABkcnMvc2hhcGV4bWwueG1sUEsFBgAAAAAGAAYAWwEA&#10;ALUDAAAAAA==&#10;" adj="10864">
                        <v:fill on="f" focussize="0,0"/>
                        <v:stroke color="#000000" joinstyle="round" dashstyle="dashDot" endarrow="open"/>
                        <v:imagedata o:title=""/>
                        <o:lock v:ext="edit" aspectratio="f"/>
                      </v:shape>
                      <v:shape id="文本框 3" o:spid="_x0000_s1026" o:spt="202" type="#_x0000_t202" style="position:absolute;left:4929;top:267291;height:461;width:1180;" filled="f" stroked="f" coordsize="21600,21600" o:gfxdata="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kF3p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019E0C72">
                              <w:pPr>
                                <w:rPr>
                                  <w:rFonts w:hint="default" w:eastAsia="宋体"/>
                                  <w:sz w:val="18"/>
                                  <w:szCs w:val="18"/>
                                  <w:lang w:val="en-US" w:eastAsia="zh-CN"/>
                                </w:rPr>
                              </w:pPr>
                              <w:r>
                                <w:rPr>
                                  <w:rFonts w:hint="eastAsia"/>
                                  <w:sz w:val="18"/>
                                  <w:szCs w:val="18"/>
                                  <w:lang w:eastAsia="zh-CN"/>
                                </w:rPr>
                                <w:t>损耗</w:t>
                              </w:r>
                              <w:r>
                                <w:rPr>
                                  <w:rFonts w:hint="eastAsia"/>
                                  <w:sz w:val="18"/>
                                  <w:szCs w:val="18"/>
                                  <w:lang w:val="en-US" w:eastAsia="zh-CN"/>
                                </w:rPr>
                                <w:t>211.7</w:t>
                              </w:r>
                            </w:p>
                          </w:txbxContent>
                        </v:textbox>
                      </v:shape>
                      <v:shape id="文本框 4" o:spid="_x0000_s1026" o:spt="202" type="#_x0000_t202" style="position:absolute;left:2970;top:267673;height:461;width:909;" filled="f" stroked="f" coordsize="21600,21600" o:gfxdata="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DdI8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F7CF63E">
                              <w:pPr>
                                <w:rPr>
                                  <w:rFonts w:hint="default" w:eastAsia="宋体"/>
                                  <w:sz w:val="18"/>
                                  <w:szCs w:val="18"/>
                                  <w:lang w:val="en-US" w:eastAsia="zh-CN"/>
                                </w:rPr>
                              </w:pPr>
                              <w:r>
                                <w:rPr>
                                  <w:rFonts w:hint="eastAsia"/>
                                  <w:sz w:val="18"/>
                                  <w:szCs w:val="18"/>
                                  <w:lang w:val="en-US" w:eastAsia="zh-CN"/>
                                </w:rPr>
                                <w:t>1058.5</w:t>
                              </w:r>
                            </w:p>
                          </w:txbxContent>
                        </v:textbox>
                      </v:shape>
                      <v:shape id="文本框 5" o:spid="_x0000_s1026" o:spt="202" type="#_x0000_t202" style="position:absolute;left:3101;top:268672;height:461;width:909;" filled="f" stroked="f" coordsize="21600,21600" o:gfxdata="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5EpI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446E93FC">
                              <w:pPr>
                                <w:rPr>
                                  <w:rFonts w:hint="default" w:eastAsia="宋体"/>
                                  <w:sz w:val="18"/>
                                  <w:szCs w:val="18"/>
                                  <w:lang w:val="en-US" w:eastAsia="zh-CN"/>
                                </w:rPr>
                              </w:pPr>
                              <w:r>
                                <w:rPr>
                                  <w:rFonts w:hint="eastAsia"/>
                                  <w:sz w:val="18"/>
                                  <w:szCs w:val="18"/>
                                  <w:lang w:val="en-US" w:eastAsia="zh-CN"/>
                                </w:rPr>
                                <w:t>438</w:t>
                              </w:r>
                            </w:p>
                          </w:txbxContent>
                        </v:textbox>
                      </v:shape>
                      <v:shape id="文本框 6" o:spid="_x0000_s1026" o:spt="202" type="#_x0000_t202" style="position:absolute;left:3157;top:269760;height:461;width:909;" filled="f" stroked="f" coordsize="21600,21600" o:gfxdata="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dqO/T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7F37782A">
                              <w:pPr>
                                <w:rPr>
                                  <w:rFonts w:hint="default" w:eastAsia="宋体"/>
                                  <w:sz w:val="18"/>
                                  <w:szCs w:val="18"/>
                                  <w:lang w:val="en-US" w:eastAsia="zh-CN"/>
                                </w:rPr>
                              </w:pPr>
                              <w:r>
                                <w:rPr>
                                  <w:rFonts w:hint="eastAsia"/>
                                  <w:sz w:val="18"/>
                                  <w:szCs w:val="18"/>
                                  <w:lang w:val="en-US" w:eastAsia="zh-CN"/>
                                </w:rPr>
                                <w:t>219</w:t>
                              </w:r>
                            </w:p>
                          </w:txbxContent>
                        </v:textbox>
                      </v:shape>
                      <v:shape id="文本框 7" o:spid="_x0000_s1026" o:spt="202" type="#_x0000_t202" style="position:absolute;left:3146;top:270722;height:461;width:909;" filled="f" stroked="f" coordsize="21600,21600" o:gfxdata="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enGk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4ECC324">
                              <w:pPr>
                                <w:rPr>
                                  <w:rFonts w:hint="default" w:eastAsia="宋体"/>
                                  <w:sz w:val="18"/>
                                  <w:szCs w:val="18"/>
                                  <w:lang w:val="en-US" w:eastAsia="zh-CN"/>
                                </w:rPr>
                              </w:pPr>
                              <w:r>
                                <w:rPr>
                                  <w:rFonts w:hint="eastAsia"/>
                                  <w:sz w:val="18"/>
                                  <w:szCs w:val="18"/>
                                  <w:lang w:val="en-US" w:eastAsia="zh-CN"/>
                                </w:rPr>
                                <w:t>100</w:t>
                              </w:r>
                            </w:p>
                          </w:txbxContent>
                        </v:textbox>
                      </v:shape>
                      <v:shape id="自选图形 8" o:spid="_x0000_s1026" o:spt="38" type="#_x0000_t38" style="position:absolute;left:4704;top:268537;flip:y;height:220;width:340;" filled="f" stroked="t" coordsize="21600,21600" o:gfxdata="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5QHG8AAAA&#10;2wAAAA8AAAAAAAAAAQAgAAAAIgAAAGRycy9kb3ducmV2LnhtbFBLAQIUABQAAAAIAIdO4kAzLwWe&#10;OwAAADkAAAAQAAAAAAAAAAEAIAAAAAsBAABkcnMvc2hhcGV4bWwueG1sUEsFBgAAAAAGAAYAWwEA&#10;ALUDAAAAAA==&#10;" adj="10864">
                        <v:fill on="f" focussize="0,0"/>
                        <v:stroke color="#000000" joinstyle="round" dashstyle="dashDot" endarrow="open"/>
                        <v:imagedata o:title=""/>
                        <o:lock v:ext="edit" aspectratio="f"/>
                      </v:shape>
                      <v:shape id="自选图形 9" o:spid="_x0000_s1026" o:spt="38" type="#_x0000_t38" style="position:absolute;left:4722;top:269641;flip:y;height:220;width:340;" filled="f" stroked="t" coordsize="21600,21600" o:gfxdata="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ptQDugAAANsA&#10;AAAPAAAAAAAAAAEAIAAAACIAAABkcnMvZG93bnJldi54bWxQSwECFAAUAAAACACHTuJAMy8FnjsA&#10;AAA5AAAAEAAAAAAAAAABACAAAAAJAQAAZHJzL3NoYXBleG1sLnhtbFBLBQYAAAAABgAGAFsBAACz&#10;AwAAAAA=&#10;" adj="10864">
                        <v:fill on="f" focussize="0,0"/>
                        <v:stroke color="#000000" joinstyle="round" dashstyle="dashDot" endarrow="open"/>
                        <v:imagedata o:title=""/>
                        <o:lock v:ext="edit" aspectratio="f"/>
                      </v:shape>
                      <v:shape id="文本框 11" o:spid="_x0000_s1026" o:spt="202" type="#_x0000_t202" style="position:absolute;left:4967;top:268320;height:461;width:1180;" filled="f" stroked="f" coordsize="21600,21600" o:gfxdata="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Xl1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18C1F5F4">
                              <w:pPr>
                                <w:rPr>
                                  <w:rFonts w:hint="default" w:eastAsia="宋体"/>
                                  <w:sz w:val="18"/>
                                  <w:szCs w:val="18"/>
                                  <w:lang w:val="en-US" w:eastAsia="zh-CN"/>
                                </w:rPr>
                              </w:pPr>
                              <w:r>
                                <w:rPr>
                                  <w:rFonts w:hint="eastAsia"/>
                                  <w:sz w:val="18"/>
                                  <w:szCs w:val="18"/>
                                  <w:lang w:eastAsia="zh-CN"/>
                                </w:rPr>
                                <w:t>损耗</w:t>
                              </w:r>
                              <w:r>
                                <w:rPr>
                                  <w:rFonts w:hint="eastAsia"/>
                                  <w:sz w:val="18"/>
                                  <w:szCs w:val="18"/>
                                  <w:lang w:val="en-US" w:eastAsia="zh-CN"/>
                                </w:rPr>
                                <w:t>43.8</w:t>
                              </w:r>
                            </w:p>
                          </w:txbxContent>
                        </v:textbox>
                      </v:shape>
                      <v:shape id="文本框 12" o:spid="_x0000_s1026" o:spt="202" type="#_x0000_t202" style="position:absolute;left:4630;top:269284;height:461;width:1180;" filled="f" stroked="f" coordsize="21600,21600" o:gfxdata="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gG2pa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6748FBDA">
                              <w:pPr>
                                <w:rPr>
                                  <w:rFonts w:hint="default" w:eastAsia="宋体"/>
                                  <w:sz w:val="18"/>
                                  <w:szCs w:val="18"/>
                                  <w:lang w:val="en-US" w:eastAsia="zh-CN"/>
                                </w:rPr>
                              </w:pPr>
                              <w:r>
                                <w:rPr>
                                  <w:rFonts w:hint="eastAsia"/>
                                  <w:sz w:val="18"/>
                                  <w:szCs w:val="18"/>
                                  <w:lang w:eastAsia="zh-CN"/>
                                </w:rPr>
                                <w:t>损耗</w:t>
                              </w:r>
                              <w:r>
                                <w:rPr>
                                  <w:rFonts w:hint="eastAsia"/>
                                  <w:sz w:val="18"/>
                                  <w:szCs w:val="18"/>
                                  <w:lang w:val="en-US" w:eastAsia="zh-CN"/>
                                </w:rPr>
                                <w:t>43.8</w:t>
                              </w:r>
                            </w:p>
                          </w:txbxContent>
                        </v:textbox>
                      </v:shape>
                      <v:shape id="文本框 13" o:spid="_x0000_s1026" o:spt="202" type="#_x0000_t202" style="position:absolute;left:5679;top:269283;height:461;width:909;" filled="f" stroked="f" coordsize="21600,21600" o:gfxdata="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Sn8N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5D7BBCA7">
                              <w:pPr>
                                <w:rPr>
                                  <w:rFonts w:hint="default" w:eastAsia="宋体"/>
                                  <w:sz w:val="18"/>
                                  <w:szCs w:val="18"/>
                                  <w:lang w:val="en-US" w:eastAsia="zh-CN"/>
                                </w:rPr>
                              </w:pPr>
                              <w:r>
                                <w:rPr>
                                  <w:rFonts w:hint="eastAsia"/>
                                  <w:sz w:val="18"/>
                                  <w:szCs w:val="18"/>
                                  <w:lang w:val="en-US" w:eastAsia="zh-CN"/>
                                </w:rPr>
                                <w:t>569.4</w:t>
                              </w:r>
                            </w:p>
                          </w:txbxContent>
                        </v:textbox>
                      </v:shape>
                      <v:shape id="文本框 14" o:spid="_x0000_s1026" o:spt="202" type="#_x0000_t202" style="position:absolute;left:3688;top:271665;height:441;width:1579;" fillcolor="#FFFFFF" filled="t" stroked="t" coordsize="21600,21600" o:gfxdata="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b7hV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78C5AB31">
                              <w:pPr>
                                <w:jc w:val="center"/>
                                <w:rPr>
                                  <w:rFonts w:hint="eastAsia" w:eastAsia="宋体"/>
                                  <w:lang w:eastAsia="zh-CN"/>
                                </w:rPr>
                              </w:pPr>
                              <w:r>
                                <w:rPr>
                                  <w:rFonts w:hint="eastAsia" w:eastAsia="宋体"/>
                                  <w:lang w:eastAsia="zh-CN"/>
                                </w:rPr>
                                <w:t>含油初期雨水</w:t>
                              </w:r>
                            </w:p>
                          </w:txbxContent>
                        </v:textbox>
                      </v:shape>
                      <v:shape id="自选图形 15" o:spid="_x0000_s1026" o:spt="33" type="#_x0000_t33" style="position:absolute;left:5267;top:269801;flip:y;height:2085;width:1807;" filled="f" stroked="t" coordsize="21600,21600" o:gfxdata="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H/Zab4A&#10;AADbAAAADwAAAAAAAAABACAAAAAiAAAAZHJzL2Rvd25yZXYueG1sUEsBAhQAFAAAAAgAh07iQDMv&#10;BZ47AAAAOQAAABAAAAAAAAAAAQAgAAAADQEAAGRycy9zaGFwZXhtbC54bWxQSwUGAAAAAAYABgBb&#10;AQAAtwMAAAAA&#10;">
                        <v:fill on="f" focussize="0,0"/>
                        <v:stroke color="#000000" joinstyle="miter" endarrow="open"/>
                        <v:imagedata o:title=""/>
                        <o:lock v:ext="edit" aspectratio="f"/>
                      </v:shape>
                      <v:shape id="自选图形 16" o:spid="_x0000_s1026" o:spt="38" type="#_x0000_t38" style="position:absolute;left:4676;top:270567;flip:y;height:220;width:340;" filled="f" stroked="t" coordsize="21600,21600" o:gfxdata="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YySNu8AAAA&#10;2wAAAA8AAAAAAAAAAQAgAAAAIgAAAGRycy9kb3ducmV2LnhtbFBLAQIUABQAAAAIAIdO4kAzLwWe&#10;OwAAADkAAAAQAAAAAAAAAAEAIAAAAAsBAABkcnMvc2hhcGV4bWwueG1sUEsFBgAAAAAGAAYAWwEA&#10;ALUDAAAAAA==&#10;" adj="10864">
                        <v:fill on="f" focussize="0,0"/>
                        <v:stroke color="#000000" joinstyle="round" dashstyle="dashDot" endarrow="open"/>
                        <v:imagedata o:title=""/>
                        <o:lock v:ext="edit" aspectratio="f"/>
                      </v:shape>
                      <v:shape id="文本框 17" o:spid="_x0000_s1026" o:spt="202" type="#_x0000_t202" style="position:absolute;left:4939;top:270343;height:461;width:1180;" filled="f" stroked="f" coordsize="21600,21600" o:gfxdata="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cXkO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3E37C381">
                              <w:pPr>
                                <w:rPr>
                                  <w:rFonts w:hint="default" w:eastAsia="宋体"/>
                                  <w:sz w:val="18"/>
                                  <w:szCs w:val="18"/>
                                  <w:lang w:val="en-US" w:eastAsia="zh-CN"/>
                                </w:rPr>
                              </w:pPr>
                              <w:r>
                                <w:rPr>
                                  <w:rFonts w:hint="eastAsia"/>
                                  <w:sz w:val="18"/>
                                  <w:szCs w:val="18"/>
                                  <w:lang w:eastAsia="zh-CN"/>
                                </w:rPr>
                                <w:t>损耗</w:t>
                              </w:r>
                              <w:r>
                                <w:rPr>
                                  <w:rFonts w:hint="eastAsia"/>
                                  <w:sz w:val="18"/>
                                  <w:szCs w:val="18"/>
                                  <w:lang w:val="en-US" w:eastAsia="zh-CN"/>
                                </w:rPr>
                                <w:t>100</w:t>
                              </w:r>
                            </w:p>
                          </w:txbxContent>
                        </v:textbox>
                      </v:shape>
                      <v:shape id="文本框 19" o:spid="_x0000_s1026" o:spt="202" type="#_x0000_t202" style="position:absolute;left:5773;top:271575;height:461;width:909;" filled="f" stroked="f" coordsize="21600,21600" o:gfxdata="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j53m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31826314">
                              <w:pPr>
                                <w:rPr>
                                  <w:rFonts w:hint="default" w:eastAsia="宋体"/>
                                  <w:sz w:val="18"/>
                                  <w:szCs w:val="18"/>
                                  <w:lang w:val="en-US" w:eastAsia="zh-CN"/>
                                </w:rPr>
                              </w:pPr>
                              <w:r>
                                <w:rPr>
                                  <w:rFonts w:hint="eastAsia"/>
                                  <w:sz w:val="18"/>
                                  <w:szCs w:val="18"/>
                                  <w:lang w:val="en-US" w:eastAsia="zh-CN"/>
                                </w:rPr>
                                <w:t>585</w:t>
                              </w:r>
                            </w:p>
                          </w:txbxContent>
                        </v:textbox>
                      </v:shape>
                      <v:shape id="文本框 27" o:spid="_x0000_s1026" o:spt="202" type="#_x0000_t202" style="position:absolute;left:7816;top:269302;height:461;width:909;" filled="f" stroked="f" coordsize="21600,21600" o:gfxdata="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fvQuK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14:paraId="08478649">
                              <w:pPr>
                                <w:rPr>
                                  <w:rFonts w:hint="default" w:eastAsia="宋体"/>
                                  <w:sz w:val="18"/>
                                  <w:szCs w:val="18"/>
                                  <w:lang w:val="en-US" w:eastAsia="zh-CN"/>
                                </w:rPr>
                              </w:pPr>
                              <w:r>
                                <w:rPr>
                                  <w:rFonts w:hint="eastAsia"/>
                                  <w:sz w:val="18"/>
                                  <w:szCs w:val="18"/>
                                  <w:lang w:val="en-US" w:eastAsia="zh-CN"/>
                                </w:rPr>
                                <w:t>1154.4</w:t>
                              </w:r>
                            </w:p>
                          </w:txbxContent>
                        </v:textbox>
                      </v:shape>
                      <v:shape id="文本框 20" o:spid="_x0000_s1026" o:spt="202" type="#_x0000_t202" style="position:absolute;left:5474;top:267682;height:461;width:909;" filled="f" stroked="f" coordsize="21600,21600" o:gfxdata="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Zw1pC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65D57253">
                              <w:pPr>
                                <w:rPr>
                                  <w:rFonts w:hint="default" w:eastAsia="宋体"/>
                                  <w:sz w:val="18"/>
                                  <w:szCs w:val="18"/>
                                  <w:lang w:val="en-US" w:eastAsia="zh-CN"/>
                                </w:rPr>
                              </w:pPr>
                              <w:r>
                                <w:rPr>
                                  <w:rFonts w:hint="eastAsia"/>
                                  <w:sz w:val="18"/>
                                  <w:szCs w:val="18"/>
                                  <w:lang w:val="en-US" w:eastAsia="zh-CN"/>
                                </w:rPr>
                                <w:t>846.8</w:t>
                              </w:r>
                            </w:p>
                          </w:txbxContent>
                        </v:textbox>
                      </v:shape>
                      <v:shape id="文本框 21" o:spid="_x0000_s1026" o:spt="202" type="#_x0000_t202" style="position:absolute;left:8689;top:269365;height:711;width:1579;" fillcolor="#FFFFFF" filled="t" stroked="t" coordsize="21600,21600" o:gfxdata="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8sqJL4A&#10;AADbAAAADwAAAAAAAAABACAAAAAiAAAAZHJzL2Rvd25yZXYueG1sUEsBAhQAFAAAAAgAh07iQDMv&#10;BZ47AAAAOQAAABAAAAAAAAAAAQAgAAAADQEAAGRycy9zaGFwZXhtbC54bWxQSwUGAAAAAAYABgBb&#10;AQAAtwMAAAAA&#10;">
                        <v:fill on="t" focussize="0,0"/>
                        <v:stroke color="#000000" joinstyle="miter"/>
                        <v:imagedata o:title=""/>
                        <o:lock v:ext="edit" aspectratio="f"/>
                        <v:textbox>
                          <w:txbxContent>
                            <w:p w14:paraId="5B916F44">
                              <w:pPr>
                                <w:jc w:val="center"/>
                                <w:rPr>
                                  <w:rFonts w:hint="eastAsia"/>
                                  <w:lang w:eastAsia="zh-CN"/>
                                </w:rPr>
                              </w:pPr>
                              <w:r>
                                <w:rPr>
                                  <w:rFonts w:hint="eastAsia" w:eastAsia="宋体" w:cs="Times New Roman"/>
                                  <w:sz w:val="21"/>
                                  <w:szCs w:val="21"/>
                                  <w:lang w:val="en-US" w:eastAsia="zh-CN"/>
                                </w:rPr>
                                <w:t>东至国祯水处理有限公司</w:t>
                              </w:r>
                            </w:p>
                          </w:txbxContent>
                        </v:textbox>
                      </v:shape>
                      <v:line id="直线 22" o:spid="_x0000_s1026" o:spt="20" style="position:absolute;left:7863;top:269571;flip:y;height:9;width:825;" filled="f" stroked="t" coordsize="21600,21600" o:gfxdata="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7+wlyugAAANsA&#10;AAAPAAAAAAAAAAEAIAAAACIAAABkcnMvZG93bnJldi54bWxQSwECFAAUAAAACACHTuJAMy8FnjsA&#10;AAA5AAAAEAAAAAAAAAABACAAAAAJAQAAZHJzL3NoYXBleG1sLnhtbFBLBQYAAAAABgAGAFsBAACz&#10;AwAAAAA=&#10;">
                        <v:fill on="f" focussize="0,0"/>
                        <v:stroke color="#000000" joinstyle="round" endarrow="open"/>
                        <v:imagedata o:title=""/>
                        <o:lock v:ext="edit" aspectratio="f"/>
                      </v:line>
                      <v:shape id="自选图形 23" o:spid="_x0000_s1026" o:spt="33" type="#_x0000_t33" style="position:absolute;left:7853;top:267979;height:1386;width:1626;" filled="f" stroked="t" coordsize="21600,21600" o:gfxdata="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u7E8rsAAADb&#10;AAAADwAAAAAAAAABACAAAAAiAAAAZHJzL2Rvd25yZXYueG1sUEsBAhQAFAAAAAgAh07iQDMvBZ47&#10;AAAAOQAAABAAAAAAAAAAAQAgAAAACgEAAGRycy9zaGFwZXhtbC54bWxQSwUGAAAAAAYABgBbAQAA&#10;tAMAAAAA&#10;">
                        <v:fill on="f" focussize="0,0"/>
                        <v:stroke color="#000000" joinstyle="miter" endarrow="open"/>
                        <v:imagedata o:title=""/>
                        <o:lock v:ext="edit" aspectratio="f"/>
                      </v:shape>
                      <v:shape id="文本框 24" o:spid="_x0000_s1026" o:spt="202" type="#_x0000_t202" style="position:absolute;left:7816;top:267673;height:461;width:909;" filled="f" stroked="f" coordsize="21600,21600" o:gfxdata="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pIH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2636E7BF">
                              <w:pPr>
                                <w:rPr>
                                  <w:rFonts w:hint="default" w:eastAsia="宋体"/>
                                  <w:sz w:val="18"/>
                                  <w:szCs w:val="18"/>
                                  <w:lang w:val="en-US" w:eastAsia="zh-CN"/>
                                </w:rPr>
                              </w:pPr>
                              <w:r>
                                <w:rPr>
                                  <w:rFonts w:hint="eastAsia"/>
                                  <w:sz w:val="18"/>
                                  <w:szCs w:val="18"/>
                                  <w:lang w:val="en-US" w:eastAsia="zh-CN"/>
                                </w:rPr>
                                <w:t>846.8</w:t>
                              </w:r>
                            </w:p>
                          </w:txbxContent>
                        </v:textbox>
                      </v:shape>
                      <v:shape id="文本框 28" o:spid="_x0000_s1026" o:spt="202" type="#_x0000_t202" style="position:absolute;left:8698;top:270592;height:441;width:1579;" fillcolor="#FFFFFF" filled="t" stroked="t" coordsize="21600,21600" o:gfxdata="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JW6zvQAA&#10;ANs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14:paraId="211954CD">
                              <w:pPr>
                                <w:jc w:val="center"/>
                                <w:rPr>
                                  <w:rFonts w:hint="default" w:eastAsia="宋体"/>
                                  <w:lang w:val="en-US" w:eastAsia="zh-CN"/>
                                </w:rPr>
                              </w:pPr>
                              <w:r>
                                <w:rPr>
                                  <w:rFonts w:hint="eastAsia" w:eastAsia="宋体"/>
                                  <w:lang w:val="en-US" w:eastAsia="zh-CN"/>
                                </w:rPr>
                                <w:t>尧渡河</w:t>
                              </w:r>
                            </w:p>
                          </w:txbxContent>
                        </v:textbox>
                      </v:shape>
                      <v:shape id="自选图形 29" o:spid="_x0000_s1026" o:spt="34" type="#_x0000_t34" style="position:absolute;left:9203;top:270334;height:5;width:534;rotation:5898240f;" filled="f" stroked="t" coordsize="21600,21600" o:gfxdata="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b+vZvQAA&#10;ANsAAAAPAAAAAAAAAAEAIAAAACIAAABkcnMvZG93bnJldi54bWxQSwECFAAUAAAACACHTuJAMy8F&#10;njsAAAA5AAAAEAAAAAAAAAABACAAAAAMAQAAZHJzL3NoYXBleG1sLnhtbFBLBQYAAAAABgAGAFsB&#10;AAC2AwAAAAA=&#10;" adj="10780">
                        <v:fill on="f" focussize="0,0"/>
                        <v:stroke color="#000000" joinstyle="miter" endarrow="open"/>
                        <v:imagedata o:title=""/>
                        <o:lock v:ext="edit" aspectratio="f"/>
                      </v:shape>
                    </v:group>
                  </w:pict>
                </mc:Fallback>
              </mc:AlternateContent>
            </w:r>
          </w:p>
          <w:p w14:paraId="51A58753">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mc:AlternateContent>
                <mc:Choice Requires="wps">
                  <w:drawing>
                    <wp:anchor distT="0" distB="0" distL="114300" distR="114300" simplePos="0" relativeHeight="251665408" behindDoc="0" locked="0" layoutInCell="1" allowOverlap="1">
                      <wp:simplePos x="0" y="0"/>
                      <wp:positionH relativeFrom="column">
                        <wp:posOffset>410210</wp:posOffset>
                      </wp:positionH>
                      <wp:positionV relativeFrom="paragraph">
                        <wp:posOffset>224790</wp:posOffset>
                      </wp:positionV>
                      <wp:extent cx="320675" cy="5715"/>
                      <wp:effectExtent l="0" t="45085" r="3175" b="63500"/>
                      <wp:wrapNone/>
                      <wp:docPr id="7" name="直线 82"/>
                      <wp:cNvGraphicFramePr/>
                      <a:graphic xmlns:a="http://schemas.openxmlformats.org/drawingml/2006/main">
                        <a:graphicData uri="http://schemas.microsoft.com/office/word/2010/wordprocessingShape">
                          <wps:wsp>
                            <wps:cNvCnPr/>
                            <wps:spPr>
                              <a:xfrm>
                                <a:off x="0" y="0"/>
                                <a:ext cx="320675" cy="571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直线 82" o:spid="_x0000_s1026" o:spt="20" style="position:absolute;left:0pt;margin-left:32.3pt;margin-top:17.7pt;height:0.45pt;width:25.25pt;z-index:251665408;mso-width-relative:page;mso-height-relative:page;" filled="f" stroked="t" coordsize="21600,21600" o:gfxdata="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9tftGtkAAAAIAQAADwAAAAAAAAABACAAAAAiAAAAZHJzL2Rvd25yZXYueG1sUEsBAhQAFAAA&#10;AAgAh07iQBScjrzuAQAA3wMAAA4AAAAAAAAAAQAgAAAAKAEAAGRycy9lMm9Eb2MueG1sUEsFBgAA&#10;AAAGAAYAWQEAAIgFAAAAAA==&#10;">
                      <v:fill on="f" focussize="0,0"/>
                      <v:stroke color="#000000" joinstyle="round" endarrow="open"/>
                      <v:imagedata o:title=""/>
                      <o:lock v:ext="edit" aspectratio="f"/>
                    </v:line>
                  </w:pict>
                </mc:Fallback>
              </mc:AlternateContent>
            </w:r>
          </w:p>
          <w:p w14:paraId="606CA108">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p>
          <w:p w14:paraId="60643274">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p>
          <w:p w14:paraId="106C60FF">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rPr>
              <mc:AlternateContent>
                <mc:Choice Requires="wps">
                  <w:drawing>
                    <wp:anchor distT="0" distB="0" distL="114300" distR="114300" simplePos="0" relativeHeight="251663360" behindDoc="0" locked="0" layoutInCell="1" allowOverlap="1">
                      <wp:simplePos x="0" y="0"/>
                      <wp:positionH relativeFrom="column">
                        <wp:posOffset>404495</wp:posOffset>
                      </wp:positionH>
                      <wp:positionV relativeFrom="paragraph">
                        <wp:posOffset>80010</wp:posOffset>
                      </wp:positionV>
                      <wp:extent cx="320675" cy="5715"/>
                      <wp:effectExtent l="0" t="45085" r="3175" b="63500"/>
                      <wp:wrapNone/>
                      <wp:docPr id="5" name="直线 83"/>
                      <wp:cNvGraphicFramePr/>
                      <a:graphic xmlns:a="http://schemas.openxmlformats.org/drawingml/2006/main">
                        <a:graphicData uri="http://schemas.microsoft.com/office/word/2010/wordprocessingShape">
                          <wps:wsp>
                            <wps:cNvCnPr/>
                            <wps:spPr>
                              <a:xfrm>
                                <a:off x="0" y="0"/>
                                <a:ext cx="320675" cy="571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直线 83" o:spid="_x0000_s1026" o:spt="20" style="position:absolute;left:0pt;margin-left:31.85pt;margin-top:6.3pt;height:0.45pt;width:25.25pt;z-index:251663360;mso-width-relative:page;mso-height-relative:page;" filled="f" stroked="t" coordsize="21600,21600" o:gfxdata="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Au0CdgAAAAIAQAADwAAAAAAAAABACAAAAAiAAAAZHJzL2Rvd25yZXYueG1sUEsBAhQAFAAA&#10;AAgAh07iQFRcRArvAQAA3wMAAA4AAAAAAAAAAQAgAAAAJwEAAGRycy9lMm9Eb2MueG1sUEsFBgAA&#10;AAAGAAYAWQEAAIgFAAAAAA==&#10;">
                      <v:fill on="f" focussize="0,0"/>
                      <v:stroke color="#000000" joinstyle="round" endarrow="open"/>
                      <v:imagedata o:title=""/>
                      <o:lock v:ext="edit" aspectratio="f"/>
                    </v:line>
                  </w:pict>
                </mc:Fallback>
              </mc:AlternateContent>
            </w:r>
          </w:p>
          <w:p w14:paraId="44007402">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mc:AlternateContent>
                <mc:Choice Requires="wps">
                  <w:drawing>
                    <wp:anchor distT="0" distB="0" distL="114300" distR="114300" simplePos="0" relativeHeight="251666432" behindDoc="0" locked="0" layoutInCell="1" allowOverlap="1">
                      <wp:simplePos x="0" y="0"/>
                      <wp:positionH relativeFrom="column">
                        <wp:posOffset>-37465</wp:posOffset>
                      </wp:positionH>
                      <wp:positionV relativeFrom="paragraph">
                        <wp:posOffset>530860</wp:posOffset>
                      </wp:positionV>
                      <wp:extent cx="440690" cy="635"/>
                      <wp:effectExtent l="0" t="48895" r="16510" b="64770"/>
                      <wp:wrapNone/>
                      <wp:docPr id="8" name="直线 77"/>
                      <wp:cNvGraphicFramePr/>
                      <a:graphic xmlns:a="http://schemas.openxmlformats.org/drawingml/2006/main">
                        <a:graphicData uri="http://schemas.microsoft.com/office/word/2010/wordprocessingShape">
                          <wps:wsp>
                            <wps:cNvCnPr/>
                            <wps:spPr>
                              <a:xfrm>
                                <a:off x="0" y="0"/>
                                <a:ext cx="440690" cy="63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直线 77" o:spid="_x0000_s1026" o:spt="20" style="position:absolute;left:0pt;margin-left:-2.95pt;margin-top:41.8pt;height:0.05pt;width:34.7pt;z-index:251666432;mso-width-relative:page;mso-height-relative:page;" filled="f" stroked="t" coordsize="21600,21600" o:gfxdata="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d+dnJ1wAAAAcBAAAPAAAAAAAAAAEAIAAAACIAAABkcnMvZG93bnJldi54bWxQSwECFAAUAAAA&#10;CACHTuJAsoYAqe8BAADeAwAADgAAAAAAAAABACAAAAAmAQAAZHJzL2Uyb0RvYy54bWxQSwUGAAAA&#10;AAYABgBZAQAAhwUAAAAA&#10;">
                      <v:fill on="f" focussize="0,0"/>
                      <v:stroke color="#000000" joinstyle="round" endarrow="open"/>
                      <v:imagedata o:title=""/>
                      <o:lock v:ext="edit" aspectratio="f"/>
                    </v:line>
                  </w:pict>
                </mc:Fallback>
              </mc:AlternateContent>
            </w:r>
          </w:p>
          <w:p w14:paraId="00BEB0F5">
            <w:pPr>
              <w:bidi w:val="0"/>
              <w:rPr>
                <w:rFonts w:hint="default" w:ascii="Times New Roman" w:hAnsi="Times New Roman" w:eastAsia="仿宋_GB2312" w:cs="Times New Roman"/>
                <w:color w:val="auto"/>
                <w:kern w:val="2"/>
                <w:sz w:val="24"/>
                <w:szCs w:val="24"/>
                <w:lang w:val="en-US" w:eastAsia="zh-CN" w:bidi="ar-SA"/>
              </w:rPr>
            </w:pPr>
          </w:p>
          <w:p w14:paraId="4D4AF5F2">
            <w:pPr>
              <w:bidi w:val="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mc:AlternateContent>
                <mc:Choice Requires="wps">
                  <w:drawing>
                    <wp:anchor distT="0" distB="0" distL="114300" distR="114300" simplePos="0" relativeHeight="251664384" behindDoc="0" locked="0" layoutInCell="1" allowOverlap="1">
                      <wp:simplePos x="0" y="0"/>
                      <wp:positionH relativeFrom="column">
                        <wp:posOffset>415925</wp:posOffset>
                      </wp:positionH>
                      <wp:positionV relativeFrom="paragraph">
                        <wp:posOffset>94615</wp:posOffset>
                      </wp:positionV>
                      <wp:extent cx="320675" cy="5715"/>
                      <wp:effectExtent l="0" t="45085" r="3175" b="63500"/>
                      <wp:wrapNone/>
                      <wp:docPr id="6" name="直线 84"/>
                      <wp:cNvGraphicFramePr/>
                      <a:graphic xmlns:a="http://schemas.openxmlformats.org/drawingml/2006/main">
                        <a:graphicData uri="http://schemas.microsoft.com/office/word/2010/wordprocessingShape">
                          <wps:wsp>
                            <wps:cNvCnPr/>
                            <wps:spPr>
                              <a:xfrm>
                                <a:off x="0" y="0"/>
                                <a:ext cx="320675" cy="571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直线 84" o:spid="_x0000_s1026" o:spt="20" style="position:absolute;left:0pt;margin-left:32.75pt;margin-top:7.45pt;height:0.45pt;width:25.25pt;z-index:251664384;mso-width-relative:page;mso-height-relative:page;" filled="f" stroked="t" coordsize="21600,21600" o:gfxdata="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V6vb19gAAAAIAQAADwAAAAAAAAABACAAAAAiAAAAZHJzL2Rvd25yZXYueG1sUEsBAhQAFAAA&#10;AAgAh07iQGiG92PvAQAA3wMAAA4AAAAAAAAAAQAgAAAAJwEAAGRycy9lMm9Eb2MueG1sUEsFBgAA&#10;AAAGAAYAWQEAAIgFAAAAAA==&#10;">
                      <v:fill on="f" focussize="0,0"/>
                      <v:stroke color="#000000" joinstyle="round" endarrow="open"/>
                      <v:imagedata o:title=""/>
                      <o:lock v:ext="edit" aspectratio="f"/>
                    </v:line>
                  </w:pict>
                </mc:Fallback>
              </mc:AlternateContent>
            </w:r>
          </w:p>
          <w:p w14:paraId="21F62456">
            <w:pPr>
              <w:bidi w:val="0"/>
              <w:rPr>
                <w:rFonts w:hint="default" w:ascii="Times New Roman" w:hAnsi="Times New Roman" w:eastAsia="仿宋_GB2312" w:cs="Times New Roman"/>
                <w:color w:val="auto"/>
                <w:sz w:val="24"/>
                <w:szCs w:val="24"/>
                <w:lang w:val="en-US" w:eastAsia="zh-CN"/>
              </w:rPr>
            </w:pPr>
          </w:p>
          <w:p w14:paraId="73614113">
            <w:pPr>
              <w:bidi w:val="0"/>
              <w:rPr>
                <w:rFonts w:hint="default" w:ascii="Times New Roman" w:hAnsi="Times New Roman" w:eastAsia="仿宋_GB2312" w:cs="Times New Roman"/>
                <w:color w:val="auto"/>
                <w:sz w:val="24"/>
                <w:szCs w:val="24"/>
                <w:lang w:val="en-US" w:eastAsia="zh-CN"/>
              </w:rPr>
            </w:pPr>
          </w:p>
          <w:p w14:paraId="5E536F57">
            <w:pPr>
              <w:bidi w:val="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mc:AlternateContent>
                <mc:Choice Requires="wps">
                  <w:drawing>
                    <wp:anchor distT="0" distB="0" distL="114300" distR="114300" simplePos="0" relativeHeight="251662336" behindDoc="0" locked="0" layoutInCell="1" allowOverlap="1">
                      <wp:simplePos x="0" y="0"/>
                      <wp:positionH relativeFrom="column">
                        <wp:posOffset>423545</wp:posOffset>
                      </wp:positionH>
                      <wp:positionV relativeFrom="paragraph">
                        <wp:posOffset>137795</wp:posOffset>
                      </wp:positionV>
                      <wp:extent cx="320675" cy="5715"/>
                      <wp:effectExtent l="0" t="45085" r="3175" b="63500"/>
                      <wp:wrapNone/>
                      <wp:docPr id="4" name="直线 85"/>
                      <wp:cNvGraphicFramePr/>
                      <a:graphic xmlns:a="http://schemas.openxmlformats.org/drawingml/2006/main">
                        <a:graphicData uri="http://schemas.microsoft.com/office/word/2010/wordprocessingShape">
                          <wps:wsp>
                            <wps:cNvCnPr/>
                            <wps:spPr>
                              <a:xfrm>
                                <a:off x="0" y="0"/>
                                <a:ext cx="320675" cy="5715"/>
                              </a:xfrm>
                              <a:prstGeom prst="line">
                                <a:avLst/>
                              </a:prstGeom>
                              <a:ln w="9525" cap="flat" cmpd="sng">
                                <a:solidFill>
                                  <a:srgbClr val="000000"/>
                                </a:solidFill>
                                <a:prstDash val="solid"/>
                                <a:headEnd type="none" w="med" len="med"/>
                                <a:tailEnd type="arrow" w="med" len="med"/>
                              </a:ln>
                            </wps:spPr>
                            <wps:bodyPr upright="1"/>
                          </wps:wsp>
                        </a:graphicData>
                      </a:graphic>
                    </wp:anchor>
                  </w:drawing>
                </mc:Choice>
                <mc:Fallback>
                  <w:pict>
                    <v:line id="直线 85" o:spid="_x0000_s1026" o:spt="20" style="position:absolute;left:0pt;margin-left:33.35pt;margin-top:10.85pt;height:0.45pt;width:25.25pt;z-index:251662336;mso-width-relative:page;mso-height-relative:page;" filled="f" stroked="t" coordsize="21600,21600" o:gfxdata="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alvhdNgAAAAIAQAADwAAAAAAAAABACAAAAAiAAAAZHJzL2Rvd25yZXYueG1sUEsBAhQA&#10;FAAAAAgAh07iQChGPdXyAQAA3wMAAA4AAAAAAAAAAQAgAAAAJwEAAGRycy9lMm9Eb2MueG1sUEsF&#10;BgAAAAAGAAYAWQEAAIsFAAAAAA==&#10;">
                      <v:fill on="f" focussize="0,0"/>
                      <v:stroke color="#000000" joinstyle="round" endarrow="open"/>
                      <v:imagedata o:title=""/>
                      <o:lock v:ext="edit" aspectratio="f"/>
                    </v:line>
                  </w:pict>
                </mc:Fallback>
              </mc:AlternateContent>
            </w:r>
          </w:p>
          <w:p w14:paraId="236F6BBE">
            <w:pPr>
              <w:bidi w:val="0"/>
              <w:rPr>
                <w:rFonts w:hint="default" w:ascii="Times New Roman" w:hAnsi="Times New Roman" w:eastAsia="仿宋_GB2312" w:cs="Times New Roman"/>
                <w:color w:val="auto"/>
                <w:sz w:val="24"/>
                <w:szCs w:val="24"/>
                <w:lang w:val="en-US" w:eastAsia="zh-CN"/>
              </w:rPr>
            </w:pPr>
          </w:p>
          <w:p w14:paraId="5DA140B6">
            <w:pPr>
              <w:bidi w:val="0"/>
              <w:rPr>
                <w:rFonts w:hint="default" w:ascii="Times New Roman" w:hAnsi="Times New Roman" w:eastAsia="仿宋_GB2312" w:cs="Times New Roman"/>
                <w:color w:val="auto"/>
                <w:sz w:val="24"/>
                <w:szCs w:val="24"/>
                <w:lang w:val="en-US" w:eastAsia="zh-CN"/>
              </w:rPr>
            </w:pPr>
          </w:p>
          <w:p w14:paraId="0CFA6BA3">
            <w:pPr>
              <w:bidi w:val="0"/>
              <w:rPr>
                <w:rFonts w:hint="default" w:ascii="Times New Roman" w:hAnsi="Times New Roman" w:eastAsia="仿宋_GB2312" w:cs="Times New Roman"/>
                <w:color w:val="auto"/>
                <w:sz w:val="24"/>
                <w:szCs w:val="24"/>
                <w:lang w:val="en-US" w:eastAsia="zh-CN"/>
              </w:rPr>
            </w:pPr>
          </w:p>
          <w:p w14:paraId="66673147">
            <w:pPr>
              <w:bidi w:val="0"/>
              <w:rPr>
                <w:rFonts w:hint="default" w:ascii="Times New Roman" w:hAnsi="Times New Roman" w:eastAsia="仿宋_GB2312" w:cs="Times New Roman"/>
                <w:color w:val="auto"/>
                <w:sz w:val="24"/>
                <w:szCs w:val="24"/>
                <w:lang w:val="en-US" w:eastAsia="zh-CN"/>
              </w:rPr>
            </w:pPr>
          </w:p>
          <w:p w14:paraId="6C1D479E">
            <w:pPr>
              <w:bidi w:val="0"/>
              <w:ind w:firstLine="213" w:firstLineChars="0"/>
              <w:jc w:val="center"/>
              <w:rPr>
                <w:rFonts w:hint="default" w:ascii="Times New Roman" w:hAnsi="Times New Roman" w:eastAsia="仿宋_GB2312" w:cs="Times New Roman"/>
                <w:b/>
                <w:bCs/>
                <w:color w:val="auto"/>
                <w:kern w:val="0"/>
                <w:sz w:val="24"/>
                <w:szCs w:val="24"/>
                <w:highlight w:val="none"/>
                <w:lang w:val="en-US" w:eastAsia="zh-CN" w:bidi="ar-SA"/>
              </w:rPr>
            </w:pPr>
            <w:r>
              <w:rPr>
                <w:rFonts w:hint="default" w:ascii="Times New Roman" w:hAnsi="Times New Roman" w:eastAsia="仿宋_GB2312" w:cs="Times New Roman"/>
                <w:b/>
                <w:bCs/>
                <w:color w:val="auto"/>
                <w:kern w:val="0"/>
                <w:sz w:val="24"/>
                <w:szCs w:val="24"/>
                <w:highlight w:val="none"/>
                <w:lang w:val="en-US" w:eastAsia="zh-CN" w:bidi="ar-SA"/>
              </w:rPr>
              <w:t>图2-1 项目水平衡图</w:t>
            </w:r>
          </w:p>
          <w:p w14:paraId="67529A55">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（2）排水</w:t>
            </w:r>
          </w:p>
          <w:p w14:paraId="555EA896">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项目排水采用雨污分流制。</w:t>
            </w:r>
          </w:p>
          <w:p w14:paraId="01A2DAE9">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站区地面保洁废水经隔油池处理后汇同地埋式一体化污水处理装置处理的生活污水一起经污水排放口排入市政污水管网，进入东至国祯水处理有限公司处理，最终进入尧渡河。</w:t>
            </w:r>
          </w:p>
          <w:p w14:paraId="597E434E">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隔油沉淀池设置于卸油区南侧，设计容积为25m</w:t>
            </w:r>
            <w:r>
              <w:rPr>
                <w:rFonts w:hint="default" w:ascii="Times New Roman" w:hAnsi="Times New Roman" w:eastAsia="仿宋_GB2312" w:cs="Times New Roman"/>
                <w:color w:val="auto"/>
                <w:sz w:val="24"/>
                <w:szCs w:val="24"/>
                <w:vertAlign w:val="superscript"/>
                <w:lang w:val="en-US" w:eastAsia="zh-CN"/>
              </w:rPr>
              <w:t>3</w:t>
            </w:r>
            <w:r>
              <w:rPr>
                <w:rFonts w:hint="default" w:ascii="Times New Roman" w:hAnsi="Times New Roman" w:eastAsia="仿宋_GB2312" w:cs="Times New Roman"/>
                <w:color w:val="auto"/>
                <w:sz w:val="24"/>
                <w:szCs w:val="24"/>
                <w:lang w:val="en-US" w:eastAsia="zh-CN"/>
              </w:rPr>
              <w:t>。站内铺设雨水排放管道和两道截断阀门（分别为通向隔油沉淀池的阀门和通向市政雨水管网的阀门）。平时雨水管道中通向隔油沉淀池的阀门常闭，降雨初期时，打开雨水管道中通向隔油沉淀池的阀门，关闭通向市政雨水的阀门，初期雨水通过雨水排放管道排入隔油沉淀池内进行处理后排放。降雨15min后通向隔油沉淀池的管道阀门关闭，打开通向市政雨水管网的阀门，雨水排入市政雨水管道。</w:t>
            </w:r>
          </w:p>
          <w:p w14:paraId="543137A6">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（3）供电</w:t>
            </w:r>
          </w:p>
          <w:p w14:paraId="7F297664">
            <w:pPr>
              <w:autoSpaceDE w:val="0"/>
              <w:autoSpaceDN w:val="0"/>
              <w:adjustRightInd w:val="0"/>
              <w:spacing w:line="360" w:lineRule="auto"/>
              <w:ind w:firstLine="456"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pacing w:val="-6"/>
                <w:sz w:val="24"/>
                <w:szCs w:val="24"/>
              </w:rPr>
              <w:t>项目供电由当地市政电网提供，供给项目运营及办公用电，项目年用电量约</w:t>
            </w:r>
            <w:r>
              <w:rPr>
                <w:rFonts w:hint="default" w:ascii="Times New Roman" w:hAnsi="Times New Roman" w:eastAsia="仿宋_GB2312" w:cs="Times New Roman"/>
                <w:color w:val="auto"/>
                <w:spacing w:val="-36"/>
                <w:sz w:val="24"/>
                <w:szCs w:val="24"/>
              </w:rPr>
              <w:t xml:space="preserve"> </w:t>
            </w:r>
            <w:r>
              <w:rPr>
                <w:rFonts w:hint="default" w:ascii="Times New Roman" w:hAnsi="Times New Roman" w:eastAsia="仿宋_GB2312" w:cs="Times New Roman"/>
                <w:color w:val="auto"/>
                <w:spacing w:val="-6"/>
                <w:sz w:val="24"/>
                <w:szCs w:val="24"/>
                <w:lang w:val="en-US" w:eastAsia="zh-CN"/>
              </w:rPr>
              <w:t>5</w:t>
            </w:r>
            <w:r>
              <w:rPr>
                <w:rFonts w:hint="default" w:ascii="Times New Roman" w:hAnsi="Times New Roman" w:eastAsia="仿宋_GB2312" w:cs="Times New Roman"/>
                <w:color w:val="auto"/>
                <w:spacing w:val="-6"/>
                <w:sz w:val="24"/>
                <w:szCs w:val="24"/>
              </w:rPr>
              <w:t>万</w:t>
            </w:r>
            <w:r>
              <w:rPr>
                <w:rFonts w:hint="default" w:ascii="Times New Roman" w:hAnsi="Times New Roman" w:eastAsia="仿宋_GB2312" w:cs="Times New Roman"/>
                <w:color w:val="auto"/>
                <w:spacing w:val="-6"/>
                <w:sz w:val="24"/>
                <w:szCs w:val="24"/>
                <w:lang w:val="en-US" w:eastAsia="zh-CN"/>
              </w:rPr>
              <w:t>kWh/a</w:t>
            </w:r>
            <w:r>
              <w:rPr>
                <w:rFonts w:hint="default" w:ascii="Times New Roman" w:hAnsi="Times New Roman" w:eastAsia="仿宋_GB2312" w:cs="Times New Roman"/>
                <w:color w:val="auto"/>
                <w:spacing w:val="-6"/>
                <w:sz w:val="24"/>
                <w:szCs w:val="24"/>
              </w:rPr>
              <w:t>。</w:t>
            </w:r>
          </w:p>
          <w:p w14:paraId="1627452E">
            <w:pPr>
              <w:pStyle w:val="5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7、劳动定员</w:t>
            </w:r>
          </w:p>
          <w:p w14:paraId="29A1638D">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本项目预计定员8人，厂区布设食堂和宿舍，员工均不在站内食宿。年工作365天，日工作时间24小时，实行3班制。</w:t>
            </w:r>
          </w:p>
          <w:p w14:paraId="18BE86F2">
            <w:pPr>
              <w:pStyle w:val="5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8、站场选址及总平面布置</w:t>
            </w:r>
          </w:p>
          <w:p w14:paraId="4860D27F">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项目站址位于安徽省池州市东至县G206国道东侧，东至县污水处理厂以南地块，地块东侧为林地，南侧为空地。</w:t>
            </w:r>
          </w:p>
          <w:p w14:paraId="23EA143F">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有关规范和加油站使用功能要求，结合项目场地情况，合理规范的设计总平面规划布置。总图布置应充分考虑功能分区，满足工艺流程的需要，力求布置紧凑合理，节约用地，严格执行有关标准、规范，满足防火、防爆、生产、检修的要求。</w:t>
            </w:r>
          </w:p>
          <w:p w14:paraId="654AC954">
            <w:pPr>
              <w:pStyle w:val="42"/>
              <w:spacing w:line="360" w:lineRule="auto"/>
              <w:ind w:firstLine="48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按使用功能要求划分为卸油区、加油区、加气区、站房区、洗车区、停车充电区等，各区之间既相互独立，又相互联系。加油区位于站区西侧，是加油站加油作业场所，顶上设钢结构罩棚，由加油车道和加油岛构成，加油区两侧进出口通道与站外道路连通，方便加油车辆进出；油罐区位于加油区地下，油罐埋地设置；卸油区紧邻加油区西侧，做重点防渗处理；加油区站房A比邻罩棚东侧，停车区站房B设在站区北部，均为两层框架结构，内设便利店、值班室等；停车场及充电区位于站内中北部，设变电和换电区；厂区内部道路均为水泥硬化地面，站内外各设施之间的安全距离均符合规范要求，站区四周种植乔、灌、草复层绿化，项目平面布置基本合理。</w:t>
            </w:r>
          </w:p>
          <w:p w14:paraId="312165BF">
            <w:pPr>
              <w:pStyle w:val="42"/>
              <w:spacing w:line="360" w:lineRule="auto"/>
              <w:ind w:firstLine="480"/>
              <w:jc w:val="both"/>
              <w:rPr>
                <w:rFonts w:hint="default" w:ascii="Times New Roman" w:hAnsi="Times New Roman" w:eastAsia="仿宋_GB2312" w:cs="Times New Roman"/>
                <w:b/>
                <w:bCs/>
                <w:color w:val="auto"/>
                <w:kern w:val="0"/>
                <w:sz w:val="24"/>
                <w:szCs w:val="24"/>
                <w:highlight w:val="none"/>
                <w:lang w:val="en-US" w:eastAsia="zh-CN" w:bidi="ar-SA"/>
              </w:rPr>
            </w:pPr>
            <w:r>
              <w:rPr>
                <w:rFonts w:hint="default" w:ascii="Times New Roman" w:hAnsi="Times New Roman" w:eastAsia="仿宋_GB2312" w:cs="Times New Roman"/>
                <w:color w:val="auto"/>
                <w:kern w:val="2"/>
                <w:sz w:val="24"/>
                <w:szCs w:val="24"/>
                <w:lang w:val="en-US" w:eastAsia="zh-CN" w:bidi="ar-SA"/>
              </w:rPr>
              <w:t>平面布置图见</w:t>
            </w:r>
            <w:r>
              <w:rPr>
                <w:rFonts w:hint="default" w:ascii="Times New Roman" w:hAnsi="Times New Roman" w:eastAsia="仿宋_GB2312" w:cs="Times New Roman"/>
                <w:color w:val="auto"/>
                <w:kern w:val="2"/>
                <w:sz w:val="24"/>
                <w:szCs w:val="24"/>
                <w:highlight w:val="none"/>
                <w:lang w:val="en-US" w:eastAsia="zh-CN" w:bidi="ar-SA"/>
              </w:rPr>
              <w:t>附图2。</w:t>
            </w:r>
          </w:p>
        </w:tc>
      </w:tr>
      <w:tr w14:paraId="328FDB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71" w:hRule="atLeast"/>
          <w:jc w:val="center"/>
        </w:trPr>
        <w:tc>
          <w:tcPr>
            <w:tcW w:w="680" w:type="dxa"/>
            <w:noWrap w:val="0"/>
            <w:vAlign w:val="center"/>
          </w:tcPr>
          <w:p w14:paraId="2ACF077A">
            <w:pPr>
              <w:pStyle w:val="17"/>
              <w:adjustRightInd w:val="0"/>
              <w:snapToGrid w:val="0"/>
              <w:spacing w:before="0" w:beforeAutospacing="0" w:after="0" w:afterAutospacing="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工艺流程和产排污环节</w:t>
            </w:r>
          </w:p>
        </w:tc>
        <w:tc>
          <w:tcPr>
            <w:tcW w:w="8304" w:type="dxa"/>
            <w:noWrap w:val="0"/>
            <w:vAlign w:val="top"/>
          </w:tcPr>
          <w:p w14:paraId="73458A3B">
            <w:pPr>
              <w:pStyle w:val="5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1、施工期</w:t>
            </w:r>
          </w:p>
          <w:p w14:paraId="2EC4F0A0">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施工期存在土方开挖、结构、装饰、设备安装等施工期作业，因此施工期可能会产生废气、废水、噪声、固废等环境影响。施工期工艺流程及产污环节见下图。</w:t>
            </w:r>
          </w:p>
          <w:p w14:paraId="2C342BD4">
            <w:pPr>
              <w:autoSpaceDE w:val="0"/>
              <w:autoSpaceDN w:val="0"/>
              <w:adjustRightInd w:val="0"/>
              <w:spacing w:line="360" w:lineRule="auto"/>
              <w:jc w:val="center"/>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color w:val="auto"/>
                <w:sz w:val="24"/>
                <w:szCs w:val="24"/>
              </w:rPr>
              <mc:AlternateContent>
                <mc:Choice Requires="wpg">
                  <w:drawing>
                    <wp:anchor distT="0" distB="0" distL="114300" distR="114300" simplePos="0" relativeHeight="251668480" behindDoc="0" locked="0" layoutInCell="1" allowOverlap="1">
                      <wp:simplePos x="0" y="0"/>
                      <wp:positionH relativeFrom="column">
                        <wp:posOffset>-64135</wp:posOffset>
                      </wp:positionH>
                      <wp:positionV relativeFrom="paragraph">
                        <wp:posOffset>62865</wp:posOffset>
                      </wp:positionV>
                      <wp:extent cx="5417820" cy="1692275"/>
                      <wp:effectExtent l="4445" t="0" r="0" b="0"/>
                      <wp:wrapNone/>
                      <wp:docPr id="79" name="组合 95"/>
                      <wp:cNvGraphicFramePr/>
                      <a:graphic xmlns:a="http://schemas.openxmlformats.org/drawingml/2006/main">
                        <a:graphicData uri="http://schemas.microsoft.com/office/word/2010/wordprocessingGroup">
                          <wpg:wgp>
                            <wpg:cNvGrpSpPr/>
                            <wpg:grpSpPr>
                              <a:xfrm>
                                <a:off x="0" y="0"/>
                                <a:ext cx="5417820" cy="1692275"/>
                                <a:chOff x="2431" y="362989"/>
                                <a:chExt cx="8532" cy="2665"/>
                              </a:xfrm>
                            </wpg:grpSpPr>
                            <wps:wsp>
                              <wps:cNvPr id="46" name="Line 50"/>
                              <wps:cNvCnPr/>
                              <wps:spPr>
                                <a:xfrm flipH="1" flipV="1">
                                  <a:off x="7220" y="363429"/>
                                  <a:ext cx="10" cy="457"/>
                                </a:xfrm>
                                <a:prstGeom prst="line">
                                  <a:avLst/>
                                </a:prstGeom>
                                <a:ln w="9525" cap="flat" cmpd="sng">
                                  <a:solidFill>
                                    <a:srgbClr val="000000"/>
                                  </a:solidFill>
                                  <a:prstDash val="dash"/>
                                  <a:headEnd type="none" w="med" len="med"/>
                                  <a:tailEnd type="triangle" w="med" len="med"/>
                                </a:ln>
                              </wps:spPr>
                              <wps:bodyPr upright="1"/>
                            </wps:wsp>
                            <wps:wsp>
                              <wps:cNvPr id="47" name="Line 77"/>
                              <wps:cNvCnPr/>
                              <wps:spPr>
                                <a:xfrm flipV="1">
                                  <a:off x="5850" y="363659"/>
                                  <a:ext cx="8" cy="358"/>
                                </a:xfrm>
                                <a:prstGeom prst="line">
                                  <a:avLst/>
                                </a:prstGeom>
                                <a:ln w="9525" cap="flat" cmpd="sng">
                                  <a:solidFill>
                                    <a:srgbClr val="000000"/>
                                  </a:solidFill>
                                  <a:prstDash val="dash"/>
                                  <a:headEnd type="none" w="med" len="med"/>
                                  <a:tailEnd type="triangle" w="med" len="med"/>
                                </a:ln>
                              </wps:spPr>
                              <wps:bodyPr upright="1"/>
                            </wps:wsp>
                            <wps:wsp>
                              <wps:cNvPr id="48" name="Rectangle 53"/>
                              <wps:cNvSpPr/>
                              <wps:spPr>
                                <a:xfrm>
                                  <a:off x="6386" y="363003"/>
                                  <a:ext cx="1631" cy="458"/>
                                </a:xfrm>
                                <a:prstGeom prst="rect">
                                  <a:avLst/>
                                </a:prstGeom>
                                <a:noFill/>
                                <a:ln>
                                  <a:noFill/>
                                </a:ln>
                              </wps:spPr>
                              <wps:txbx>
                                <w:txbxContent>
                                  <w:p w14:paraId="4A590BE4">
                                    <w:pPr>
                                      <w:ind w:firstLine="210" w:firstLineChars="100"/>
                                      <w:rPr>
                                        <w:rFonts w:hint="eastAsia"/>
                                      </w:rPr>
                                    </w:pPr>
                                    <w:r>
                                      <w:rPr>
                                        <w:rFonts w:hint="eastAsia"/>
                                      </w:rPr>
                                      <w:t>噪声、固废</w:t>
                                    </w:r>
                                  </w:p>
                                </w:txbxContent>
                              </wps:txbx>
                              <wps:bodyPr vert="horz" wrap="square" anchor="t" anchorCtr="0" upright="1"/>
                            </wps:wsp>
                            <wps:wsp>
                              <wps:cNvPr id="49" name="Rectangle 54"/>
                              <wps:cNvSpPr/>
                              <wps:spPr>
                                <a:xfrm>
                                  <a:off x="3630" y="362989"/>
                                  <a:ext cx="1631" cy="412"/>
                                </a:xfrm>
                                <a:prstGeom prst="rect">
                                  <a:avLst/>
                                </a:prstGeom>
                                <a:noFill/>
                                <a:ln>
                                  <a:noFill/>
                                </a:ln>
                              </wps:spPr>
                              <wps:txbx>
                                <w:txbxContent>
                                  <w:p w14:paraId="712B220A">
                                    <w:pPr>
                                      <w:ind w:firstLine="210" w:firstLineChars="100"/>
                                      <w:rPr>
                                        <w:rFonts w:hint="eastAsia"/>
                                      </w:rPr>
                                    </w:pPr>
                                    <w:r>
                                      <w:rPr>
                                        <w:rFonts w:hint="eastAsia"/>
                                      </w:rPr>
                                      <w:t>噪声、扬尘</w:t>
                                    </w:r>
                                  </w:p>
                                </w:txbxContent>
                              </wps:txbx>
                              <wps:bodyPr vert="horz" wrap="square" anchor="t" anchorCtr="0" upright="1"/>
                            </wps:wsp>
                            <wps:wsp>
                              <wps:cNvPr id="50" name="Line 58"/>
                              <wps:cNvCnPr/>
                              <wps:spPr>
                                <a:xfrm flipV="1">
                                  <a:off x="2964" y="363642"/>
                                  <a:ext cx="6" cy="399"/>
                                </a:xfrm>
                                <a:prstGeom prst="line">
                                  <a:avLst/>
                                </a:prstGeom>
                                <a:ln w="9525" cap="flat" cmpd="sng">
                                  <a:solidFill>
                                    <a:srgbClr val="000000"/>
                                  </a:solidFill>
                                  <a:prstDash val="dash"/>
                                  <a:headEnd type="none" w="med" len="med"/>
                                  <a:tailEnd type="triangle" w="med" len="med"/>
                                </a:ln>
                              </wps:spPr>
                              <wps:bodyPr upright="1"/>
                            </wps:wsp>
                            <wps:wsp>
                              <wps:cNvPr id="51" name="Line 59"/>
                              <wps:cNvCnPr/>
                              <wps:spPr>
                                <a:xfrm flipV="1">
                                  <a:off x="2946" y="363648"/>
                                  <a:ext cx="2898" cy="6"/>
                                </a:xfrm>
                                <a:prstGeom prst="line">
                                  <a:avLst/>
                                </a:prstGeom>
                                <a:ln w="9525" cap="flat" cmpd="sng">
                                  <a:solidFill>
                                    <a:srgbClr val="000000"/>
                                  </a:solidFill>
                                  <a:prstDash val="dash"/>
                                  <a:headEnd type="none" w="med" len="med"/>
                                  <a:tailEnd type="none" w="med" len="med"/>
                                </a:ln>
                              </wps:spPr>
                              <wps:bodyPr upright="1"/>
                            </wps:wsp>
                            <wps:wsp>
                              <wps:cNvPr id="52" name="Line 51"/>
                              <wps:cNvCnPr/>
                              <wps:spPr>
                                <a:xfrm flipH="1" flipV="1">
                                  <a:off x="4429" y="363326"/>
                                  <a:ext cx="5" cy="553"/>
                                </a:xfrm>
                                <a:prstGeom prst="line">
                                  <a:avLst/>
                                </a:prstGeom>
                                <a:ln w="9525" cap="flat" cmpd="sng">
                                  <a:solidFill>
                                    <a:srgbClr val="000000"/>
                                  </a:solidFill>
                                  <a:prstDash val="dash"/>
                                  <a:headEnd type="none" w="med" len="med"/>
                                  <a:tailEnd type="triangle" w="med" len="med"/>
                                </a:ln>
                              </wps:spPr>
                              <wps:bodyPr upright="1"/>
                            </wps:wsp>
                            <wps:wsp>
                              <wps:cNvPr id="53" name="Rectangle 68"/>
                              <wps:cNvSpPr/>
                              <wps:spPr>
                                <a:xfrm>
                                  <a:off x="2437" y="363876"/>
                                  <a:ext cx="6879" cy="601"/>
                                </a:xfrm>
                                <a:prstGeom prst="rect">
                                  <a:avLst/>
                                </a:prstGeom>
                                <a:noFill/>
                                <a:ln w="6350" cap="flat" cmpd="sng">
                                  <a:solidFill>
                                    <a:srgbClr val="000000"/>
                                  </a:solidFill>
                                  <a:prstDash val="dash"/>
                                  <a:miter/>
                                  <a:headEnd type="none" w="med" len="med"/>
                                  <a:tailEnd type="none" w="med" len="med"/>
                                </a:ln>
                              </wps:spPr>
                              <wps:bodyPr vert="horz" wrap="square" anchor="t" anchorCtr="0" upright="1"/>
                            </wps:wsp>
                            <wpg:grpSp>
                              <wpg:cNvPr id="65" name="组合 19"/>
                              <wpg:cNvGrpSpPr/>
                              <wpg:grpSpPr>
                                <a:xfrm>
                                  <a:off x="2513" y="364007"/>
                                  <a:ext cx="8051" cy="320"/>
                                  <a:chOff x="0" y="0"/>
                                  <a:chExt cx="8293" cy="344"/>
                                </a:xfrm>
                              </wpg:grpSpPr>
                              <wps:wsp>
                                <wps:cNvPr id="54" name="Rectangle 76"/>
                                <wps:cNvSpPr/>
                                <wps:spPr>
                                  <a:xfrm>
                                    <a:off x="7213" y="0"/>
                                    <a:ext cx="1080" cy="328"/>
                                  </a:xfrm>
                                  <a:prstGeom prst="rect">
                                    <a:avLst/>
                                  </a:prstGeom>
                                  <a:noFill/>
                                  <a:ln w="9525" cap="flat" cmpd="sng">
                                    <a:solidFill>
                                      <a:srgbClr val="000000"/>
                                    </a:solidFill>
                                    <a:prstDash val="solid"/>
                                    <a:miter/>
                                    <a:headEnd type="none" w="med" len="med"/>
                                    <a:tailEnd type="none" w="med" len="med"/>
                                  </a:ln>
                                </wps:spPr>
                                <wps:txbx>
                                  <w:txbxContent>
                                    <w:p w14:paraId="07388BFA">
                                      <w:pPr>
                                        <w:ind w:firstLine="105" w:firstLineChars="50"/>
                                        <w:rPr>
                                          <w:rFonts w:hint="eastAsia"/>
                                        </w:rPr>
                                      </w:pPr>
                                      <w:r>
                                        <w:rPr>
                                          <w:rFonts w:hint="eastAsia"/>
                                        </w:rPr>
                                        <w:t>投入使用</w:t>
                                      </w:r>
                                    </w:p>
                                  </w:txbxContent>
                                </wps:txbx>
                                <wps:bodyPr vert="horz" wrap="square" lIns="0" tIns="0" rIns="0" bIns="0" anchor="t" anchorCtr="0" upright="1"/>
                              </wps:wsp>
                              <wps:wsp>
                                <wps:cNvPr id="55" name="Line 78"/>
                                <wps:cNvCnPr/>
                                <wps:spPr>
                                  <a:xfrm>
                                    <a:off x="6853" y="165"/>
                                    <a:ext cx="360" cy="1"/>
                                  </a:xfrm>
                                  <a:prstGeom prst="line">
                                    <a:avLst/>
                                  </a:prstGeom>
                                  <a:ln w="9525" cap="flat" cmpd="sng">
                                    <a:solidFill>
                                      <a:srgbClr val="000000"/>
                                    </a:solidFill>
                                    <a:prstDash val="solid"/>
                                    <a:headEnd type="none" w="med" len="med"/>
                                    <a:tailEnd type="triangle" w="med" len="med"/>
                                  </a:ln>
                                </wps:spPr>
                                <wps:bodyPr upright="1"/>
                              </wps:wsp>
                              <wps:wsp>
                                <wps:cNvPr id="56" name="Rectangle 57"/>
                                <wps:cNvSpPr/>
                                <wps:spPr>
                                  <a:xfrm>
                                    <a:off x="0" y="16"/>
                                    <a:ext cx="1080" cy="328"/>
                                  </a:xfrm>
                                  <a:prstGeom prst="rect">
                                    <a:avLst/>
                                  </a:prstGeom>
                                  <a:noFill/>
                                  <a:ln w="9525" cap="flat" cmpd="sng">
                                    <a:solidFill>
                                      <a:srgbClr val="000000"/>
                                    </a:solidFill>
                                    <a:prstDash val="solid"/>
                                    <a:miter/>
                                    <a:headEnd type="none" w="med" len="med"/>
                                    <a:tailEnd type="none" w="med" len="med"/>
                                  </a:ln>
                                </wps:spPr>
                                <wps:txbx>
                                  <w:txbxContent>
                                    <w:p w14:paraId="7740908E">
                                      <w:pPr>
                                        <w:ind w:firstLine="105" w:firstLineChars="50"/>
                                        <w:rPr>
                                          <w:rFonts w:hint="eastAsia"/>
                                        </w:rPr>
                                      </w:pPr>
                                      <w:r>
                                        <w:rPr>
                                          <w:rFonts w:hint="eastAsia"/>
                                        </w:rPr>
                                        <w:t>基础工程</w:t>
                                      </w:r>
                                    </w:p>
                                  </w:txbxContent>
                                </wps:txbx>
                                <wps:bodyPr vert="horz" wrap="square" lIns="0" tIns="0" rIns="0" bIns="0" anchor="t" anchorCtr="0" upright="1"/>
                              </wps:wsp>
                              <wps:wsp>
                                <wps:cNvPr id="57" name="Rectangle 61"/>
                                <wps:cNvSpPr/>
                                <wps:spPr>
                                  <a:xfrm>
                                    <a:off x="1440" y="16"/>
                                    <a:ext cx="1080" cy="328"/>
                                  </a:xfrm>
                                  <a:prstGeom prst="rect">
                                    <a:avLst/>
                                  </a:prstGeom>
                                  <a:noFill/>
                                  <a:ln w="9525" cap="flat" cmpd="sng">
                                    <a:solidFill>
                                      <a:srgbClr val="000000"/>
                                    </a:solidFill>
                                    <a:prstDash val="solid"/>
                                    <a:miter/>
                                    <a:headEnd type="none" w="med" len="med"/>
                                    <a:tailEnd type="none" w="med" len="med"/>
                                  </a:ln>
                                </wps:spPr>
                                <wps:txbx>
                                  <w:txbxContent>
                                    <w:p w14:paraId="6E3EC985">
                                      <w:pPr>
                                        <w:ind w:firstLine="105" w:firstLineChars="50"/>
                                        <w:rPr>
                                          <w:rFonts w:hint="eastAsia"/>
                                        </w:rPr>
                                      </w:pPr>
                                      <w:r>
                                        <w:rPr>
                                          <w:rFonts w:hint="eastAsia"/>
                                        </w:rPr>
                                        <w:t>主体工程</w:t>
                                      </w:r>
                                    </w:p>
                                  </w:txbxContent>
                                </wps:txbx>
                                <wps:bodyPr vert="horz" wrap="square" lIns="0" tIns="0" rIns="0" bIns="0" anchor="t" anchorCtr="0" upright="1"/>
                              </wps:wsp>
                              <wps:wsp>
                                <wps:cNvPr id="58" name="Line 62"/>
                                <wps:cNvCnPr/>
                                <wps:spPr>
                                  <a:xfrm>
                                    <a:off x="1080" y="180"/>
                                    <a:ext cx="360" cy="1"/>
                                  </a:xfrm>
                                  <a:prstGeom prst="line">
                                    <a:avLst/>
                                  </a:prstGeom>
                                  <a:ln w="9525" cap="flat" cmpd="sng">
                                    <a:solidFill>
                                      <a:srgbClr val="000000"/>
                                    </a:solidFill>
                                    <a:prstDash val="solid"/>
                                    <a:headEnd type="none" w="med" len="med"/>
                                    <a:tailEnd type="triangle" w="med" len="med"/>
                                  </a:ln>
                                </wps:spPr>
                                <wps:bodyPr upright="1"/>
                              </wps:wsp>
                              <wps:wsp>
                                <wps:cNvPr id="59" name="Rectangle 63"/>
                                <wps:cNvSpPr/>
                                <wps:spPr>
                                  <a:xfrm>
                                    <a:off x="2880" y="16"/>
                                    <a:ext cx="1080" cy="328"/>
                                  </a:xfrm>
                                  <a:prstGeom prst="rect">
                                    <a:avLst/>
                                  </a:prstGeom>
                                  <a:noFill/>
                                  <a:ln w="9525" cap="flat" cmpd="sng">
                                    <a:solidFill>
                                      <a:srgbClr val="000000"/>
                                    </a:solidFill>
                                    <a:prstDash val="solid"/>
                                    <a:miter/>
                                    <a:headEnd type="none" w="med" len="med"/>
                                    <a:tailEnd type="none" w="med" len="med"/>
                                  </a:ln>
                                </wps:spPr>
                                <wps:txbx>
                                  <w:txbxContent>
                                    <w:p w14:paraId="382B012E">
                                      <w:pPr>
                                        <w:ind w:firstLine="105" w:firstLineChars="50"/>
                                        <w:rPr>
                                          <w:rFonts w:hint="eastAsia"/>
                                        </w:rPr>
                                      </w:pPr>
                                      <w:r>
                                        <w:rPr>
                                          <w:rFonts w:hint="eastAsia"/>
                                        </w:rPr>
                                        <w:t>装饰工程</w:t>
                                      </w:r>
                                    </w:p>
                                  </w:txbxContent>
                                </wps:txbx>
                                <wps:bodyPr vert="horz" wrap="square" lIns="0" tIns="0" rIns="0" bIns="0" anchor="t" anchorCtr="0" upright="1"/>
                              </wps:wsp>
                              <wps:wsp>
                                <wps:cNvPr id="60" name="Line 64"/>
                                <wps:cNvCnPr/>
                                <wps:spPr>
                                  <a:xfrm>
                                    <a:off x="2520" y="180"/>
                                    <a:ext cx="360" cy="1"/>
                                  </a:xfrm>
                                  <a:prstGeom prst="line">
                                    <a:avLst/>
                                  </a:prstGeom>
                                  <a:ln w="9525" cap="flat" cmpd="sng">
                                    <a:solidFill>
                                      <a:srgbClr val="000000"/>
                                    </a:solidFill>
                                    <a:prstDash val="solid"/>
                                    <a:headEnd type="none" w="med" len="med"/>
                                    <a:tailEnd type="triangle" w="med" len="med"/>
                                  </a:ln>
                                </wps:spPr>
                                <wps:bodyPr upright="1"/>
                              </wps:wsp>
                              <wps:wsp>
                                <wps:cNvPr id="61" name="Rectangle 65"/>
                                <wps:cNvSpPr/>
                                <wps:spPr>
                                  <a:xfrm>
                                    <a:off x="4320" y="16"/>
                                    <a:ext cx="1080" cy="328"/>
                                  </a:xfrm>
                                  <a:prstGeom prst="rect">
                                    <a:avLst/>
                                  </a:prstGeom>
                                  <a:noFill/>
                                  <a:ln w="9525" cap="flat" cmpd="sng">
                                    <a:solidFill>
                                      <a:srgbClr val="000000"/>
                                    </a:solidFill>
                                    <a:prstDash val="solid"/>
                                    <a:miter/>
                                    <a:headEnd type="none" w="med" len="med"/>
                                    <a:tailEnd type="none" w="med" len="med"/>
                                  </a:ln>
                                </wps:spPr>
                                <wps:txbx>
                                  <w:txbxContent>
                                    <w:p w14:paraId="426BEA42">
                                      <w:pPr>
                                        <w:ind w:firstLine="105" w:firstLineChars="50"/>
                                        <w:rPr>
                                          <w:rFonts w:hint="eastAsia"/>
                                        </w:rPr>
                                      </w:pPr>
                                      <w:r>
                                        <w:rPr>
                                          <w:rFonts w:hint="eastAsia"/>
                                        </w:rPr>
                                        <w:t>设备安装</w:t>
                                      </w:r>
                                    </w:p>
                                  </w:txbxContent>
                                </wps:txbx>
                                <wps:bodyPr vert="horz" wrap="square" lIns="0" tIns="0" rIns="0" bIns="0" anchor="t" anchorCtr="0" upright="1"/>
                              </wps:wsp>
                              <wps:wsp>
                                <wps:cNvPr id="62" name="Line 66"/>
                                <wps:cNvCnPr/>
                                <wps:spPr>
                                  <a:xfrm>
                                    <a:off x="3960" y="180"/>
                                    <a:ext cx="360" cy="1"/>
                                  </a:xfrm>
                                  <a:prstGeom prst="line">
                                    <a:avLst/>
                                  </a:prstGeom>
                                  <a:ln w="9525" cap="flat" cmpd="sng">
                                    <a:solidFill>
                                      <a:srgbClr val="000000"/>
                                    </a:solidFill>
                                    <a:prstDash val="solid"/>
                                    <a:headEnd type="none" w="med" len="med"/>
                                    <a:tailEnd type="triangle" w="med" len="med"/>
                                  </a:ln>
                                </wps:spPr>
                                <wps:bodyPr upright="1"/>
                              </wps:wsp>
                              <wps:wsp>
                                <wps:cNvPr id="63" name="Rectangle 67"/>
                                <wps:cNvSpPr/>
                                <wps:spPr>
                                  <a:xfrm>
                                    <a:off x="5760" y="16"/>
                                    <a:ext cx="1080" cy="328"/>
                                  </a:xfrm>
                                  <a:prstGeom prst="rect">
                                    <a:avLst/>
                                  </a:prstGeom>
                                  <a:noFill/>
                                  <a:ln w="9525" cap="flat" cmpd="sng">
                                    <a:solidFill>
                                      <a:srgbClr val="000000"/>
                                    </a:solidFill>
                                    <a:prstDash val="solid"/>
                                    <a:miter/>
                                    <a:headEnd type="none" w="med" len="med"/>
                                    <a:tailEnd type="none" w="med" len="med"/>
                                  </a:ln>
                                </wps:spPr>
                                <wps:txbx>
                                  <w:txbxContent>
                                    <w:p w14:paraId="5C038C13">
                                      <w:pPr>
                                        <w:ind w:firstLine="105" w:firstLineChars="50"/>
                                        <w:rPr>
                                          <w:rFonts w:hint="eastAsia"/>
                                        </w:rPr>
                                      </w:pPr>
                                      <w:r>
                                        <w:rPr>
                                          <w:rFonts w:hint="eastAsia"/>
                                        </w:rPr>
                                        <w:t>工程验收</w:t>
                                      </w:r>
                                    </w:p>
                                  </w:txbxContent>
                                </wps:txbx>
                                <wps:bodyPr vert="horz" wrap="square" lIns="0" tIns="0" rIns="0" bIns="0" anchor="t" anchorCtr="0" upright="1"/>
                              </wps:wsp>
                              <wps:wsp>
                                <wps:cNvPr id="64" name="Line 69"/>
                                <wps:cNvCnPr/>
                                <wps:spPr>
                                  <a:xfrm>
                                    <a:off x="5400" y="180"/>
                                    <a:ext cx="360" cy="1"/>
                                  </a:xfrm>
                                  <a:prstGeom prst="line">
                                    <a:avLst/>
                                  </a:prstGeom>
                                  <a:ln w="9525" cap="flat" cmpd="sng">
                                    <a:solidFill>
                                      <a:srgbClr val="000000"/>
                                    </a:solidFill>
                                    <a:prstDash val="solid"/>
                                    <a:headEnd type="none" w="med" len="med"/>
                                    <a:tailEnd type="triangle" w="med" len="med"/>
                                  </a:ln>
                                </wps:spPr>
                                <wps:bodyPr upright="1"/>
                              </wps:wsp>
                            </wpg:grpSp>
                            <wpg:grpSp>
                              <wpg:cNvPr id="78" name="组合 33"/>
                              <wpg:cNvGrpSpPr/>
                              <wpg:grpSpPr>
                                <a:xfrm>
                                  <a:off x="2431" y="364442"/>
                                  <a:ext cx="8533" cy="1213"/>
                                  <a:chOff x="0" y="0"/>
                                  <a:chExt cx="8789" cy="1306"/>
                                </a:xfrm>
                              </wpg:grpSpPr>
                              <wps:wsp>
                                <wps:cNvPr id="66" name="Rectangle 70"/>
                                <wps:cNvSpPr/>
                                <wps:spPr>
                                  <a:xfrm>
                                    <a:off x="6699" y="341"/>
                                    <a:ext cx="2090" cy="304"/>
                                  </a:xfrm>
                                  <a:prstGeom prst="rect">
                                    <a:avLst/>
                                  </a:prstGeom>
                                  <a:noFill/>
                                  <a:ln>
                                    <a:noFill/>
                                  </a:ln>
                                </wps:spPr>
                                <wps:txbx>
                                  <w:txbxContent>
                                    <w:p w14:paraId="7AAD735D">
                                      <w:pPr>
                                        <w:ind w:firstLine="105" w:firstLineChars="50"/>
                                        <w:rPr>
                                          <w:rFonts w:hint="eastAsia"/>
                                        </w:rPr>
                                      </w:pPr>
                                    </w:p>
                                  </w:txbxContent>
                                </wps:txbx>
                                <wps:bodyPr vert="horz" wrap="square" lIns="0" tIns="0" rIns="0" bIns="0" anchor="t" anchorCtr="0" upright="1"/>
                              </wps:wsp>
                              <wpg:grpSp>
                                <wpg:cNvPr id="77" name="组合 35"/>
                                <wpg:cNvGrpSpPr/>
                                <wpg:grpSpPr>
                                  <a:xfrm>
                                    <a:off x="0" y="0"/>
                                    <a:ext cx="8654" cy="1306"/>
                                    <a:chOff x="0" y="0"/>
                                    <a:chExt cx="8654" cy="1306"/>
                                  </a:xfrm>
                                </wpg:grpSpPr>
                                <wps:wsp>
                                  <wps:cNvPr id="67" name="Line 60"/>
                                  <wps:cNvCnPr/>
                                  <wps:spPr>
                                    <a:xfrm flipV="1">
                                      <a:off x="3604" y="0"/>
                                      <a:ext cx="1" cy="302"/>
                                    </a:xfrm>
                                    <a:prstGeom prst="line">
                                      <a:avLst/>
                                    </a:prstGeom>
                                    <a:ln w="9525" cap="flat" cmpd="sng">
                                      <a:solidFill>
                                        <a:srgbClr val="000000"/>
                                      </a:solidFill>
                                      <a:prstDash val="dash"/>
                                      <a:headEnd type="triangle" w="med" len="med"/>
                                      <a:tailEnd type="none" w="med" len="med"/>
                                    </a:ln>
                                  </wps:spPr>
                                  <wps:bodyPr upright="1"/>
                                </wps:wsp>
                                <wpg:grpSp>
                                  <wpg:cNvPr id="76" name="组合 37"/>
                                  <wpg:cNvGrpSpPr/>
                                  <wpg:grpSpPr>
                                    <a:xfrm>
                                      <a:off x="0" y="528"/>
                                      <a:ext cx="8655" cy="779"/>
                                      <a:chOff x="0" y="0"/>
                                      <a:chExt cx="8655" cy="779"/>
                                    </a:xfrm>
                                  </wpg:grpSpPr>
                                  <wps:wsp>
                                    <wps:cNvPr id="68" name="Rectangle 80"/>
                                    <wps:cNvSpPr/>
                                    <wps:spPr>
                                      <a:xfrm>
                                        <a:off x="7275" y="287"/>
                                        <a:ext cx="1380" cy="493"/>
                                      </a:xfrm>
                                      <a:prstGeom prst="rect">
                                        <a:avLst/>
                                      </a:prstGeom>
                                      <a:noFill/>
                                      <a:ln>
                                        <a:noFill/>
                                      </a:ln>
                                    </wps:spPr>
                                    <wps:txbx>
                                      <w:txbxContent>
                                        <w:p w14:paraId="52230CE0">
                                          <w:pPr>
                                            <w:rPr>
                                              <w:rFonts w:hint="eastAsia"/>
                                            </w:rPr>
                                          </w:pPr>
                                          <w:r>
                                            <w:rPr>
                                              <w:rFonts w:hint="eastAsia"/>
                                            </w:rPr>
                                            <w:t>运营期</w:t>
                                          </w:r>
                                        </w:p>
                                      </w:txbxContent>
                                    </wps:txbx>
                                    <wps:bodyPr vert="horz" wrap="square" anchor="t" anchorCtr="0" upright="1"/>
                                  </wps:wsp>
                                  <wps:wsp>
                                    <wps:cNvPr id="69" name="Rectangle 81"/>
                                    <wps:cNvSpPr/>
                                    <wps:spPr>
                                      <a:xfrm>
                                        <a:off x="2885" y="246"/>
                                        <a:ext cx="1680" cy="493"/>
                                      </a:xfrm>
                                      <a:prstGeom prst="rect">
                                        <a:avLst/>
                                      </a:prstGeom>
                                      <a:noFill/>
                                      <a:ln>
                                        <a:noFill/>
                                      </a:ln>
                                    </wps:spPr>
                                    <wps:txbx>
                                      <w:txbxContent>
                                        <w:p w14:paraId="5689E8FA">
                                          <w:pPr>
                                            <w:ind w:firstLine="210" w:firstLineChars="100"/>
                                            <w:rPr>
                                              <w:rFonts w:hint="eastAsia"/>
                                            </w:rPr>
                                          </w:pPr>
                                          <w:r>
                                            <w:rPr>
                                              <w:rFonts w:hint="eastAsia"/>
                                            </w:rPr>
                                            <w:t>施工期</w:t>
                                          </w:r>
                                        </w:p>
                                      </w:txbxContent>
                                    </wps:txbx>
                                    <wps:bodyPr vert="horz" wrap="square" anchor="t" anchorCtr="0" upright="1"/>
                                  </wps:wsp>
                                  <wpg:grpSp>
                                    <wpg:cNvPr id="75" name="组合 40"/>
                                    <wpg:cNvGrpSpPr/>
                                    <wpg:grpSpPr>
                                      <a:xfrm>
                                        <a:off x="0" y="0"/>
                                        <a:ext cx="8480" cy="631"/>
                                        <a:chOff x="0" y="0"/>
                                        <a:chExt cx="8480" cy="631"/>
                                      </a:xfrm>
                                    </wpg:grpSpPr>
                                    <wps:wsp>
                                      <wps:cNvPr id="70" name="Line 71"/>
                                      <wps:cNvCnPr/>
                                      <wps:spPr>
                                        <a:xfrm>
                                          <a:off x="7115" y="53"/>
                                          <a:ext cx="1" cy="550"/>
                                        </a:xfrm>
                                        <a:prstGeom prst="line">
                                          <a:avLst/>
                                        </a:prstGeom>
                                        <a:ln w="6350" cap="flat" cmpd="sng">
                                          <a:solidFill>
                                            <a:srgbClr val="000000"/>
                                          </a:solidFill>
                                          <a:prstDash val="solid"/>
                                          <a:headEnd type="none" w="med" len="med"/>
                                          <a:tailEnd type="none" w="med" len="med"/>
                                        </a:ln>
                                      </wps:spPr>
                                      <wps:bodyPr upright="1"/>
                                    </wps:wsp>
                                    <wps:wsp>
                                      <wps:cNvPr id="71" name="Line 73"/>
                                      <wps:cNvCnPr/>
                                      <wps:spPr>
                                        <a:xfrm>
                                          <a:off x="8480" y="81"/>
                                          <a:ext cx="1" cy="550"/>
                                        </a:xfrm>
                                        <a:prstGeom prst="line">
                                          <a:avLst/>
                                        </a:prstGeom>
                                        <a:ln w="6350" cap="flat" cmpd="sng">
                                          <a:solidFill>
                                            <a:srgbClr val="000000"/>
                                          </a:solidFill>
                                          <a:prstDash val="solid"/>
                                          <a:headEnd type="none" w="med" len="med"/>
                                          <a:tailEnd type="none" w="med" len="med"/>
                                        </a:ln>
                                      </wps:spPr>
                                      <wps:bodyPr upright="1"/>
                                    </wps:wsp>
                                    <wps:wsp>
                                      <wps:cNvPr id="72" name="Line 72"/>
                                      <wps:cNvCnPr/>
                                      <wps:spPr>
                                        <a:xfrm>
                                          <a:off x="0" y="0"/>
                                          <a:ext cx="1" cy="550"/>
                                        </a:xfrm>
                                        <a:prstGeom prst="line">
                                          <a:avLst/>
                                        </a:prstGeom>
                                        <a:ln w="6350" cap="flat" cmpd="sng">
                                          <a:solidFill>
                                            <a:srgbClr val="000000"/>
                                          </a:solidFill>
                                          <a:prstDash val="solid"/>
                                          <a:headEnd type="none" w="med" len="med"/>
                                          <a:tailEnd type="none" w="med" len="med"/>
                                        </a:ln>
                                      </wps:spPr>
                                      <wps:bodyPr upright="1"/>
                                    </wps:wsp>
                                    <wps:wsp>
                                      <wps:cNvPr id="73" name="双箭头 160"/>
                                      <wps:cNvCnPr/>
                                      <wps:spPr>
                                        <a:xfrm flipV="1">
                                          <a:off x="32" y="249"/>
                                          <a:ext cx="7102" cy="1"/>
                                        </a:xfrm>
                                        <a:prstGeom prst="line">
                                          <a:avLst/>
                                        </a:prstGeom>
                                        <a:ln w="6350" cap="flat" cmpd="sng">
                                          <a:solidFill>
                                            <a:srgbClr val="000000"/>
                                          </a:solidFill>
                                          <a:prstDash val="solid"/>
                                          <a:headEnd type="triangle" w="med" len="med"/>
                                          <a:tailEnd type="triangle" w="med" len="med"/>
                                        </a:ln>
                                      </wps:spPr>
                                      <wps:bodyPr upright="1"/>
                                    </wps:wsp>
                                    <wps:wsp>
                                      <wps:cNvPr id="74" name="双箭头 160"/>
                                      <wps:cNvCnPr/>
                                      <wps:spPr>
                                        <a:xfrm>
                                          <a:off x="7126" y="251"/>
                                          <a:ext cx="1352" cy="3"/>
                                        </a:xfrm>
                                        <a:prstGeom prst="line">
                                          <a:avLst/>
                                        </a:prstGeom>
                                        <a:ln w="6350" cap="flat" cmpd="sng">
                                          <a:solidFill>
                                            <a:srgbClr val="000000"/>
                                          </a:solidFill>
                                          <a:prstDash val="solid"/>
                                          <a:headEnd type="triangle" w="med" len="med"/>
                                          <a:tailEnd type="triangle" w="med" len="med"/>
                                        </a:ln>
                                      </wps:spPr>
                                      <wps:bodyPr upright="1"/>
                                    </wps:wsp>
                                  </wpg:grpSp>
                                </wpg:grpSp>
                              </wpg:grpSp>
                            </wpg:grpSp>
                          </wpg:wgp>
                        </a:graphicData>
                      </a:graphic>
                    </wp:anchor>
                  </w:drawing>
                </mc:Choice>
                <mc:Fallback>
                  <w:pict>
                    <v:group id="组合 95" o:spid="_x0000_s1026" o:spt="203" style="position:absolute;left:0pt;margin-left:-5.05pt;margin-top:4.95pt;height:133.25pt;width:426.6pt;z-index:251668480;mso-width-relative:page;mso-height-relative:page;" coordorigin="2431,362989" coordsize="8532,2665" o:gfxdata="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">
                      <o:lock v:ext="edit" aspectratio="f"/>
                      <v:line id="Line 50" o:spid="_x0000_s1026" o:spt="20" style="position:absolute;left:7220;top:363429;flip:x y;height:457;width:10;" filled="f" stroked="t" coordsize="21600,21600" o:gfxdata="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cTl28AAAA&#10;2wAAAA8AAAAAAAAAAQAgAAAAIgAAAGRycy9kb3ducmV2LnhtbFBLAQIUABQAAAAIAIdO4kAzLwWe&#10;OwAAADkAAAAQAAAAAAAAAAEAIAAAAAsBAABkcnMvc2hhcGV4bWwueG1sUEsFBgAAAAAGAAYAWwEA&#10;ALUDAAAAAA==&#10;">
                        <v:fill on="f" focussize="0,0"/>
                        <v:stroke color="#000000" joinstyle="round" dashstyle="dash" endarrow="block"/>
                        <v:imagedata o:title=""/>
                        <o:lock v:ext="edit" aspectratio="f"/>
                      </v:line>
                      <v:line id="Line 77" o:spid="_x0000_s1026" o:spt="20" style="position:absolute;left:5850;top:363659;flip:y;height:358;width:8;" filled="f" stroked="t" coordsize="21600,21600" o:gfxdata="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2HnJDugAAANsA&#10;AAAPAAAAAAAAAAEAIAAAACIAAABkcnMvZG93bnJldi54bWxQSwECFAAUAAAACACHTuJAMy8FnjsA&#10;AAA5AAAAEAAAAAAAAAABACAAAAAJAQAAZHJzL3NoYXBleG1sLnhtbFBLBQYAAAAABgAGAFsBAACz&#10;AwAAAAA=&#10;">
                        <v:fill on="f" focussize="0,0"/>
                        <v:stroke color="#000000" joinstyle="round" dashstyle="dash" endarrow="block"/>
                        <v:imagedata o:title=""/>
                        <o:lock v:ext="edit" aspectratio="f"/>
                      </v:line>
                      <v:rect id="Rectangle 53" o:spid="_x0000_s1026" o:spt="1" style="position:absolute;left:6386;top:363003;height:458;width:1631;" filled="f" stroked="f" coordsize="21600,21600" o:gfxdata="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qHC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4A590BE4">
                              <w:pPr>
                                <w:ind w:firstLine="210" w:firstLineChars="100"/>
                                <w:rPr>
                                  <w:rFonts w:hint="eastAsia"/>
                                </w:rPr>
                              </w:pPr>
                              <w:r>
                                <w:rPr>
                                  <w:rFonts w:hint="eastAsia"/>
                                </w:rPr>
                                <w:t>噪声、固废</w:t>
                              </w:r>
                            </w:p>
                          </w:txbxContent>
                        </v:textbox>
                      </v:rect>
                      <v:rect id="Rectangle 54" o:spid="_x0000_s1026" o:spt="1" style="position:absolute;left:3630;top:362989;height:412;width:1631;" filled="f" stroked="f" coordsize="21600,21600" o:gfxdata="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rYikL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712B220A">
                              <w:pPr>
                                <w:ind w:firstLine="210" w:firstLineChars="100"/>
                                <w:rPr>
                                  <w:rFonts w:hint="eastAsia"/>
                                </w:rPr>
                              </w:pPr>
                              <w:r>
                                <w:rPr>
                                  <w:rFonts w:hint="eastAsia"/>
                                </w:rPr>
                                <w:t>噪声、扬尘</w:t>
                              </w:r>
                            </w:p>
                          </w:txbxContent>
                        </v:textbox>
                      </v:rect>
                      <v:line id="Line 58" o:spid="_x0000_s1026" o:spt="20" style="position:absolute;left:2964;top:363642;flip:y;height:399;width:6;" filled="f" stroked="t" coordsize="21600,21600" o:gfxdata="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B8LnzqtAAAANsAAAAPAAAA&#10;AAAAAAEAIAAAACIAAABkcnMvZG93bnJldi54bWxQSwECFAAUAAAACACHTuJAMy8FnjsAAAA5AAAA&#10;EAAAAAAAAAABACAAAAADAQAAZHJzL3NoYXBleG1sLnhtbFBLBQYAAAAABgAGAFsBAACtAwAAAAA=&#10;">
                        <v:fill on="f" focussize="0,0"/>
                        <v:stroke color="#000000" joinstyle="round" dashstyle="dash" endarrow="block"/>
                        <v:imagedata o:title=""/>
                        <o:lock v:ext="edit" aspectratio="f"/>
                      </v:line>
                      <v:line id="Line 59" o:spid="_x0000_s1026" o:spt="20" style="position:absolute;left:2946;top:363648;flip:y;height:6;width:2898;" filled="f" stroked="t" coordsize="21600,21600" o:gfxdata="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8FRAV7gAAADbAAAA&#10;DwAAAAAAAAABACAAAAAiAAAAZHJzL2Rvd25yZXYueG1sUEsBAhQAFAAAAAgAh07iQDMvBZ47AAAA&#10;OQAAABAAAAAAAAAAAQAgAAAABwEAAGRycy9zaGFwZXhtbC54bWxQSwUGAAAAAAYABgBbAQAAsQMA&#10;AAAA&#10;">
                        <v:fill on="f" focussize="0,0"/>
                        <v:stroke color="#000000" joinstyle="round" dashstyle="dash"/>
                        <v:imagedata o:title=""/>
                        <o:lock v:ext="edit" aspectratio="f"/>
                      </v:line>
                      <v:line id="Line 51" o:spid="_x0000_s1026" o:spt="20" style="position:absolute;left:4429;top:363326;flip:x y;height:553;width:5;" filled="f" stroked="t" coordsize="21600,21600" o:gfxdata="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i+3oO8AAAA&#10;2wAAAA8AAAAAAAAAAQAgAAAAIgAAAGRycy9kb3ducmV2LnhtbFBLAQIUABQAAAAIAIdO4kAzLwWe&#10;OwAAADkAAAAQAAAAAAAAAAEAIAAAAAsBAABkcnMvc2hhcGV4bWwueG1sUEsFBgAAAAAGAAYAWwEA&#10;ALUDAAAAAA==&#10;">
                        <v:fill on="f" focussize="0,0"/>
                        <v:stroke color="#000000" joinstyle="round" dashstyle="dash" endarrow="block"/>
                        <v:imagedata o:title=""/>
                        <o:lock v:ext="edit" aspectratio="f"/>
                      </v:line>
                      <v:rect id="Rectangle 68" o:spid="_x0000_s1026" o:spt="1" style="position:absolute;left:2437;top:363876;height:601;width:6879;" filled="f" stroked="t" coordsize="21600,21600" o:gfxdata="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mNFBLsAAADb&#10;AAAADwAAAAAAAAABACAAAAAiAAAAZHJzL2Rvd25yZXYueG1sUEsBAhQAFAAAAAgAh07iQDMvBZ47&#10;AAAAOQAAABAAAAAAAAAAAQAgAAAACgEAAGRycy9zaGFwZXhtbC54bWxQSwUGAAAAAAYABgBbAQAA&#10;tAMAAAAA&#10;">
                        <v:fill on="f" focussize="0,0"/>
                        <v:stroke weight="0.5pt" color="#000000" joinstyle="miter" dashstyle="dash"/>
                        <v:imagedata o:title=""/>
                        <o:lock v:ext="edit" aspectratio="f"/>
                      </v:rect>
                      <v:group id="组合 19" o:spid="_x0000_s1026" o:spt="203" style="position:absolute;left:2513;top:364007;height:320;width:8051;" coordsize="8293,344" o:gfxdata="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un9B8L0AAADbAAAADwAAAAAAAAABACAAAAAiAAAAZHJzL2Rvd25yZXYueG1s&#10;UEsBAhQAFAAAAAgAh07iQDMvBZ47AAAAOQAAABUAAAAAAAAAAQAgAAAADAEAAGRycy9ncm91cHNo&#10;YXBleG1sLnhtbFBLBQYAAAAABgAGAGABAADJAwAAAAA=&#10;">
                        <o:lock v:ext="edit" aspectratio="f"/>
                        <v:rect id="Rectangle 76" o:spid="_x0000_s1026" o:spt="1" style="position:absolute;left:7213;top:0;height:328;width:1080;" filled="f" stroked="t" coordsize="21600,21600" o:gfxdata="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et6y68AAAA&#10;2wAAAA8AAAAAAAAAAQAgAAAAIgAAAGRycy9kb3ducmV2LnhtbFBLAQIUABQAAAAIAIdO4kAzLwWe&#10;OwAAADkAAAAQAAAAAAAAAAEAIAAAAAsBAABkcnMvc2hhcGV4bWwueG1sUEsFBgAAAAAGAAYAWwEA&#10;ALUDAAAAAA==&#10;">
                          <v:fill on="f" focussize="0,0"/>
                          <v:stroke color="#000000" joinstyle="miter"/>
                          <v:imagedata o:title=""/>
                          <o:lock v:ext="edit" aspectratio="f"/>
                          <v:textbox inset="0mm,0mm,0mm,0mm">
                            <w:txbxContent>
                              <w:p w14:paraId="07388BFA">
                                <w:pPr>
                                  <w:ind w:firstLine="105" w:firstLineChars="50"/>
                                  <w:rPr>
                                    <w:rFonts w:hint="eastAsia"/>
                                  </w:rPr>
                                </w:pPr>
                                <w:r>
                                  <w:rPr>
                                    <w:rFonts w:hint="eastAsia"/>
                                  </w:rPr>
                                  <w:t>投入使用</w:t>
                                </w:r>
                              </w:p>
                            </w:txbxContent>
                          </v:textbox>
                        </v:rect>
                        <v:line id="Line 78" o:spid="_x0000_s1026" o:spt="20" style="position:absolute;left:6853;top:165;height:1;width:360;" filled="f" stroked="t" coordsize="21600,21600" o:gfxdata="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Tm8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57" o:spid="_x0000_s1026" o:spt="1" style="position:absolute;left:0;top:16;height:328;width:1080;" filled="f" stroked="t" coordsize="21600,21600" o:gfxdata="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DPQwrsAAADb&#10;AAAADwAAAAAAAAABACAAAAAiAAAAZHJzL2Rvd25yZXYueG1sUEsBAhQAFAAAAAgAh07iQDMvBZ47&#10;AAAAOQAAABAAAAAAAAAAAQAgAAAACgEAAGRycy9zaGFwZXhtbC54bWxQSwUGAAAAAAYABgBbAQAA&#10;tAMAAAAA&#10;">
                          <v:fill on="f" focussize="0,0"/>
                          <v:stroke color="#000000" joinstyle="miter"/>
                          <v:imagedata o:title=""/>
                          <o:lock v:ext="edit" aspectratio="f"/>
                          <v:textbox inset="0mm,0mm,0mm,0mm">
                            <w:txbxContent>
                              <w:p w14:paraId="7740908E">
                                <w:pPr>
                                  <w:ind w:firstLine="105" w:firstLineChars="50"/>
                                  <w:rPr>
                                    <w:rFonts w:hint="eastAsia"/>
                                  </w:rPr>
                                </w:pPr>
                                <w:r>
                                  <w:rPr>
                                    <w:rFonts w:hint="eastAsia"/>
                                  </w:rPr>
                                  <w:t>基础工程</w:t>
                                </w:r>
                              </w:p>
                            </w:txbxContent>
                          </v:textbox>
                        </v:rect>
                        <v:rect id="Rectangle 61" o:spid="_x0000_s1026" o:spt="1" style="position:absolute;left:1440;top:16;height:328;width:1080;" filled="f" stroked="t" coordsize="21600,21600" o:gfxdata="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391WbsAAADb&#10;AAAADwAAAAAAAAABACAAAAAiAAAAZHJzL2Rvd25yZXYueG1sUEsBAhQAFAAAAAgAh07iQDMvBZ47&#10;AAAAOQAAABAAAAAAAAAAAQAgAAAACgEAAGRycy9zaGFwZXhtbC54bWxQSwUGAAAAAAYABgBbAQAA&#10;tAMAAAAA&#10;">
                          <v:fill on="f" focussize="0,0"/>
                          <v:stroke color="#000000" joinstyle="miter"/>
                          <v:imagedata o:title=""/>
                          <o:lock v:ext="edit" aspectratio="f"/>
                          <v:textbox inset="0mm,0mm,0mm,0mm">
                            <w:txbxContent>
                              <w:p w14:paraId="6E3EC985">
                                <w:pPr>
                                  <w:ind w:firstLine="105" w:firstLineChars="50"/>
                                  <w:rPr>
                                    <w:rFonts w:hint="eastAsia"/>
                                  </w:rPr>
                                </w:pPr>
                                <w:r>
                                  <w:rPr>
                                    <w:rFonts w:hint="eastAsia"/>
                                  </w:rPr>
                                  <w:t>主体工程</w:t>
                                </w:r>
                              </w:p>
                            </w:txbxContent>
                          </v:textbox>
                        </v:rect>
                        <v:line id="Line 62" o:spid="_x0000_s1026" o:spt="20" style="position:absolute;left:1080;top:180;height:1;width:360;" filled="f" stroked="t" coordsize="21600,21600" o:gfxdata="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bVJbb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rect id="Rectangle 63" o:spid="_x0000_s1026" o:spt="1" style="position:absolute;left:2880;top:16;height:328;width:1080;" filled="f" stroked="t" coordsize="21600,21600" o:gfxdata="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msRLC8AAAA&#10;2wAAAA8AAAAAAAAAAQAgAAAAIgAAAGRycy9kb3ducmV2LnhtbFBLAQIUABQAAAAIAIdO4kAzLwWe&#10;OwAAADkAAAAQAAAAAAAAAAEAIAAAAAsBAABkcnMvc2hhcGV4bWwueG1sUEsFBgAAAAAGAAYAWwEA&#10;ALUDAAAAAA==&#10;">
                          <v:fill on="f" focussize="0,0"/>
                          <v:stroke color="#000000" joinstyle="miter"/>
                          <v:imagedata o:title=""/>
                          <o:lock v:ext="edit" aspectratio="f"/>
                          <v:textbox inset="0mm,0mm,0mm,0mm">
                            <w:txbxContent>
                              <w:p w14:paraId="382B012E">
                                <w:pPr>
                                  <w:ind w:firstLine="105" w:firstLineChars="50"/>
                                  <w:rPr>
                                    <w:rFonts w:hint="eastAsia"/>
                                  </w:rPr>
                                </w:pPr>
                                <w:r>
                                  <w:rPr>
                                    <w:rFonts w:hint="eastAsia"/>
                                  </w:rPr>
                                  <w:t>装饰工程</w:t>
                                </w:r>
                              </w:p>
                            </w:txbxContent>
                          </v:textbox>
                        </v:rect>
                        <v:line id="Line 64" o:spid="_x0000_s1026" o:spt="20" style="position:absolute;left:2520;top:180;height:1;width:360;" filled="f" stroked="t" coordsize="21600,21600" o:gfxdata="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a+P1r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rect id="Rectangle 65" o:spid="_x0000_s1026" o:spt="1" style="position:absolute;left:4320;top:16;height:328;width:1080;" filled="f" stroked="t" coordsize="21600,21600" o:gfxdata="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2ggu8AAAA&#10;2wAAAA8AAAAAAAAAAQAgAAAAIgAAAGRycy9kb3ducmV2LnhtbFBLAQIUABQAAAAIAIdO4kAzLwWe&#10;OwAAADkAAAAQAAAAAAAAAAEAIAAAAAsBAABkcnMvc2hhcGV4bWwueG1sUEsFBgAAAAAGAAYAWwEA&#10;ALUDAAAAAA==&#10;">
                          <v:fill on="f" focussize="0,0"/>
                          <v:stroke color="#000000" joinstyle="miter"/>
                          <v:imagedata o:title=""/>
                          <o:lock v:ext="edit" aspectratio="f"/>
                          <v:textbox inset="0mm,0mm,0mm,0mm">
                            <w:txbxContent>
                              <w:p w14:paraId="426BEA42">
                                <w:pPr>
                                  <w:ind w:firstLine="105" w:firstLineChars="50"/>
                                  <w:rPr>
                                    <w:rFonts w:hint="eastAsia"/>
                                  </w:rPr>
                                </w:pPr>
                                <w:r>
                                  <w:rPr>
                                    <w:rFonts w:hint="eastAsia"/>
                                  </w:rPr>
                                  <w:t>设备安装</w:t>
                                </w:r>
                              </w:p>
                            </w:txbxContent>
                          </v:textbox>
                        </v:rect>
                        <v:line id="Line 66" o:spid="_x0000_s1026" o:spt="20" style="position:absolute;left:3960;top:180;height:1;width:360;" filled="f" stroked="t" coordsize="21600,21600" o:gfxdata="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jG0O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7" o:spid="_x0000_s1026" o:spt="1" style="position:absolute;left:5760;top:16;height:328;width:1080;" filled="f" stroked="t" coordsize="21600,21600" o:gfxdata="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ii557sAAADb&#10;AAAADwAAAAAAAAABACAAAAAiAAAAZHJzL2Rvd25yZXYueG1sUEsBAhQAFAAAAAgAh07iQDMvBZ47&#10;AAAAOQAAABAAAAAAAAAAAQAgAAAACgEAAGRycy9zaGFwZXhtbC54bWxQSwUGAAAAAAYABgBbAQAA&#10;tAMAAAAA&#10;">
                          <v:fill on="f" focussize="0,0"/>
                          <v:stroke color="#000000" joinstyle="miter"/>
                          <v:imagedata o:title=""/>
                          <o:lock v:ext="edit" aspectratio="f"/>
                          <v:textbox inset="0mm,0mm,0mm,0mm">
                            <w:txbxContent>
                              <w:p w14:paraId="5C038C13">
                                <w:pPr>
                                  <w:ind w:firstLine="105" w:firstLineChars="50"/>
                                  <w:rPr>
                                    <w:rFonts w:hint="eastAsia"/>
                                  </w:rPr>
                                </w:pPr>
                                <w:r>
                                  <w:rPr>
                                    <w:rFonts w:hint="eastAsia"/>
                                  </w:rPr>
                                  <w:t>工程验收</w:t>
                                </w:r>
                              </w:p>
                            </w:txbxContent>
                          </v:textbox>
                        </v:rect>
                        <v:line id="Line 69" o:spid="_x0000_s1026" o:spt="20" style="position:absolute;left:5400;top:180;height:1;width:360;" filled="f" stroked="t" coordsize="21600,21600" o:gfxdata="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6UidW/&#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group>
                      <v:group id="组合 33" o:spid="_x0000_s1026" o:spt="203" style="position:absolute;left:2431;top:364442;height:1213;width:8533;" coordsize="8789,1306" o:gfxdata="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NGneLO7AAAA2wAAAA8AAAAAAAAAAQAgAAAAIgAAAGRycy9kb3ducmV2LnhtbFBL&#10;AQIUABQAAAAIAIdO4kAzLwWeOwAAADkAAAAVAAAAAAAAAAEAIAAAAAoBAABkcnMvZ3JvdXBzaGFw&#10;ZXhtbC54bWxQSwUGAAAAAAYABgBgAQAAxwMAAAAA&#10;">
                        <o:lock v:ext="edit" aspectratio="f"/>
                        <v:rect id="Rectangle 70" o:spid="_x0000_s1026" o:spt="1" style="position:absolute;left:6699;top:341;height:304;width:2090;" filled="f" stroked="f" coordsize="21600,21600" o:gfxdata="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Wzvn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AAD735D">
                                <w:pPr>
                                  <w:ind w:firstLine="105" w:firstLineChars="50"/>
                                  <w:rPr>
                                    <w:rFonts w:hint="eastAsia"/>
                                  </w:rPr>
                                </w:pPr>
                              </w:p>
                            </w:txbxContent>
                          </v:textbox>
                        </v:rect>
                        <v:group id="组合 35" o:spid="_x0000_s1026" o:spt="203" style="position:absolute;left:0;top:0;height:1306;width:8654;" coordsize="8654,1306" o:gfxdata="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oDjswb0AAADbAAAADwAAAAAAAAABACAAAAAiAAAAZHJzL2Rvd25yZXYueG1s&#10;UEsBAhQAFAAAAAgAh07iQDMvBZ47AAAAOQAAABUAAAAAAAAAAQAgAAAADAEAAGRycy9ncm91cHNo&#10;YXBleG1sLnhtbFBLBQYAAAAABgAGAGABAADJAwAAAAA=&#10;">
                          <o:lock v:ext="edit" aspectratio="f"/>
                          <v:line id="Line 60" o:spid="_x0000_s1026" o:spt="20" style="position:absolute;left:3604;top:0;flip:y;height:302;width:1;" filled="f" stroked="t" coordsize="21600,21600" o:gfxdata="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6HX7YvQAA&#10;ANsAAAAPAAAAAAAAAAEAIAAAACIAAABkcnMvZG93bnJldi54bWxQSwECFAAUAAAACACHTuJAMy8F&#10;njsAAAA5AAAAEAAAAAAAAAABACAAAAAMAQAAZHJzL3NoYXBleG1sLnhtbFBLBQYAAAAABgAGAFsB&#10;AAC2AwAAAAA=&#10;">
                            <v:fill on="f" focussize="0,0"/>
                            <v:stroke color="#000000" joinstyle="round" dashstyle="dash" startarrow="block"/>
                            <v:imagedata o:title=""/>
                            <o:lock v:ext="edit" aspectratio="f"/>
                          </v:line>
                          <v:group id="组合 37" o:spid="_x0000_s1026" o:spt="203" style="position:absolute;left:0;top:528;height:779;width:8655;" coordsize="8655,779" o:gfxdata="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PdElavwAAANsAAAAPAAAAAAAAAAEAIAAAACIAAABkcnMvZG93bnJldi54&#10;bWxQSwECFAAUAAAACACHTuJAMy8FnjsAAAA5AAAAFQAAAAAAAAABACAAAAAOAQAAZHJzL2dyb3Vw&#10;c2hhcGV4bWwueG1sUEsFBgAAAAAGAAYAYAEAAMsDAAAAAA==&#10;">
                            <o:lock v:ext="edit" aspectratio="f"/>
                            <v:rect id="Rectangle 80" o:spid="_x0000_s1026" o:spt="1" style="position:absolute;left:7275;top:287;height:493;width:1380;" filled="f" stroked="f" coordsize="21600,21600" o:gfxdata="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k/ba7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52230CE0">
                                    <w:pPr>
                                      <w:rPr>
                                        <w:rFonts w:hint="eastAsia"/>
                                      </w:rPr>
                                    </w:pPr>
                                    <w:r>
                                      <w:rPr>
                                        <w:rFonts w:hint="eastAsia"/>
                                      </w:rPr>
                                      <w:t>运营期</w:t>
                                    </w:r>
                                  </w:p>
                                </w:txbxContent>
                              </v:textbox>
                            </v:rect>
                            <v:rect id="Rectangle 81" o:spid="_x0000_s1026" o:spt="1" style="position:absolute;left:2885;top:246;height:493;width:1680;" filled="f" stroked="f" coordsize="21600,21600" o:gfxdata="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QN+8L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5689E8FA">
                                    <w:pPr>
                                      <w:ind w:firstLine="210" w:firstLineChars="100"/>
                                      <w:rPr>
                                        <w:rFonts w:hint="eastAsia"/>
                                      </w:rPr>
                                    </w:pPr>
                                    <w:r>
                                      <w:rPr>
                                        <w:rFonts w:hint="eastAsia"/>
                                      </w:rPr>
                                      <w:t>施工期</w:t>
                                    </w:r>
                                  </w:p>
                                </w:txbxContent>
                              </v:textbox>
                            </v:rect>
                            <v:group id="组合 40" o:spid="_x0000_s1026" o:spt="203" style="position:absolute;left:0;top:0;height:631;width:8480;" coordsize="8480,631" o:gfxdata="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P6bXLb0AAADbAAAADwAAAAAAAAABACAAAAAiAAAAZHJzL2Rvd25yZXYueG1s&#10;UEsBAhQAFAAAAAgAh07iQDMvBZ47AAAAOQAAABUAAAAAAAAAAQAgAAAADAEAAGRycy9ncm91cHNo&#10;YXBleG1sLnhtbFBLBQYAAAAABgAGAGABAADJAwAAAAA=&#10;">
                              <o:lock v:ext="edit" aspectratio="f"/>
                              <v:line id="Line 71" o:spid="_x0000_s1026" o:spt="20" style="position:absolute;left:7115;top:53;height:550;width:1;" filled="f" stroked="t" coordsize="21600,21600" o:gfxdata="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VEojO5AAAA2wAA&#10;AA8AAAAAAAAAAQAgAAAAIgAAAGRycy9kb3ducmV2LnhtbFBLAQIUABQAAAAIAIdO4kAzLwWeOwAA&#10;ADkAAAAQAAAAAAAAAAEAIAAAAAgBAABkcnMvc2hhcGV4bWwueG1sUEsFBgAAAAAGAAYAWwEAALID&#10;AAAAAA==&#10;">
                                <v:fill on="f" focussize="0,0"/>
                                <v:stroke weight="0.5pt" color="#000000" joinstyle="round"/>
                                <v:imagedata o:title=""/>
                                <o:lock v:ext="edit" aspectratio="f"/>
                              </v:line>
                              <v:line id="Line 73" o:spid="_x0000_s1026" o:spt="20" style="position:absolute;left:8480;top:81;height:550;width:1;" filled="f" stroked="t" coordsize="21600,21600" o:gfxdata="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aCAeougAAANs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line id="Line 72" o:spid="_x0000_s1026" o:spt="20" style="position:absolute;left:0;top:0;height:550;width:1;" filled="f" stroked="t" coordsize="21600,21600" o:gfxdata="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tqZ37sAAADb&#10;AAAADwAAAAAAAAABACAAAAAiAAAAZHJzL2Rvd25yZXYueG1sUEsBAhQAFAAAAAgAh07iQDMvBZ47&#10;AAAAOQAAABAAAAAAAAAAAQAgAAAACgEAAGRycy9zaGFwZXhtbC54bWxQSwUGAAAAAAYABgBbAQAA&#10;tAMAAAAA&#10;">
                                <v:fill on="f" focussize="0,0"/>
                                <v:stroke weight="0.5pt" color="#000000" joinstyle="round"/>
                                <v:imagedata o:title=""/>
                                <o:lock v:ext="edit" aspectratio="f"/>
                              </v:line>
                              <v:line id="双箭头 160" o:spid="_x0000_s1026" o:spt="20" style="position:absolute;left:32;top:249;flip:y;height:1;width:7102;" filled="f" stroked="t" coordsize="21600,21600" o:gfxdata="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Y1dSrsAAADb&#10;AAAADwAAAAAAAAABACAAAAAiAAAAZHJzL2Rvd25yZXYueG1sUEsBAhQAFAAAAAgAh07iQDMvBZ47&#10;AAAAOQAAABAAAAAAAAAAAQAgAAAACgEAAGRycy9zaGFwZXhtbC54bWxQSwUGAAAAAAYABgBbAQAA&#10;tAMAAAAA&#10;">
                                <v:fill on="f" focussize="0,0"/>
                                <v:stroke weight="0.5pt" color="#000000" joinstyle="round" startarrow="block" endarrow="block"/>
                                <v:imagedata o:title=""/>
                                <o:lock v:ext="edit" aspectratio="f"/>
                              </v:line>
                              <v:line id="双箭头 160" o:spid="_x0000_s1026" o:spt="20" style="position:absolute;left:7126;top:251;height:3;width:1352;" filled="f" stroked="t" coordsize="21600,21600" o:gfxdata="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ZYnn&#10;wAAAANsAAAAPAAAAAAAAAAEAIAAAACIAAABkcnMvZG93bnJldi54bWxQSwECFAAUAAAACACHTuJA&#10;My8FnjsAAAA5AAAAEAAAAAAAAAABACAAAAAPAQAAZHJzL3NoYXBleG1sLnhtbFBLBQYAAAAABgAG&#10;AFsBAAC5AwAAAAA=&#10;">
                                <v:fill on="f" focussize="0,0"/>
                                <v:stroke weight="0.5pt" color="#000000" joinstyle="round" startarrow="block" endarrow="block"/>
                                <v:imagedata o:title=""/>
                                <o:lock v:ext="edit" aspectratio="f"/>
                              </v:line>
                            </v:group>
                          </v:group>
                        </v:group>
                      </v:group>
                    </v:group>
                  </w:pict>
                </mc:Fallback>
              </mc:AlternateContent>
            </w:r>
            <w:r>
              <w:rPr>
                <w:rFonts w:hint="default" w:ascii="Times New Roman" w:hAnsi="Times New Roman" w:eastAsia="仿宋_GB2312" w:cs="Times New Roman"/>
                <w:color w:val="auto"/>
                <w:sz w:val="24"/>
                <w:szCs w:val="24"/>
              </w:rPr>
              <mc:AlternateContent>
                <mc:Choice Requires="wps">
                  <w:drawing>
                    <wp:anchor distT="0" distB="0" distL="114300" distR="114300" simplePos="0" relativeHeight="251660288" behindDoc="0" locked="0" layoutInCell="1" allowOverlap="1">
                      <wp:simplePos x="0" y="0"/>
                      <wp:positionH relativeFrom="column">
                        <wp:posOffset>4771390</wp:posOffset>
                      </wp:positionH>
                      <wp:positionV relativeFrom="paragraph">
                        <wp:posOffset>913130</wp:posOffset>
                      </wp:positionV>
                      <wp:extent cx="635" cy="177800"/>
                      <wp:effectExtent l="0" t="0" r="0" b="0"/>
                      <wp:wrapNone/>
                      <wp:docPr id="2" name="Line 52"/>
                      <wp:cNvGraphicFramePr/>
                      <a:graphic xmlns:a="http://schemas.openxmlformats.org/drawingml/2006/main">
                        <a:graphicData uri="http://schemas.microsoft.com/office/word/2010/wordprocessingShape">
                          <wps:wsp>
                            <wps:cNvCnPr/>
                            <wps:spPr>
                              <a:xfrm flipV="1">
                                <a:off x="0" y="0"/>
                                <a:ext cx="635" cy="177800"/>
                              </a:xfrm>
                              <a:prstGeom prst="line">
                                <a:avLst/>
                              </a:prstGeom>
                              <a:ln>
                                <a:noFill/>
                              </a:ln>
                            </wps:spPr>
                            <wps:bodyPr upright="1"/>
                          </wps:wsp>
                        </a:graphicData>
                      </a:graphic>
                    </wp:anchor>
                  </w:drawing>
                </mc:Choice>
                <mc:Fallback>
                  <w:pict>
                    <v:line id="Line 52" o:spid="_x0000_s1026" o:spt="20" style="position:absolute;left:0pt;flip:y;margin-left:375.7pt;margin-top:71.9pt;height:14pt;width:0.05pt;z-index:251660288;mso-width-relative:page;mso-height-relative:page;" filled="f" stroked="f" coordsize="21600,21600" o:gfxdata="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">
                      <v:fill on="f" focussize="0,0"/>
                      <v:stroke on="f"/>
                      <v:imagedata o:title=""/>
                      <o:lock v:ext="edit" aspectratio="f"/>
                    </v:line>
                  </w:pict>
                </mc:Fallback>
              </mc:AlternateContent>
            </w:r>
            <w:r>
              <w:rPr>
                <w:rFonts w:hint="default" w:ascii="Times New Roman" w:hAnsi="Times New Roman" w:eastAsia="仿宋_GB2312" w:cs="Times New Roman"/>
                <w:color w:val="auto"/>
                <w:sz w:val="24"/>
                <w:szCs w:val="24"/>
              </w:rPr>
              <mc:AlternateContent>
                <mc:Choice Requires="wps">
                  <w:drawing>
                    <wp:anchor distT="0" distB="0" distL="114300" distR="114300" simplePos="0" relativeHeight="251659264" behindDoc="0" locked="0" layoutInCell="1" allowOverlap="1">
                      <wp:simplePos x="0" y="0"/>
                      <wp:positionH relativeFrom="column">
                        <wp:posOffset>4727575</wp:posOffset>
                      </wp:positionH>
                      <wp:positionV relativeFrom="paragraph">
                        <wp:posOffset>330835</wp:posOffset>
                      </wp:positionV>
                      <wp:extent cx="6350" cy="325755"/>
                      <wp:effectExtent l="0" t="0" r="0" b="0"/>
                      <wp:wrapNone/>
                      <wp:docPr id="1" name="Line 75"/>
                      <wp:cNvGraphicFramePr/>
                      <a:graphic xmlns:a="http://schemas.openxmlformats.org/drawingml/2006/main">
                        <a:graphicData uri="http://schemas.microsoft.com/office/word/2010/wordprocessingShape">
                          <wps:wsp>
                            <wps:cNvCnPr/>
                            <wps:spPr>
                              <a:xfrm flipH="1" flipV="1">
                                <a:off x="0" y="0"/>
                                <a:ext cx="6350" cy="325755"/>
                              </a:xfrm>
                              <a:prstGeom prst="line">
                                <a:avLst/>
                              </a:prstGeom>
                              <a:ln>
                                <a:noFill/>
                              </a:ln>
                            </wps:spPr>
                            <wps:bodyPr upright="1"/>
                          </wps:wsp>
                        </a:graphicData>
                      </a:graphic>
                    </wp:anchor>
                  </w:drawing>
                </mc:Choice>
                <mc:Fallback>
                  <w:pict>
                    <v:line id="Line 75" o:spid="_x0000_s1026" o:spt="20" style="position:absolute;left:0pt;flip:x y;margin-left:372.25pt;margin-top:26.05pt;height:25.65pt;width:0.5pt;z-index:251659264;mso-width-relative:page;mso-height-relative:page;" filled="f" stroked="f" coordsize="21600,21600" o:gfxdata="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">
                      <v:fill on="f" focussize="0,0"/>
                      <v:stroke on="f"/>
                      <v:imagedata o:title=""/>
                      <o:lock v:ext="edit" aspectratio="f"/>
                    </v:line>
                  </w:pict>
                </mc:Fallback>
              </mc:AlternateContent>
            </w:r>
          </w:p>
          <w:p w14:paraId="5CFAB9BC">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p>
          <w:p w14:paraId="7ECF8966">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p>
          <w:p w14:paraId="6BE20D76">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p>
          <w:p w14:paraId="2E719C78">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630555</wp:posOffset>
                      </wp:positionH>
                      <wp:positionV relativeFrom="paragraph">
                        <wp:posOffset>71755</wp:posOffset>
                      </wp:positionV>
                      <wp:extent cx="3506470" cy="179070"/>
                      <wp:effectExtent l="0" t="0" r="0" b="0"/>
                      <wp:wrapNone/>
                      <wp:docPr id="3" name="Rectangle 74"/>
                      <wp:cNvGraphicFramePr/>
                      <a:graphic xmlns:a="http://schemas.openxmlformats.org/drawingml/2006/main">
                        <a:graphicData uri="http://schemas.microsoft.com/office/word/2010/wordprocessingShape">
                          <wps:wsp>
                            <wps:cNvSpPr/>
                            <wps:spPr>
                              <a:xfrm>
                                <a:off x="0" y="0"/>
                                <a:ext cx="3506470" cy="179070"/>
                              </a:xfrm>
                              <a:prstGeom prst="rect">
                                <a:avLst/>
                              </a:prstGeom>
                              <a:noFill/>
                              <a:ln>
                                <a:noFill/>
                              </a:ln>
                            </wps:spPr>
                            <wps:txbx>
                              <w:txbxContent>
                                <w:p w14:paraId="33E10CCA">
                                  <w:pPr>
                                    <w:ind w:firstLine="105" w:firstLineChars="50"/>
                                    <w:rPr>
                                      <w:rFonts w:hint="eastAsia"/>
                                    </w:rPr>
                                  </w:pPr>
                                  <w:r>
                                    <w:rPr>
                                      <w:rFonts w:hint="eastAsia"/>
                                    </w:rPr>
                                    <w:t>生活污水、建筑垃圾、生活垃圾</w:t>
                                  </w:r>
                                </w:p>
                              </w:txbxContent>
                            </wps:txbx>
                            <wps:bodyPr vert="horz" wrap="square" lIns="0" tIns="0" rIns="0" bIns="0" anchor="t" anchorCtr="0" upright="1"/>
                          </wps:wsp>
                        </a:graphicData>
                      </a:graphic>
                    </wp:anchor>
                  </w:drawing>
                </mc:Choice>
                <mc:Fallback>
                  <w:pict>
                    <v:rect id="Rectangle 74" o:spid="_x0000_s1026" o:spt="1" style="position:absolute;left:0pt;margin-left:49.65pt;margin-top:5.65pt;height:14.1pt;width:276.1pt;z-index:251661312;mso-width-relative:page;mso-height-relative:page;" filled="f" stroked="f" coordsize="21600,21600" o:gfxdata="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auMok2QAAAAgBAAAPAAAAAAAAAAEAIAAAACIAAABkcnMvZG93&#10;bnJldi54bWxQSwECFAAUAAAACACHTuJAdJi9I8YBAACcAwAADgAAAAAAAAABACAAAAAoAQAAZHJz&#10;L2Uyb0RvYy54bWxQSwUGAAAAAAYABgBZAQAAYAUAAAAA&#10;">
                      <v:fill on="f" focussize="0,0"/>
                      <v:stroke on="f"/>
                      <v:imagedata o:title=""/>
                      <o:lock v:ext="edit" aspectratio="f"/>
                      <v:textbox inset="0mm,0mm,0mm,0mm">
                        <w:txbxContent>
                          <w:p w14:paraId="33E10CCA">
                            <w:pPr>
                              <w:ind w:firstLine="105" w:firstLineChars="50"/>
                              <w:rPr>
                                <w:rFonts w:hint="eastAsia"/>
                              </w:rPr>
                            </w:pPr>
                            <w:r>
                              <w:rPr>
                                <w:rFonts w:hint="eastAsia"/>
                              </w:rPr>
                              <w:t>生活污水、建筑垃圾、生活垃圾</w:t>
                            </w:r>
                          </w:p>
                        </w:txbxContent>
                      </v:textbox>
                    </v:rect>
                  </w:pict>
                </mc:Fallback>
              </mc:AlternateContent>
            </w:r>
          </w:p>
          <w:p w14:paraId="45FA003E">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rPr>
            </w:pPr>
          </w:p>
          <w:p w14:paraId="63C5B59D">
            <w:pPr>
              <w:keepNext w:val="0"/>
              <w:keepLines w:val="0"/>
              <w:pageBreakBefore w:val="0"/>
              <w:widowControl w:val="0"/>
              <w:kinsoku/>
              <w:wordWrap/>
              <w:overflowPunct/>
              <w:topLinePunct w:val="0"/>
              <w:autoSpaceDE/>
              <w:autoSpaceDN/>
              <w:bidi w:val="0"/>
              <w:adjustRightInd/>
              <w:snapToGrid/>
              <w:spacing w:before="157" w:beforeLines="50"/>
              <w:ind w:firstLine="215" w:firstLineChars="0"/>
              <w:jc w:val="center"/>
              <w:textAlignment w:val="auto"/>
              <w:rPr>
                <w:rFonts w:hint="default" w:ascii="Times New Roman" w:hAnsi="Times New Roman" w:eastAsia="仿宋_GB2312" w:cs="Times New Roman"/>
                <w:bCs/>
                <w:color w:val="auto"/>
                <w:sz w:val="24"/>
                <w:szCs w:val="24"/>
              </w:rPr>
            </w:pPr>
            <w:r>
              <w:rPr>
                <w:rFonts w:hint="default" w:ascii="Times New Roman" w:hAnsi="Times New Roman" w:eastAsia="仿宋_GB2312" w:cs="Times New Roman"/>
                <w:b/>
                <w:bCs/>
                <w:color w:val="auto"/>
                <w:kern w:val="0"/>
                <w:sz w:val="24"/>
                <w:szCs w:val="24"/>
                <w:highlight w:val="none"/>
                <w:lang w:val="en-US" w:eastAsia="zh-CN" w:bidi="ar-SA"/>
              </w:rPr>
              <w:t>图2-2 施工期产污环节图</w:t>
            </w:r>
          </w:p>
          <w:p w14:paraId="7C21529C">
            <w:pPr>
              <w:autoSpaceDE w:val="0"/>
              <w:autoSpaceDN w:val="0"/>
              <w:adjustRightInd w:val="0"/>
              <w:spacing w:line="360" w:lineRule="auto"/>
              <w:ind w:firstLine="482" w:firstLineChars="200"/>
              <w:rPr>
                <w:rFonts w:hint="default" w:ascii="Times New Roman" w:hAnsi="Times New Roman" w:eastAsia="仿宋_GB2312" w:cs="Times New Roman"/>
                <w:b/>
                <w:bCs w:val="0"/>
                <w:color w:val="auto"/>
                <w:sz w:val="24"/>
                <w:szCs w:val="24"/>
                <w:lang w:val="en-US" w:eastAsia="zh-CN"/>
              </w:rPr>
            </w:pPr>
            <w:r>
              <w:rPr>
                <w:rFonts w:hint="default" w:ascii="Times New Roman" w:hAnsi="Times New Roman" w:eastAsia="仿宋_GB2312" w:cs="Times New Roman"/>
                <w:b/>
                <w:bCs w:val="0"/>
                <w:color w:val="auto"/>
                <w:sz w:val="24"/>
                <w:szCs w:val="24"/>
                <w:lang w:val="en-US" w:eastAsia="zh-CN"/>
              </w:rPr>
              <w:t>工艺流程简述：</w:t>
            </w:r>
          </w:p>
          <w:p w14:paraId="727A496E">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基础工程施工：主要包括土方（挖方、填方）、地基处理与基础施工。由于本项目含地下建筑面积，基础工程挖土方量会大于回填方量，因此在施工阶段会有弃土产生；推土机、挖掘机、装载机等施工机械运行时将产生噪声，同时产生扬尘。</w:t>
            </w:r>
          </w:p>
          <w:p w14:paraId="3B92FF54">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主体工程及附属工程施工：按照设计图进行施工。施工过程中将产生混凝土振捣棒、塔吊卷扬机等施工机械的运行噪声，挖土、堆料和运输过程中将产生扬尘。</w:t>
            </w:r>
          </w:p>
          <w:p w14:paraId="6F0DE49A">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装饰工程施工：在对建筑物的室内进行装修时，如墙面粉刷、油漆喷涂、木料装饰、贴地砖瓷砖等过程，钻机、切割机等产生噪声，油漆和涂料喷涂产生废气，废弃物料及污水。</w:t>
            </w:r>
          </w:p>
          <w:p w14:paraId="227C90B4">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设备安装：按照工程需求采购设备并按要求进行安装。安装过程将产生噪声和包装箱、包装袋等固体废物。</w:t>
            </w:r>
          </w:p>
          <w:p w14:paraId="31D8426E">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工程验收：工程竣工验收后正式投入使用。</w:t>
            </w:r>
          </w:p>
          <w:p w14:paraId="609C80AA">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从项目污染工序分析，施工期环境污染问题主要是：建筑扬尘、施工弃土、施工噪声、施工生活污水、施工生活垃圾。这些污染几乎发生于整个施工过程，但不同污染因子在不同施工阶段污染强度将有所不同。</w:t>
            </w:r>
          </w:p>
          <w:p w14:paraId="5B44C662">
            <w:pPr>
              <w:pStyle w:val="5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2、运营期</w:t>
            </w:r>
          </w:p>
          <w:p w14:paraId="4903CF39">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eastAsia="zh-CN"/>
              </w:rPr>
              <w:t>本项目运营期以销售汽油和柴油为主，囊括</w:t>
            </w:r>
            <w:r>
              <w:rPr>
                <w:rFonts w:hint="default" w:ascii="Times New Roman" w:hAnsi="Times New Roman" w:eastAsia="仿宋_GB2312" w:cs="Times New Roman"/>
                <w:bCs/>
                <w:color w:val="auto"/>
                <w:sz w:val="24"/>
                <w:szCs w:val="24"/>
                <w:lang w:val="en-US" w:eastAsia="zh-CN"/>
              </w:rPr>
              <w:t>LNG加气站和电车充电桩。加油站</w:t>
            </w:r>
            <w:r>
              <w:rPr>
                <w:rFonts w:hint="default" w:ascii="Times New Roman" w:hAnsi="Times New Roman" w:eastAsia="仿宋_GB2312" w:cs="Times New Roman"/>
                <w:bCs/>
                <w:color w:val="auto"/>
                <w:sz w:val="24"/>
                <w:szCs w:val="24"/>
                <w:lang w:eastAsia="zh-CN"/>
              </w:rPr>
              <w:t>主要工艺包括油罐车卸油、油品在地下储罐暂存、加油机计量加油等过程，汽油在卸油和加油过程中均需进行油气回收，柴油无油气回收过程</w:t>
            </w:r>
            <w:r>
              <w:rPr>
                <w:rFonts w:hint="eastAsia" w:eastAsia="仿宋_GB2312" w:cs="Times New Roman"/>
                <w:bCs/>
                <w:color w:val="auto"/>
                <w:sz w:val="24"/>
                <w:szCs w:val="24"/>
                <w:lang w:eastAsia="zh-CN"/>
              </w:rPr>
              <w:t>；</w:t>
            </w:r>
            <w:r>
              <w:rPr>
                <w:rFonts w:hint="eastAsia" w:eastAsia="仿宋_GB2312" w:cs="Times New Roman"/>
                <w:bCs/>
                <w:color w:val="auto"/>
                <w:sz w:val="24"/>
                <w:szCs w:val="24"/>
                <w:lang w:val="en-US" w:eastAsia="zh-CN"/>
              </w:rPr>
              <w:t>LNG加气站工艺主要分为槽车卸车、调饱和、车辆加液、系统泄压等过程，系统中产生的BOG气体经缓冲罐收集后送回槽车回收。</w:t>
            </w:r>
          </w:p>
          <w:p w14:paraId="19B71742">
            <w:pPr>
              <w:autoSpaceDE w:val="0"/>
              <w:autoSpaceDN w:val="0"/>
              <w:adjustRightInd w:val="0"/>
              <w:spacing w:line="360" w:lineRule="auto"/>
              <w:ind w:firstLine="482" w:firstLineChars="200"/>
              <w:rPr>
                <w:rFonts w:hint="default" w:ascii="Times New Roman" w:hAnsi="Times New Roman" w:eastAsia="仿宋_GB2312" w:cs="Times New Roman"/>
                <w:b/>
                <w:bCs w:val="0"/>
                <w:color w:val="auto"/>
                <w:sz w:val="24"/>
                <w:szCs w:val="24"/>
                <w:lang w:eastAsia="zh-CN"/>
              </w:rPr>
            </w:pPr>
            <w:r>
              <w:rPr>
                <w:rFonts w:hint="default" w:ascii="Times New Roman" w:hAnsi="Times New Roman" w:eastAsia="仿宋_GB2312" w:cs="Times New Roman"/>
                <w:b/>
                <w:bCs w:val="0"/>
                <w:color w:val="auto"/>
                <w:sz w:val="24"/>
                <w:szCs w:val="24"/>
                <w:lang w:val="en-US" w:eastAsia="zh-CN"/>
              </w:rPr>
              <w:t>2-1：</w:t>
            </w:r>
            <w:r>
              <w:rPr>
                <w:rFonts w:hint="default" w:ascii="Times New Roman" w:hAnsi="Times New Roman" w:eastAsia="仿宋_GB2312" w:cs="Times New Roman"/>
                <w:b/>
                <w:bCs w:val="0"/>
                <w:color w:val="auto"/>
                <w:sz w:val="24"/>
                <w:szCs w:val="24"/>
                <w:lang w:eastAsia="zh-CN"/>
              </w:rPr>
              <w:t>工艺流程简述：</w:t>
            </w:r>
          </w:p>
          <w:p w14:paraId="5C77ED9C">
            <w:pPr>
              <w:autoSpaceDE w:val="0"/>
              <w:autoSpaceDN w:val="0"/>
              <w:adjustRightInd w:val="0"/>
              <w:spacing w:line="360" w:lineRule="auto"/>
              <w:ind w:firstLine="482" w:firstLineChars="200"/>
              <w:rPr>
                <w:rFonts w:hint="default" w:ascii="Times New Roman" w:hAnsi="Times New Roman" w:eastAsia="仿宋_GB2312" w:cs="Times New Roman"/>
                <w:b/>
                <w:bCs w:val="0"/>
                <w:color w:val="auto"/>
                <w:sz w:val="24"/>
                <w:szCs w:val="24"/>
                <w:lang w:val="en-US" w:eastAsia="zh-CN"/>
              </w:rPr>
            </w:pPr>
            <w:r>
              <w:rPr>
                <w:rFonts w:hint="default" w:ascii="Times New Roman" w:hAnsi="Times New Roman" w:eastAsia="仿宋_GB2312" w:cs="Times New Roman"/>
                <w:b/>
                <w:bCs w:val="0"/>
                <w:color w:val="auto"/>
                <w:sz w:val="24"/>
                <w:szCs w:val="24"/>
                <w:lang w:val="en-US" w:eastAsia="zh-CN"/>
              </w:rPr>
              <w:t>2-1-1：加油站工艺流程</w:t>
            </w:r>
          </w:p>
          <w:p w14:paraId="3DEBE763">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eastAsia="zh-CN"/>
              </w:rPr>
              <w:t>具体工艺过程见下图</w:t>
            </w:r>
            <w:r>
              <w:rPr>
                <w:rFonts w:hint="default" w:ascii="Times New Roman" w:hAnsi="Times New Roman" w:eastAsia="仿宋_GB2312" w:cs="Times New Roman"/>
                <w:bCs/>
                <w:color w:val="auto"/>
                <w:sz w:val="24"/>
                <w:szCs w:val="24"/>
                <w:lang w:val="en-US" w:eastAsia="zh-CN"/>
              </w:rPr>
              <w:t>2-3：</w:t>
            </w:r>
          </w:p>
          <w:p w14:paraId="3FD681E3">
            <w:pPr>
              <w:keepNext w:val="0"/>
              <w:keepLines w:val="0"/>
              <w:pageBreakBefore w:val="0"/>
              <w:widowControl w:val="0"/>
              <w:kinsoku/>
              <w:wordWrap/>
              <w:overflowPunct/>
              <w:topLinePunct w:val="0"/>
              <w:autoSpaceDE w:val="0"/>
              <w:autoSpaceDN w:val="0"/>
              <w:bidi w:val="0"/>
              <w:adjustRightInd w:val="0"/>
              <w:snapToGrid/>
              <w:spacing w:before="157" w:beforeLines="50" w:line="360" w:lineRule="auto"/>
              <w:jc w:val="center"/>
              <w:textAlignment w:val="auto"/>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drawing>
                <wp:inline distT="0" distB="0" distL="114300" distR="114300">
                  <wp:extent cx="3225165" cy="3067685"/>
                  <wp:effectExtent l="0" t="0" r="0" b="18415"/>
                  <wp:docPr id="86" name="图片 8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图片1"/>
                          <pic:cNvPicPr>
                            <a:picLocks noChangeAspect="1"/>
                          </pic:cNvPicPr>
                        </pic:nvPicPr>
                        <pic:blipFill>
                          <a:blip r:embed="rId24"/>
                          <a:stretch>
                            <a:fillRect/>
                          </a:stretch>
                        </pic:blipFill>
                        <pic:spPr>
                          <a:xfrm>
                            <a:off x="0" y="0"/>
                            <a:ext cx="3225165" cy="3067685"/>
                          </a:xfrm>
                          <a:prstGeom prst="rect">
                            <a:avLst/>
                          </a:prstGeom>
                        </pic:spPr>
                      </pic:pic>
                    </a:graphicData>
                  </a:graphic>
                </wp:inline>
              </w:drawing>
            </w:r>
          </w:p>
          <w:p w14:paraId="41736C6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default" w:ascii="Times New Roman" w:hAnsi="Times New Roman" w:eastAsia="仿宋_GB2312" w:cs="Times New Roman"/>
                <w:b/>
                <w:bCs w:val="0"/>
                <w:color w:val="auto"/>
                <w:sz w:val="18"/>
                <w:szCs w:val="18"/>
                <w:lang w:val="en-US" w:eastAsia="zh-CN"/>
              </w:rPr>
            </w:pPr>
            <w:r>
              <w:rPr>
                <w:rFonts w:hint="default" w:ascii="Times New Roman" w:hAnsi="Times New Roman" w:eastAsia="仿宋_GB2312" w:cs="Times New Roman"/>
                <w:color w:val="auto"/>
                <w:sz w:val="18"/>
                <w:szCs w:val="18"/>
              </w:rPr>
              <mc:AlternateContent>
                <mc:Choice Requires="wps">
                  <w:drawing>
                    <wp:anchor distT="0" distB="0" distL="114300" distR="114300" simplePos="0" relativeHeight="251669504" behindDoc="0" locked="0" layoutInCell="1" allowOverlap="1">
                      <wp:simplePos x="0" y="0"/>
                      <wp:positionH relativeFrom="column">
                        <wp:posOffset>416560</wp:posOffset>
                      </wp:positionH>
                      <wp:positionV relativeFrom="paragraph">
                        <wp:posOffset>71755</wp:posOffset>
                      </wp:positionV>
                      <wp:extent cx="369570" cy="635"/>
                      <wp:effectExtent l="0" t="0" r="0" b="0"/>
                      <wp:wrapNone/>
                      <wp:docPr id="80" name="直线 742"/>
                      <wp:cNvGraphicFramePr/>
                      <a:graphic xmlns:a="http://schemas.openxmlformats.org/drawingml/2006/main">
                        <a:graphicData uri="http://schemas.microsoft.com/office/word/2010/wordprocessingShape">
                          <wps:wsp>
                            <wps:cNvCnPr/>
                            <wps:spPr>
                              <a:xfrm>
                                <a:off x="0" y="0"/>
                                <a:ext cx="369570" cy="635"/>
                              </a:xfrm>
                              <a:prstGeom prst="line">
                                <a:avLst/>
                              </a:prstGeom>
                              <a:ln w="9525" cap="flat" cmpd="sng">
                                <a:solidFill>
                                  <a:srgbClr val="000000"/>
                                </a:solidFill>
                                <a:prstDash val="lgDashDot"/>
                                <a:headEnd type="none" w="med" len="med"/>
                                <a:tailEnd type="none" w="med" len="med"/>
                              </a:ln>
                            </wps:spPr>
                            <wps:bodyPr upright="1"/>
                          </wps:wsp>
                        </a:graphicData>
                      </a:graphic>
                    </wp:anchor>
                  </w:drawing>
                </mc:Choice>
                <mc:Fallback>
                  <w:pict>
                    <v:line id="直线 742" o:spid="_x0000_s1026" o:spt="20" style="position:absolute;left:0pt;margin-left:32.8pt;margin-top:5.65pt;height:0.05pt;width:29.1pt;z-index:251669504;mso-width-relative:page;mso-height-relative:page;" filled="f" stroked="t" coordsize="21600,21600" o:gfxdata="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gUspvXAAAACAEAAA8AAAAAAAAAAQAgAAAAIgAAAGRycy9kb3ducmV2LnhtbFBLAQIUABQAAAAI&#10;AIdO4kCLG3x+7gEAAOMDAAAOAAAAAAAAAAEAIAAAACYBAABkcnMvZTJvRG9jLnhtbFBLBQYAAAAA&#10;BgAGAFkBAACGBQAAAAA=&#10;">
                      <v:fill on="f" focussize="0,0"/>
                      <v:stroke color="#000000" joinstyle="round" dashstyle="longDashDot"/>
                      <v:imagedata o:title=""/>
                      <o:lock v:ext="edit" aspectratio="f"/>
                    </v:line>
                  </w:pict>
                </mc:Fallback>
              </mc:AlternateContent>
            </w:r>
            <w:r>
              <w:rPr>
                <w:rFonts w:hint="default" w:ascii="Times New Roman" w:hAnsi="Times New Roman" w:eastAsia="仿宋_GB2312" w:cs="Times New Roman"/>
                <w:b/>
                <w:bCs w:val="0"/>
                <w:color w:val="auto"/>
                <w:sz w:val="18"/>
                <w:szCs w:val="18"/>
                <w:lang w:eastAsia="zh-CN"/>
              </w:rPr>
              <w:t>注：</w:t>
            </w:r>
            <w:r>
              <w:rPr>
                <w:rFonts w:hint="default" w:ascii="Times New Roman" w:hAnsi="Times New Roman" w:eastAsia="仿宋_GB2312" w:cs="Times New Roman"/>
                <w:b/>
                <w:bCs w:val="0"/>
                <w:color w:val="auto"/>
                <w:sz w:val="18"/>
                <w:szCs w:val="18"/>
                <w:lang w:val="en-US" w:eastAsia="zh-CN"/>
              </w:rPr>
              <w:t>1、        表示汽油油气回收过程，柴油无此工艺过程。</w:t>
            </w:r>
          </w:p>
          <w:p w14:paraId="65375A74">
            <w:pPr>
              <w:keepNext w:val="0"/>
              <w:keepLines w:val="0"/>
              <w:pageBreakBefore w:val="0"/>
              <w:widowControl w:val="0"/>
              <w:numPr>
                <w:ilvl w:val="0"/>
                <w:numId w:val="5"/>
              </w:numPr>
              <w:kinsoku/>
              <w:wordWrap/>
              <w:overflowPunct/>
              <w:topLinePunct w:val="0"/>
              <w:autoSpaceDE w:val="0"/>
              <w:autoSpaceDN w:val="0"/>
              <w:bidi w:val="0"/>
              <w:adjustRightInd w:val="0"/>
              <w:snapToGrid/>
              <w:spacing w:line="240" w:lineRule="auto"/>
              <w:ind w:firstLine="361" w:firstLineChars="200"/>
              <w:textAlignment w:val="auto"/>
              <w:rPr>
                <w:rFonts w:hint="default" w:ascii="Times New Roman" w:hAnsi="Times New Roman" w:eastAsia="仿宋_GB2312" w:cs="Times New Roman"/>
                <w:b/>
                <w:bCs w:val="0"/>
                <w:color w:val="auto"/>
                <w:sz w:val="18"/>
                <w:szCs w:val="18"/>
                <w:lang w:val="en-US" w:eastAsia="zh-CN"/>
              </w:rPr>
            </w:pPr>
            <w:r>
              <w:rPr>
                <w:rFonts w:hint="default" w:ascii="Times New Roman" w:hAnsi="Times New Roman" w:eastAsia="仿宋_GB2312" w:cs="Times New Roman"/>
                <w:b/>
                <w:bCs w:val="0"/>
                <w:color w:val="auto"/>
                <w:sz w:val="18"/>
                <w:szCs w:val="18"/>
                <w:lang w:val="en-US" w:eastAsia="zh-CN"/>
              </w:rPr>
              <w:t>G1~3表示非甲烷总烃、G4表示汽车尾气；</w:t>
            </w:r>
          </w:p>
          <w:p w14:paraId="2823D325">
            <w:pPr>
              <w:keepNext w:val="0"/>
              <w:keepLines w:val="0"/>
              <w:pageBreakBefore w:val="0"/>
              <w:widowControl w:val="0"/>
              <w:numPr>
                <w:ilvl w:val="0"/>
                <w:numId w:val="5"/>
              </w:numPr>
              <w:kinsoku/>
              <w:wordWrap/>
              <w:overflowPunct/>
              <w:topLinePunct w:val="0"/>
              <w:autoSpaceDE w:val="0"/>
              <w:autoSpaceDN w:val="0"/>
              <w:bidi w:val="0"/>
              <w:adjustRightInd w:val="0"/>
              <w:snapToGrid/>
              <w:spacing w:line="240" w:lineRule="auto"/>
              <w:ind w:firstLine="361" w:firstLineChars="200"/>
              <w:textAlignment w:val="auto"/>
              <w:rPr>
                <w:rFonts w:hint="default" w:ascii="Times New Roman" w:hAnsi="Times New Roman" w:eastAsia="仿宋_GB2312" w:cs="Times New Roman"/>
                <w:b/>
                <w:bCs w:val="0"/>
                <w:color w:val="auto"/>
                <w:sz w:val="18"/>
                <w:szCs w:val="18"/>
                <w:lang w:val="en-US" w:eastAsia="zh-CN"/>
              </w:rPr>
            </w:pPr>
            <w:r>
              <w:rPr>
                <w:rFonts w:hint="default" w:ascii="Times New Roman" w:hAnsi="Times New Roman" w:eastAsia="仿宋_GB2312" w:cs="Times New Roman"/>
                <w:b/>
                <w:bCs w:val="0"/>
                <w:color w:val="auto"/>
                <w:sz w:val="18"/>
                <w:szCs w:val="18"/>
                <w:lang w:val="en-US" w:eastAsia="zh-CN"/>
              </w:rPr>
              <w:t>N1~3表示噪声；</w:t>
            </w:r>
          </w:p>
          <w:p w14:paraId="2597DF49">
            <w:pPr>
              <w:keepNext w:val="0"/>
              <w:keepLines w:val="0"/>
              <w:pageBreakBefore w:val="0"/>
              <w:widowControl w:val="0"/>
              <w:numPr>
                <w:ilvl w:val="0"/>
                <w:numId w:val="5"/>
              </w:numPr>
              <w:kinsoku/>
              <w:wordWrap/>
              <w:overflowPunct/>
              <w:topLinePunct w:val="0"/>
              <w:autoSpaceDE w:val="0"/>
              <w:autoSpaceDN w:val="0"/>
              <w:bidi w:val="0"/>
              <w:adjustRightInd w:val="0"/>
              <w:snapToGrid/>
              <w:spacing w:line="240" w:lineRule="auto"/>
              <w:ind w:firstLine="361" w:firstLineChars="200"/>
              <w:textAlignment w:val="auto"/>
              <w:rPr>
                <w:rFonts w:hint="default" w:ascii="Times New Roman" w:hAnsi="Times New Roman" w:eastAsia="仿宋_GB2312" w:cs="Times New Roman"/>
                <w:b/>
                <w:bCs w:val="0"/>
                <w:color w:val="auto"/>
                <w:sz w:val="18"/>
                <w:szCs w:val="18"/>
                <w:lang w:val="en-US" w:eastAsia="zh-CN"/>
              </w:rPr>
            </w:pPr>
            <w:r>
              <w:rPr>
                <w:rFonts w:hint="default" w:ascii="Times New Roman" w:hAnsi="Times New Roman" w:eastAsia="仿宋_GB2312" w:cs="Times New Roman"/>
                <w:b/>
                <w:bCs w:val="0"/>
                <w:color w:val="auto"/>
                <w:sz w:val="18"/>
                <w:szCs w:val="18"/>
                <w:lang w:val="en-US" w:eastAsia="zh-CN"/>
              </w:rPr>
              <w:t>W1表示车辆清洗废水；</w:t>
            </w:r>
          </w:p>
          <w:p w14:paraId="30740588">
            <w:pPr>
              <w:keepNext w:val="0"/>
              <w:keepLines w:val="0"/>
              <w:pageBreakBefore w:val="0"/>
              <w:widowControl w:val="0"/>
              <w:numPr>
                <w:ilvl w:val="0"/>
                <w:numId w:val="5"/>
              </w:numPr>
              <w:kinsoku/>
              <w:wordWrap/>
              <w:overflowPunct/>
              <w:topLinePunct w:val="0"/>
              <w:autoSpaceDE w:val="0"/>
              <w:autoSpaceDN w:val="0"/>
              <w:bidi w:val="0"/>
              <w:adjustRightInd w:val="0"/>
              <w:snapToGrid/>
              <w:spacing w:line="240" w:lineRule="auto"/>
              <w:ind w:firstLine="361" w:firstLineChars="200"/>
              <w:textAlignment w:val="auto"/>
              <w:rPr>
                <w:rFonts w:hint="default" w:ascii="Times New Roman" w:hAnsi="Times New Roman" w:eastAsia="仿宋_GB2312" w:cs="Times New Roman"/>
                <w:b/>
                <w:bCs w:val="0"/>
                <w:color w:val="auto"/>
                <w:sz w:val="18"/>
                <w:szCs w:val="18"/>
                <w:lang w:val="en-US" w:eastAsia="zh-CN"/>
              </w:rPr>
            </w:pPr>
            <w:r>
              <w:rPr>
                <w:rFonts w:hint="default" w:ascii="Times New Roman" w:hAnsi="Times New Roman" w:eastAsia="仿宋_GB2312" w:cs="Times New Roman"/>
                <w:b/>
                <w:bCs w:val="0"/>
                <w:color w:val="auto"/>
                <w:sz w:val="18"/>
                <w:szCs w:val="18"/>
                <w:lang w:val="en-US" w:eastAsia="zh-CN"/>
              </w:rPr>
              <w:t>S1表示储罐清理过程产生的油罐清理残液、S2表示隔油沉淀池产生的油渣及油泥。</w:t>
            </w:r>
          </w:p>
          <w:p w14:paraId="3E8C2F5D">
            <w:pPr>
              <w:keepNext w:val="0"/>
              <w:keepLines w:val="0"/>
              <w:pageBreakBefore w:val="0"/>
              <w:widowControl w:val="0"/>
              <w:kinsoku/>
              <w:wordWrap/>
              <w:overflowPunct/>
              <w:topLinePunct w:val="0"/>
              <w:autoSpaceDE/>
              <w:autoSpaceDN/>
              <w:bidi w:val="0"/>
              <w:adjustRightInd/>
              <w:snapToGrid/>
              <w:spacing w:after="157" w:afterLines="50" w:line="240" w:lineRule="auto"/>
              <w:ind w:firstLine="215" w:firstLineChars="0"/>
              <w:jc w:val="center"/>
              <w:textAlignment w:val="auto"/>
              <w:rPr>
                <w:rFonts w:hint="default" w:ascii="Times New Roman" w:hAnsi="Times New Roman" w:eastAsia="仿宋_GB2312" w:cs="Times New Roman"/>
                <w:bCs/>
                <w:color w:val="auto"/>
                <w:sz w:val="24"/>
                <w:szCs w:val="24"/>
              </w:rPr>
            </w:pPr>
            <w:r>
              <w:rPr>
                <w:rFonts w:hint="default" w:ascii="Times New Roman" w:hAnsi="Times New Roman" w:eastAsia="仿宋_GB2312" w:cs="Times New Roman"/>
                <w:b/>
                <w:bCs/>
                <w:color w:val="auto"/>
                <w:kern w:val="0"/>
                <w:sz w:val="24"/>
                <w:szCs w:val="24"/>
                <w:highlight w:val="none"/>
                <w:lang w:val="en-US" w:eastAsia="zh-CN" w:bidi="ar-SA"/>
              </w:rPr>
              <w:t>图2-3 加油站运营期工艺流程及产污节点图</w:t>
            </w:r>
          </w:p>
          <w:p w14:paraId="3948436C">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（1）卸油</w:t>
            </w:r>
          </w:p>
          <w:p w14:paraId="2D874CEC">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本项目卸油采用重力自流式密闭卸油方式，油品（汽油、柴油）由油罐车运至加油站卸油点，卸油快速接头与油罐车卸油软管连接后，打开油罐的开启阀门，闭合油罐的其他阀门，利用液位差将油品输送至相应的油罐内。卸油过程产生卸油废气（G1）、噪声（</w:t>
            </w:r>
            <w:r>
              <w:rPr>
                <w:rFonts w:hint="default" w:ascii="Times New Roman" w:hAnsi="Times New Roman" w:eastAsia="仿宋_GB2312" w:cs="Times New Roman"/>
                <w:bCs/>
                <w:color w:val="auto"/>
                <w:sz w:val="24"/>
                <w:szCs w:val="24"/>
                <w:lang w:val="en-US" w:eastAsia="zh-CN"/>
              </w:rPr>
              <w:t>N1</w:t>
            </w:r>
            <w:r>
              <w:rPr>
                <w:rFonts w:hint="default" w:ascii="Times New Roman" w:hAnsi="Times New Roman" w:eastAsia="仿宋_GB2312" w:cs="Times New Roman"/>
                <w:bCs/>
                <w:color w:val="auto"/>
                <w:sz w:val="24"/>
                <w:szCs w:val="24"/>
                <w:lang w:eastAsia="zh-CN"/>
              </w:rPr>
              <w:t>）。</w:t>
            </w:r>
          </w:p>
          <w:p w14:paraId="3D76BD81">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汽油卸油时配置平衡式密闭油气回收装置，油气回收管口与油罐车油气回收管口均通过快速接头软管相接并配密封盖，油罐车与地埋式储油罐形成了封闭的卸油空间，卸油时，汽油进入油罐内（常压）时，同体积的油气因压力被压回油罐车内，油气由油罐车带回油库回收。</w:t>
            </w:r>
          </w:p>
          <w:p w14:paraId="464220A3">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（2）油品存储</w:t>
            </w:r>
          </w:p>
          <w:p w14:paraId="4C0A4188">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本项目储罐区位于加油站罩棚地下，共设置</w:t>
            </w:r>
            <w:r>
              <w:rPr>
                <w:rFonts w:hint="default" w:ascii="Times New Roman" w:hAnsi="Times New Roman" w:eastAsia="仿宋_GB2312" w:cs="Times New Roman"/>
                <w:bCs/>
                <w:color w:val="auto"/>
                <w:sz w:val="24"/>
                <w:szCs w:val="24"/>
                <w:lang w:val="en-US" w:eastAsia="zh-CN"/>
              </w:rPr>
              <w:t>5</w:t>
            </w:r>
            <w:r>
              <w:rPr>
                <w:rFonts w:hint="default" w:ascii="Times New Roman" w:hAnsi="Times New Roman" w:eastAsia="仿宋_GB2312" w:cs="Times New Roman"/>
                <w:bCs/>
                <w:color w:val="auto"/>
                <w:sz w:val="24"/>
                <w:szCs w:val="24"/>
                <w:lang w:eastAsia="zh-CN"/>
              </w:rPr>
              <w:t>只埋地式双层储油罐，分别为</w:t>
            </w:r>
            <w:r>
              <w:rPr>
                <w:rFonts w:hint="default" w:ascii="Times New Roman" w:hAnsi="Times New Roman" w:eastAsia="仿宋_GB2312" w:cs="Times New Roman"/>
                <w:bCs/>
                <w:color w:val="auto"/>
                <w:sz w:val="24"/>
                <w:szCs w:val="24"/>
                <w:lang w:val="en-US" w:eastAsia="zh-CN"/>
              </w:rPr>
              <w:t>3</w:t>
            </w:r>
            <w:r>
              <w:rPr>
                <w:rFonts w:hint="default" w:ascii="Times New Roman" w:hAnsi="Times New Roman" w:eastAsia="仿宋_GB2312" w:cs="Times New Roman"/>
                <w:bCs/>
                <w:color w:val="auto"/>
                <w:sz w:val="24"/>
                <w:szCs w:val="24"/>
                <w:lang w:eastAsia="zh-CN"/>
              </w:rPr>
              <w:t>只30m</w:t>
            </w:r>
            <w:r>
              <w:rPr>
                <w:rFonts w:hint="default" w:ascii="Times New Roman" w:hAnsi="Times New Roman" w:eastAsia="仿宋_GB2312" w:cs="Times New Roman"/>
                <w:bCs/>
                <w:color w:val="auto"/>
                <w:sz w:val="24"/>
                <w:szCs w:val="24"/>
                <w:vertAlign w:val="superscript"/>
                <w:lang w:eastAsia="zh-CN"/>
              </w:rPr>
              <w:t>3</w:t>
            </w:r>
            <w:r>
              <w:rPr>
                <w:rFonts w:hint="default" w:ascii="Times New Roman" w:hAnsi="Times New Roman" w:eastAsia="仿宋_GB2312" w:cs="Times New Roman"/>
                <w:bCs/>
                <w:color w:val="auto"/>
                <w:sz w:val="24"/>
                <w:szCs w:val="24"/>
                <w:lang w:eastAsia="zh-CN"/>
              </w:rPr>
              <w:t>汽油储罐（</w:t>
            </w:r>
            <w:r>
              <w:rPr>
                <w:rFonts w:hint="default" w:ascii="Times New Roman" w:hAnsi="Times New Roman" w:eastAsia="仿宋_GB2312" w:cs="Times New Roman"/>
                <w:bCs/>
                <w:color w:val="auto"/>
                <w:sz w:val="24"/>
                <w:szCs w:val="24"/>
                <w:lang w:val="en-US" w:eastAsia="zh-CN"/>
              </w:rPr>
              <w:t>92#、95#、98#各一只</w:t>
            </w:r>
            <w:r>
              <w:rPr>
                <w:rFonts w:hint="default" w:ascii="Times New Roman" w:hAnsi="Times New Roman" w:eastAsia="仿宋_GB2312" w:cs="Times New Roman"/>
                <w:bCs/>
                <w:color w:val="auto"/>
                <w:sz w:val="24"/>
                <w:szCs w:val="24"/>
                <w:lang w:eastAsia="zh-CN"/>
              </w:rPr>
              <w:t>）、</w:t>
            </w:r>
            <w:r>
              <w:rPr>
                <w:rFonts w:hint="default" w:ascii="Times New Roman" w:hAnsi="Times New Roman" w:eastAsia="仿宋_GB2312" w:cs="Times New Roman"/>
                <w:bCs/>
                <w:color w:val="auto"/>
                <w:sz w:val="24"/>
                <w:szCs w:val="24"/>
                <w:lang w:val="en-US" w:eastAsia="zh-CN"/>
              </w:rPr>
              <w:t>2只50</w:t>
            </w:r>
            <w:r>
              <w:rPr>
                <w:rFonts w:hint="default" w:ascii="Times New Roman" w:hAnsi="Times New Roman" w:eastAsia="仿宋_GB2312" w:cs="Times New Roman"/>
                <w:bCs/>
                <w:color w:val="auto"/>
                <w:sz w:val="24"/>
                <w:szCs w:val="24"/>
                <w:lang w:eastAsia="zh-CN"/>
              </w:rPr>
              <w:t>m</w:t>
            </w:r>
            <w:r>
              <w:rPr>
                <w:rFonts w:hint="default" w:ascii="Times New Roman" w:hAnsi="Times New Roman" w:eastAsia="仿宋_GB2312" w:cs="Times New Roman"/>
                <w:bCs/>
                <w:color w:val="auto"/>
                <w:sz w:val="24"/>
                <w:szCs w:val="24"/>
                <w:vertAlign w:val="superscript"/>
                <w:lang w:eastAsia="zh-CN"/>
              </w:rPr>
              <w:t>3</w:t>
            </w:r>
            <w:r>
              <w:rPr>
                <w:rFonts w:hint="default" w:ascii="Times New Roman" w:hAnsi="Times New Roman" w:eastAsia="仿宋_GB2312" w:cs="Times New Roman"/>
                <w:bCs/>
                <w:color w:val="auto"/>
                <w:sz w:val="24"/>
                <w:szCs w:val="24"/>
                <w:lang w:eastAsia="zh-CN"/>
              </w:rPr>
              <w:t>的柴油储罐（</w:t>
            </w:r>
            <w:r>
              <w:rPr>
                <w:rFonts w:hint="default" w:ascii="Times New Roman" w:hAnsi="Times New Roman" w:eastAsia="仿宋_GB2312" w:cs="Times New Roman"/>
                <w:bCs/>
                <w:color w:val="auto"/>
                <w:sz w:val="24"/>
                <w:szCs w:val="24"/>
                <w:lang w:val="en-US" w:eastAsia="zh-CN"/>
              </w:rPr>
              <w:t>0#、-10#各一只</w:t>
            </w:r>
            <w:r>
              <w:rPr>
                <w:rFonts w:hint="default" w:ascii="Times New Roman" w:hAnsi="Times New Roman" w:eastAsia="仿宋_GB2312" w:cs="Times New Roman"/>
                <w:bCs/>
                <w:color w:val="auto"/>
                <w:sz w:val="24"/>
                <w:szCs w:val="24"/>
                <w:lang w:eastAsia="zh-CN"/>
              </w:rPr>
              <w:t>），每只储油罐均设置高液位报警功能电子液位仪用于预防溢油事故。储罐为常压装置，油品在暂存过程会由于外界环境温度的变化产生呼吸气排入大气环境中，产生存储废气（G2）。</w:t>
            </w:r>
          </w:p>
          <w:p w14:paraId="52562A6E">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（3）加油</w:t>
            </w:r>
          </w:p>
          <w:p w14:paraId="5F78933A">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加油过程采用潜油泵加油机正压推送供油，潜油泵将油品由储油罐推送到加油管道内，然后通过带有计量、计价和税控装置的电脑加油机将油品通过加油枪加入车辆油箱，实现为车辆充装车用汽油、柴油的付出（经营销售）作业。加油过程产生有机废气（G3）和噪声（</w:t>
            </w:r>
            <w:r>
              <w:rPr>
                <w:rFonts w:hint="default" w:ascii="Times New Roman" w:hAnsi="Times New Roman" w:eastAsia="仿宋_GB2312" w:cs="Times New Roman"/>
                <w:bCs/>
                <w:color w:val="auto"/>
                <w:sz w:val="24"/>
                <w:szCs w:val="24"/>
                <w:lang w:val="en-US" w:eastAsia="zh-CN"/>
              </w:rPr>
              <w:t>N2</w:t>
            </w:r>
            <w:r>
              <w:rPr>
                <w:rFonts w:hint="default" w:ascii="Times New Roman" w:hAnsi="Times New Roman" w:eastAsia="仿宋_GB2312" w:cs="Times New Roman"/>
                <w:bCs/>
                <w:color w:val="auto"/>
                <w:sz w:val="24"/>
                <w:szCs w:val="24"/>
                <w:lang w:eastAsia="zh-CN"/>
              </w:rPr>
              <w:t>）。</w:t>
            </w:r>
          </w:p>
          <w:p w14:paraId="567FEBFA">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汽油加油过程应设置真空辅助式油气回收系统，在汽油加油机与油罐之间设置油气回收管道，选用具备油气回收功能的加油机，将加油过程中挥发的油气回收至汽油储罐内。</w:t>
            </w:r>
          </w:p>
          <w:p w14:paraId="100FF8D8">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（4）加油站油气回收系统原理</w:t>
            </w:r>
          </w:p>
          <w:p w14:paraId="3EDB2151">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①卸油油气回收系统</w:t>
            </w:r>
          </w:p>
          <w:p w14:paraId="48949C88">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平衡式密闭油气回收系统通过压力平衡原理，将卸油过程中油罐挥发的油气回收到油罐车内，再运回储油库进行油气回收处理的过程。在油罐车卸油过程中，储油车内压力减小，地下储罐内压力增加，地下储罐与油罐车内的压力差使卸油过程中挥发的油气通过管线回到油罐车内，达到油气收集的目的。卸油结束后，地下储罐和油罐车内压力达到平衡状态。</w:t>
            </w:r>
          </w:p>
          <w:p w14:paraId="29B0EA92">
            <w:pPr>
              <w:autoSpaceDE w:val="0"/>
              <w:autoSpaceDN w:val="0"/>
              <w:adjustRightInd w:val="0"/>
              <w:spacing w:line="360" w:lineRule="auto"/>
              <w:jc w:val="center"/>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drawing>
                <wp:inline distT="0" distB="0" distL="114300" distR="114300">
                  <wp:extent cx="3858895" cy="1575435"/>
                  <wp:effectExtent l="0" t="0" r="0" b="5715"/>
                  <wp:docPr id="82" name="图片 12" descr="卸油油气回收系统  一次油气回收系统原理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12" descr="卸油油气回收系统  一次油气回收系统原理图2"/>
                          <pic:cNvPicPr>
                            <a:picLocks noChangeAspect="1"/>
                          </pic:cNvPicPr>
                        </pic:nvPicPr>
                        <pic:blipFill>
                          <a:blip r:embed="rId25"/>
                          <a:srcRect l="12207" t="15613" r="12553"/>
                          <a:stretch>
                            <a:fillRect/>
                          </a:stretch>
                        </pic:blipFill>
                        <pic:spPr>
                          <a:xfrm>
                            <a:off x="0" y="0"/>
                            <a:ext cx="3858895" cy="1575435"/>
                          </a:xfrm>
                          <a:prstGeom prst="rect">
                            <a:avLst/>
                          </a:prstGeom>
                          <a:noFill/>
                          <a:ln>
                            <a:noFill/>
                          </a:ln>
                        </pic:spPr>
                      </pic:pic>
                    </a:graphicData>
                  </a:graphic>
                </wp:inline>
              </w:drawing>
            </w:r>
          </w:p>
          <w:p w14:paraId="636A44A6">
            <w:pPr>
              <w:keepNext w:val="0"/>
              <w:keepLines w:val="0"/>
              <w:pageBreakBefore w:val="0"/>
              <w:widowControl w:val="0"/>
              <w:kinsoku/>
              <w:wordWrap/>
              <w:overflowPunct/>
              <w:topLinePunct w:val="0"/>
              <w:autoSpaceDE/>
              <w:autoSpaceDN/>
              <w:bidi w:val="0"/>
              <w:adjustRightInd/>
              <w:snapToGrid/>
              <w:spacing w:after="157" w:afterLines="50" w:line="240" w:lineRule="auto"/>
              <w:ind w:firstLine="0" w:firstLineChars="0"/>
              <w:jc w:val="center"/>
              <w:textAlignment w:val="auto"/>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
                <w:bCs/>
                <w:color w:val="auto"/>
                <w:kern w:val="0"/>
                <w:sz w:val="24"/>
                <w:szCs w:val="24"/>
                <w:highlight w:val="none"/>
                <w:lang w:val="en-US" w:eastAsia="zh-CN" w:bidi="ar-SA"/>
              </w:rPr>
              <w:t>图2-4 卸油油气回收系统工艺流程图</w:t>
            </w:r>
          </w:p>
          <w:p w14:paraId="1975659A">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②加油油气回收系统</w:t>
            </w:r>
          </w:p>
          <w:p w14:paraId="5DEC9CAE">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eastAsia="zh-CN"/>
              </w:rPr>
              <w:t>采用真空辅助式油气回收设备，将在加油过程中挥发的油气通过地下油气回收管线收集到地下储罐内的回收过程。在汽车加油过程中，通过真空泵产生一定真空度，经过加油枪、油气回收管、真空泵等油气回收设备，控制气液比在</w:t>
            </w:r>
            <w:r>
              <w:rPr>
                <w:rFonts w:hint="default" w:ascii="Times New Roman" w:hAnsi="Times New Roman" w:eastAsia="仿宋_GB2312" w:cs="Times New Roman"/>
                <w:bCs/>
                <w:color w:val="auto"/>
                <w:sz w:val="24"/>
                <w:szCs w:val="24"/>
                <w:lang w:val="en-US" w:eastAsia="zh-CN"/>
              </w:rPr>
              <w:t>1.0与1.2之间，将加油过程中挥发的油气回收到油罐内。</w:t>
            </w:r>
          </w:p>
          <w:p w14:paraId="143E4C6A">
            <w:pPr>
              <w:autoSpaceDE w:val="0"/>
              <w:autoSpaceDN w:val="0"/>
              <w:adjustRightInd w:val="0"/>
              <w:spacing w:line="360" w:lineRule="auto"/>
              <w:jc w:val="center"/>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drawing>
                <wp:inline distT="0" distB="0" distL="114300" distR="114300">
                  <wp:extent cx="5135245" cy="2496185"/>
                  <wp:effectExtent l="0" t="0" r="8255" b="18415"/>
                  <wp:docPr id="83" name="图片 18" descr="加油油气回收系统 二次油气回收系统 原理图1.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18" descr="加油油气回收系统 二次油气回收系统 原理图1.webp"/>
                          <pic:cNvPicPr>
                            <a:picLocks noChangeAspect="1"/>
                          </pic:cNvPicPr>
                        </pic:nvPicPr>
                        <pic:blipFill>
                          <a:blip r:embed="rId26"/>
                          <a:srcRect t="16005"/>
                          <a:stretch>
                            <a:fillRect/>
                          </a:stretch>
                        </pic:blipFill>
                        <pic:spPr>
                          <a:xfrm>
                            <a:off x="0" y="0"/>
                            <a:ext cx="5135245" cy="2496185"/>
                          </a:xfrm>
                          <a:prstGeom prst="rect">
                            <a:avLst/>
                          </a:prstGeom>
                          <a:noFill/>
                          <a:ln>
                            <a:noFill/>
                          </a:ln>
                        </pic:spPr>
                      </pic:pic>
                    </a:graphicData>
                  </a:graphic>
                </wp:inline>
              </w:drawing>
            </w:r>
          </w:p>
          <w:p w14:paraId="5CC2BA0C">
            <w:pPr>
              <w:keepNext w:val="0"/>
              <w:keepLines w:val="0"/>
              <w:pageBreakBefore w:val="0"/>
              <w:widowControl w:val="0"/>
              <w:kinsoku/>
              <w:wordWrap/>
              <w:overflowPunct/>
              <w:topLinePunct w:val="0"/>
              <w:autoSpaceDE/>
              <w:autoSpaceDN/>
              <w:bidi w:val="0"/>
              <w:adjustRightInd/>
              <w:snapToGrid/>
              <w:spacing w:after="157" w:afterLines="50" w:line="240" w:lineRule="auto"/>
              <w:ind w:firstLine="0" w:firstLineChars="0"/>
              <w:jc w:val="center"/>
              <w:textAlignment w:val="auto"/>
              <w:rPr>
                <w:rFonts w:hint="default" w:ascii="Times New Roman" w:hAnsi="Times New Roman" w:eastAsia="仿宋_GB2312" w:cs="Times New Roman"/>
                <w:bCs/>
                <w:color w:val="auto"/>
                <w:sz w:val="24"/>
                <w:szCs w:val="24"/>
              </w:rPr>
            </w:pPr>
            <w:r>
              <w:rPr>
                <w:rFonts w:hint="default" w:ascii="Times New Roman" w:hAnsi="Times New Roman" w:eastAsia="仿宋_GB2312" w:cs="Times New Roman"/>
                <w:b/>
                <w:bCs/>
                <w:color w:val="auto"/>
                <w:kern w:val="0"/>
                <w:sz w:val="24"/>
                <w:szCs w:val="24"/>
                <w:highlight w:val="none"/>
                <w:lang w:val="en-US" w:eastAsia="zh-CN" w:bidi="ar-SA"/>
              </w:rPr>
              <w:t>图2-5 加油油气回收系统工艺流程图</w:t>
            </w:r>
          </w:p>
          <w:p w14:paraId="7E913620">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rPr>
            </w:pPr>
            <w:r>
              <w:rPr>
                <w:rFonts w:hint="default" w:ascii="Times New Roman" w:hAnsi="Times New Roman" w:eastAsia="仿宋_GB2312" w:cs="Times New Roman"/>
                <w:bCs/>
                <w:color w:val="auto"/>
                <w:sz w:val="24"/>
                <w:szCs w:val="24"/>
                <w:lang w:eastAsia="zh-CN"/>
              </w:rPr>
              <w:t>③油气排放处理装置</w:t>
            </w:r>
          </w:p>
          <w:p w14:paraId="1E6CEEAB">
            <w:pPr>
              <w:autoSpaceDE w:val="0"/>
              <w:autoSpaceDN w:val="0"/>
              <w:adjustRightInd w:val="0"/>
              <w:spacing w:line="360" w:lineRule="auto"/>
              <w:ind w:firstLine="476" w:firstLineChars="200"/>
              <w:rPr>
                <w:rFonts w:hint="default" w:ascii="Times New Roman" w:hAnsi="Times New Roman" w:eastAsia="仿宋_GB2312" w:cs="Times New Roman"/>
                <w:color w:val="auto"/>
                <w:spacing w:val="-1"/>
                <w:sz w:val="24"/>
                <w:szCs w:val="24"/>
              </w:rPr>
            </w:pPr>
            <w:r>
              <w:rPr>
                <w:rFonts w:hint="default" w:ascii="Times New Roman" w:hAnsi="Times New Roman" w:eastAsia="仿宋_GB2312" w:cs="Times New Roman"/>
                <w:color w:val="auto"/>
                <w:spacing w:val="-1"/>
                <w:sz w:val="24"/>
                <w:szCs w:val="24"/>
              </w:rPr>
              <w:t>由于汽车</w:t>
            </w:r>
            <w:r>
              <w:rPr>
                <w:rFonts w:hint="default" w:ascii="Times New Roman" w:hAnsi="Times New Roman" w:eastAsia="仿宋_GB2312" w:cs="Times New Roman"/>
                <w:color w:val="auto"/>
                <w:spacing w:val="-2"/>
                <w:sz w:val="24"/>
                <w:szCs w:val="24"/>
              </w:rPr>
              <w:t>油箱加油口在加油时并不</w:t>
            </w:r>
            <w:r>
              <w:rPr>
                <w:rFonts w:hint="default" w:ascii="Times New Roman" w:hAnsi="Times New Roman" w:eastAsia="仿宋_GB2312" w:cs="Times New Roman"/>
                <w:color w:val="auto"/>
                <w:spacing w:val="-2"/>
                <w:sz w:val="24"/>
                <w:szCs w:val="24"/>
                <w:lang w:eastAsia="zh-CN"/>
              </w:rPr>
              <w:t>完全</w:t>
            </w:r>
            <w:r>
              <w:rPr>
                <w:rFonts w:hint="default" w:ascii="Times New Roman" w:hAnsi="Times New Roman" w:eastAsia="仿宋_GB2312" w:cs="Times New Roman"/>
                <w:color w:val="auto"/>
                <w:spacing w:val="-2"/>
                <w:sz w:val="24"/>
                <w:szCs w:val="24"/>
              </w:rPr>
              <w:t>密封，油箱内的气体是油蒸汽和空气的混合</w:t>
            </w:r>
            <w:r>
              <w:rPr>
                <w:rFonts w:hint="default" w:ascii="Times New Roman" w:hAnsi="Times New Roman" w:eastAsia="仿宋_GB2312" w:cs="Times New Roman"/>
                <w:color w:val="auto"/>
                <w:spacing w:val="-9"/>
                <w:sz w:val="24"/>
                <w:szCs w:val="24"/>
              </w:rPr>
              <w:t>气体。</w:t>
            </w:r>
            <w:r>
              <w:rPr>
                <w:rFonts w:hint="default" w:ascii="Times New Roman" w:hAnsi="Times New Roman" w:eastAsia="仿宋_GB2312" w:cs="Times New Roman"/>
                <w:color w:val="auto"/>
                <w:spacing w:val="-9"/>
                <w:sz w:val="24"/>
                <w:szCs w:val="24"/>
                <w:lang w:eastAsia="zh-CN"/>
              </w:rPr>
              <w:t>油气回收系统收集的混合气体量大于储罐卸油体积，储罐压力逐渐增大，需要泄压处理</w:t>
            </w:r>
            <w:r>
              <w:rPr>
                <w:rFonts w:hint="default" w:ascii="Times New Roman" w:hAnsi="Times New Roman" w:eastAsia="仿宋_GB2312" w:cs="Times New Roman"/>
                <w:color w:val="auto"/>
                <w:spacing w:val="-3"/>
                <w:sz w:val="24"/>
                <w:szCs w:val="24"/>
              </w:rPr>
              <w:t>。为了保证90%以上的油气收集率，达到安全</w:t>
            </w:r>
            <w:r>
              <w:rPr>
                <w:rFonts w:hint="default" w:ascii="Times New Roman" w:hAnsi="Times New Roman" w:eastAsia="仿宋_GB2312" w:cs="Times New Roman"/>
                <w:color w:val="auto"/>
                <w:spacing w:val="-4"/>
                <w:sz w:val="24"/>
                <w:szCs w:val="24"/>
              </w:rPr>
              <w:t>环保的目的，按照</w:t>
            </w:r>
            <w:r>
              <w:rPr>
                <w:rFonts w:hint="default" w:ascii="Times New Roman" w:hAnsi="Times New Roman" w:eastAsia="仿宋_GB2312" w:cs="Times New Roman"/>
                <w:bCs/>
                <w:color w:val="auto"/>
                <w:sz w:val="24"/>
                <w:szCs w:val="24"/>
                <w:lang w:eastAsia="zh-CN"/>
              </w:rPr>
              <w:t>气液比在</w:t>
            </w:r>
            <w:r>
              <w:rPr>
                <w:rFonts w:hint="default" w:ascii="Times New Roman" w:hAnsi="Times New Roman" w:eastAsia="仿宋_GB2312" w:cs="Times New Roman"/>
                <w:bCs/>
                <w:color w:val="auto"/>
                <w:sz w:val="24"/>
                <w:szCs w:val="24"/>
                <w:lang w:val="en-US" w:eastAsia="zh-CN"/>
              </w:rPr>
              <w:t>1.0与1.2之间的比</w:t>
            </w:r>
            <w:r>
              <w:rPr>
                <w:rFonts w:hint="default" w:ascii="Times New Roman" w:hAnsi="Times New Roman" w:eastAsia="仿宋_GB2312" w:cs="Times New Roman"/>
                <w:color w:val="auto"/>
                <w:spacing w:val="-4"/>
                <w:sz w:val="24"/>
                <w:szCs w:val="24"/>
              </w:rPr>
              <w:t>例采集</w:t>
            </w:r>
            <w:r>
              <w:rPr>
                <w:rFonts w:hint="default" w:ascii="Times New Roman" w:hAnsi="Times New Roman" w:eastAsia="仿宋_GB2312" w:cs="Times New Roman"/>
                <w:color w:val="auto"/>
                <w:spacing w:val="-5"/>
                <w:sz w:val="24"/>
                <w:szCs w:val="24"/>
              </w:rPr>
              <w:t>汽车油箱口处的油</w:t>
            </w:r>
            <w:r>
              <w:rPr>
                <w:rFonts w:hint="default" w:ascii="Times New Roman" w:hAnsi="Times New Roman" w:eastAsia="仿宋_GB2312" w:cs="Times New Roman"/>
                <w:color w:val="auto"/>
                <w:sz w:val="24"/>
                <w:szCs w:val="24"/>
              </w:rPr>
              <w:t>气，</w:t>
            </w:r>
            <w:r>
              <w:rPr>
                <w:rFonts w:hint="default" w:ascii="Times New Roman" w:hAnsi="Times New Roman" w:eastAsia="仿宋_GB2312" w:cs="Times New Roman"/>
                <w:color w:val="auto"/>
                <w:spacing w:val="-2"/>
                <w:sz w:val="24"/>
                <w:szCs w:val="24"/>
              </w:rPr>
              <w:t>油气排放处理装置就是将罐内多抽回的空气和油蒸汽的混合气体进行分离处</w:t>
            </w:r>
            <w:r>
              <w:rPr>
                <w:rFonts w:hint="default" w:ascii="Times New Roman" w:hAnsi="Times New Roman" w:eastAsia="仿宋_GB2312" w:cs="Times New Roman"/>
                <w:color w:val="auto"/>
                <w:sz w:val="24"/>
                <w:szCs w:val="24"/>
              </w:rPr>
              <w:t>理，经过油气排放装置处理后洁净的空气排放到大气中去，油蒸汽送回</w:t>
            </w:r>
            <w:r>
              <w:rPr>
                <w:rFonts w:hint="default" w:ascii="Times New Roman" w:hAnsi="Times New Roman" w:eastAsia="仿宋_GB2312" w:cs="Times New Roman"/>
                <w:color w:val="auto"/>
                <w:spacing w:val="-1"/>
                <w:sz w:val="24"/>
                <w:szCs w:val="24"/>
              </w:rPr>
              <w:t>地下储罐，地下储罐内压力保持</w:t>
            </w:r>
            <w:r>
              <w:rPr>
                <w:rFonts w:hint="default" w:ascii="Times New Roman" w:hAnsi="Times New Roman" w:eastAsia="仿宋_GB2312" w:cs="Times New Roman"/>
                <w:color w:val="auto"/>
                <w:spacing w:val="-1"/>
                <w:sz w:val="24"/>
                <w:szCs w:val="24"/>
                <w:lang w:eastAsia="zh-CN"/>
              </w:rPr>
              <w:t>平衡</w:t>
            </w:r>
            <w:r>
              <w:rPr>
                <w:rFonts w:hint="default" w:ascii="Times New Roman" w:hAnsi="Times New Roman" w:eastAsia="仿宋_GB2312" w:cs="Times New Roman"/>
                <w:color w:val="auto"/>
                <w:spacing w:val="-1"/>
                <w:sz w:val="24"/>
                <w:szCs w:val="24"/>
              </w:rPr>
              <w:t>的处理过程。</w:t>
            </w:r>
          </w:p>
          <w:p w14:paraId="065EBD5C">
            <w:pPr>
              <w:autoSpaceDE w:val="0"/>
              <w:autoSpaceDN w:val="0"/>
              <w:adjustRightInd w:val="0"/>
              <w:spacing w:line="360" w:lineRule="auto"/>
              <w:rPr>
                <w:rFonts w:hint="default" w:ascii="Times New Roman" w:hAnsi="Times New Roman" w:eastAsia="仿宋_GB2312" w:cs="Times New Roman"/>
                <w:color w:val="auto"/>
                <w:spacing w:val="-1"/>
                <w:sz w:val="24"/>
                <w:szCs w:val="24"/>
              </w:rPr>
            </w:pPr>
            <w:r>
              <w:rPr>
                <w:rFonts w:hint="default" w:ascii="Times New Roman" w:hAnsi="Times New Roman" w:eastAsia="仿宋_GB2312" w:cs="Times New Roman"/>
                <w:color w:val="auto"/>
                <w:position w:val="-102"/>
                <w:sz w:val="24"/>
                <w:szCs w:val="24"/>
              </w:rPr>
              <w:drawing>
                <wp:inline distT="0" distB="0" distL="114300" distR="114300">
                  <wp:extent cx="5120640" cy="2882900"/>
                  <wp:effectExtent l="0" t="0" r="0" b="0"/>
                  <wp:docPr id="84" name="IM 14"/>
                  <wp:cNvGraphicFramePr/>
                  <a:graphic xmlns:a="http://schemas.openxmlformats.org/drawingml/2006/main">
                    <a:graphicData uri="http://schemas.openxmlformats.org/drawingml/2006/picture">
                      <pic:pic xmlns:pic="http://schemas.openxmlformats.org/drawingml/2006/picture">
                        <pic:nvPicPr>
                          <pic:cNvPr id="84" name="IM 14"/>
                          <pic:cNvPicPr/>
                        </pic:nvPicPr>
                        <pic:blipFill>
                          <a:blip r:embed="rId27"/>
                          <a:srcRect t="3074"/>
                          <a:stretch>
                            <a:fillRect/>
                          </a:stretch>
                        </pic:blipFill>
                        <pic:spPr>
                          <a:xfrm>
                            <a:off x="0" y="0"/>
                            <a:ext cx="5120640" cy="2882900"/>
                          </a:xfrm>
                          <a:prstGeom prst="rect">
                            <a:avLst/>
                          </a:prstGeom>
                          <a:noFill/>
                          <a:ln>
                            <a:noFill/>
                          </a:ln>
                        </pic:spPr>
                      </pic:pic>
                    </a:graphicData>
                  </a:graphic>
                </wp:inline>
              </w:drawing>
            </w:r>
          </w:p>
          <w:p w14:paraId="13A930F2">
            <w:pPr>
              <w:keepNext w:val="0"/>
              <w:keepLines w:val="0"/>
              <w:pageBreakBefore w:val="0"/>
              <w:widowControl w:val="0"/>
              <w:kinsoku/>
              <w:wordWrap/>
              <w:overflowPunct/>
              <w:topLinePunct w:val="0"/>
              <w:autoSpaceDE/>
              <w:autoSpaceDN/>
              <w:bidi w:val="0"/>
              <w:adjustRightInd/>
              <w:snapToGrid/>
              <w:spacing w:after="157" w:afterLines="50" w:line="240" w:lineRule="auto"/>
              <w:ind w:firstLine="0" w:firstLineChars="0"/>
              <w:jc w:val="center"/>
              <w:textAlignment w:val="auto"/>
              <w:rPr>
                <w:rFonts w:hint="default" w:ascii="Times New Roman" w:hAnsi="Times New Roman" w:eastAsia="仿宋_GB2312" w:cs="Times New Roman"/>
                <w:color w:val="auto"/>
                <w:spacing w:val="-1"/>
                <w:sz w:val="24"/>
                <w:szCs w:val="24"/>
              </w:rPr>
            </w:pPr>
            <w:r>
              <w:rPr>
                <w:rFonts w:hint="default" w:ascii="Times New Roman" w:hAnsi="Times New Roman" w:eastAsia="仿宋_GB2312" w:cs="Times New Roman"/>
                <w:b/>
                <w:bCs/>
                <w:color w:val="auto"/>
                <w:kern w:val="0"/>
                <w:sz w:val="24"/>
                <w:szCs w:val="24"/>
                <w:highlight w:val="none"/>
                <w:lang w:val="en-US" w:eastAsia="zh-CN" w:bidi="ar-SA"/>
              </w:rPr>
              <w:t>图2-6 加油站油气回收系统全流程工艺流程图</w:t>
            </w:r>
          </w:p>
          <w:p w14:paraId="4F4D72D8">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bCs/>
                <w:color w:val="auto"/>
                <w:sz w:val="24"/>
                <w:szCs w:val="24"/>
                <w:lang w:eastAsia="zh-CN"/>
              </w:rPr>
              <w:t>（5）油罐清理</w:t>
            </w:r>
          </w:p>
          <w:p w14:paraId="054C4F14">
            <w:pPr>
              <w:autoSpaceDE w:val="0"/>
              <w:autoSpaceDN w:val="0"/>
              <w:adjustRightInd w:val="0"/>
              <w:spacing w:line="360" w:lineRule="auto"/>
              <w:ind w:firstLine="476" w:firstLineChars="200"/>
              <w:rPr>
                <w:rFonts w:hint="default" w:ascii="Times New Roman" w:hAnsi="Times New Roman" w:eastAsia="仿宋_GB2312" w:cs="Times New Roman"/>
                <w:color w:val="auto"/>
                <w:spacing w:val="-1"/>
                <w:sz w:val="24"/>
                <w:szCs w:val="24"/>
              </w:rPr>
            </w:pPr>
            <w:r>
              <w:rPr>
                <w:rFonts w:hint="default" w:ascii="Times New Roman" w:hAnsi="Times New Roman" w:eastAsia="仿宋_GB2312" w:cs="Times New Roman"/>
                <w:color w:val="auto"/>
                <w:spacing w:val="-1"/>
                <w:sz w:val="24"/>
                <w:szCs w:val="24"/>
              </w:rPr>
              <w:t>储油罐平均</w:t>
            </w:r>
            <w:r>
              <w:rPr>
                <w:rFonts w:hint="default" w:ascii="Times New Roman" w:hAnsi="Times New Roman" w:eastAsia="仿宋_GB2312" w:cs="Times New Roman"/>
                <w:color w:val="auto"/>
                <w:spacing w:val="-1"/>
                <w:sz w:val="24"/>
                <w:szCs w:val="24"/>
                <w:lang w:eastAsia="zh-CN"/>
              </w:rPr>
              <w:t>每</w:t>
            </w:r>
            <w:r>
              <w:rPr>
                <w:rFonts w:hint="default" w:ascii="Times New Roman" w:hAnsi="Times New Roman" w:eastAsia="仿宋_GB2312" w:cs="Times New Roman"/>
                <w:color w:val="auto"/>
                <w:spacing w:val="-1"/>
                <w:sz w:val="24"/>
                <w:szCs w:val="24"/>
              </w:rPr>
              <w:t>四年进行一次清理，企业委托有资质的专业单位进行清理作业。</w:t>
            </w:r>
            <w:r>
              <w:rPr>
                <w:rFonts w:hint="default" w:ascii="Times New Roman" w:hAnsi="Times New Roman" w:eastAsia="仿宋_GB2312" w:cs="Times New Roman"/>
                <w:color w:val="auto"/>
                <w:sz w:val="24"/>
                <w:szCs w:val="24"/>
              </w:rPr>
              <w:t>清理过程通过高压真空泵吸走储罐里的残液</w:t>
            </w:r>
            <w:r>
              <w:rPr>
                <w:rFonts w:hint="default" w:ascii="Times New Roman" w:hAnsi="Times New Roman" w:eastAsia="仿宋_GB2312" w:cs="Times New Roman"/>
                <w:color w:val="auto"/>
                <w:spacing w:val="-1"/>
                <w:sz w:val="24"/>
                <w:szCs w:val="24"/>
              </w:rPr>
              <w:t>（通过软管密闭连接，吸走的残液由</w:t>
            </w:r>
            <w:r>
              <w:rPr>
                <w:rFonts w:hint="default" w:ascii="Times New Roman" w:hAnsi="Times New Roman" w:eastAsia="仿宋_GB2312" w:cs="Times New Roman"/>
                <w:color w:val="auto"/>
                <w:spacing w:val="-1"/>
                <w:sz w:val="24"/>
                <w:szCs w:val="24"/>
                <w:lang w:eastAsia="zh-CN"/>
              </w:rPr>
              <w:t>专业</w:t>
            </w:r>
            <w:r>
              <w:rPr>
                <w:rFonts w:hint="default" w:ascii="Times New Roman" w:hAnsi="Times New Roman" w:eastAsia="仿宋_GB2312" w:cs="Times New Roman"/>
                <w:color w:val="auto"/>
                <w:spacing w:val="-1"/>
                <w:sz w:val="24"/>
                <w:szCs w:val="24"/>
              </w:rPr>
              <w:t>单位的清罐车密闭转运</w:t>
            </w:r>
            <w:r>
              <w:rPr>
                <w:rFonts w:hint="default" w:ascii="Times New Roman" w:hAnsi="Times New Roman" w:eastAsia="仿宋_GB2312" w:cs="Times New Roman"/>
                <w:color w:val="auto"/>
                <w:spacing w:val="-1"/>
                <w:sz w:val="24"/>
                <w:szCs w:val="24"/>
                <w:lang w:eastAsia="zh-CN"/>
              </w:rPr>
              <w:t>，</w:t>
            </w:r>
            <w:r>
              <w:rPr>
                <w:rFonts w:hint="default" w:ascii="Times New Roman" w:hAnsi="Times New Roman" w:eastAsia="仿宋_GB2312" w:cs="Times New Roman"/>
                <w:color w:val="auto"/>
                <w:spacing w:val="-1"/>
                <w:sz w:val="24"/>
                <w:szCs w:val="24"/>
              </w:rPr>
              <w:t>并交由有</w:t>
            </w:r>
            <w:r>
              <w:rPr>
                <w:rFonts w:hint="default" w:ascii="Times New Roman" w:hAnsi="Times New Roman" w:eastAsia="仿宋_GB2312" w:cs="Times New Roman"/>
                <w:color w:val="auto"/>
                <w:spacing w:val="-1"/>
                <w:sz w:val="24"/>
                <w:szCs w:val="24"/>
                <w:lang w:eastAsia="zh-CN"/>
              </w:rPr>
              <w:t>相关</w:t>
            </w:r>
            <w:r>
              <w:rPr>
                <w:rFonts w:hint="default" w:ascii="Times New Roman" w:hAnsi="Times New Roman" w:eastAsia="仿宋_GB2312" w:cs="Times New Roman"/>
                <w:color w:val="auto"/>
                <w:spacing w:val="-1"/>
                <w:sz w:val="24"/>
                <w:szCs w:val="24"/>
              </w:rPr>
              <w:t>资质单位</w:t>
            </w:r>
            <w:r>
              <w:rPr>
                <w:rFonts w:hint="default" w:ascii="Times New Roman" w:hAnsi="Times New Roman" w:eastAsia="仿宋_GB2312" w:cs="Times New Roman"/>
                <w:color w:val="auto"/>
                <w:spacing w:val="-1"/>
                <w:sz w:val="24"/>
                <w:szCs w:val="24"/>
                <w:lang w:eastAsia="zh-CN"/>
              </w:rPr>
              <w:t>进行处理</w:t>
            </w:r>
            <w:r>
              <w:rPr>
                <w:rFonts w:hint="default" w:ascii="Times New Roman" w:hAnsi="Times New Roman" w:eastAsia="仿宋_GB2312" w:cs="Times New Roman"/>
                <w:color w:val="auto"/>
                <w:spacing w:val="-1"/>
                <w:sz w:val="24"/>
                <w:szCs w:val="24"/>
              </w:rPr>
              <w:t>处置</w:t>
            </w:r>
            <w:r>
              <w:rPr>
                <w:rFonts w:hint="default" w:ascii="Times New Roman" w:hAnsi="Times New Roman" w:eastAsia="仿宋_GB2312" w:cs="Times New Roman"/>
                <w:color w:val="auto"/>
                <w:spacing w:val="8"/>
                <w:sz w:val="24"/>
                <w:szCs w:val="24"/>
              </w:rPr>
              <w:t>），</w:t>
            </w:r>
            <w:r>
              <w:rPr>
                <w:rFonts w:hint="default" w:ascii="Times New Roman" w:hAnsi="Times New Roman" w:eastAsia="仿宋_GB2312" w:cs="Times New Roman"/>
                <w:color w:val="auto"/>
                <w:spacing w:val="-1"/>
                <w:sz w:val="24"/>
                <w:szCs w:val="24"/>
              </w:rPr>
              <w:t>完成储罐的清洗</w:t>
            </w:r>
            <w:r>
              <w:rPr>
                <w:rFonts w:hint="default" w:ascii="Times New Roman" w:hAnsi="Times New Roman" w:eastAsia="仿宋_GB2312" w:cs="Times New Roman"/>
                <w:color w:val="auto"/>
                <w:spacing w:val="-1"/>
                <w:sz w:val="24"/>
                <w:szCs w:val="24"/>
                <w:lang w:eastAsia="zh-CN"/>
              </w:rPr>
              <w:t>；</w:t>
            </w:r>
            <w:r>
              <w:rPr>
                <w:rFonts w:hint="default" w:ascii="Times New Roman" w:hAnsi="Times New Roman" w:eastAsia="仿宋_GB2312" w:cs="Times New Roman"/>
                <w:color w:val="auto"/>
                <w:spacing w:val="-1"/>
                <w:sz w:val="24"/>
                <w:szCs w:val="24"/>
              </w:rPr>
              <w:t>再对罐</w:t>
            </w:r>
            <w:r>
              <w:rPr>
                <w:rFonts w:hint="default" w:ascii="Times New Roman" w:hAnsi="Times New Roman" w:eastAsia="仿宋_GB2312" w:cs="Times New Roman"/>
                <w:color w:val="auto"/>
                <w:sz w:val="24"/>
                <w:szCs w:val="24"/>
              </w:rPr>
              <w:t>内进行通风排除残余油气；完成通风后进行</w:t>
            </w:r>
            <w:r>
              <w:rPr>
                <w:rFonts w:hint="default" w:ascii="Times New Roman" w:hAnsi="Times New Roman" w:eastAsia="仿宋_GB2312" w:cs="Times New Roman"/>
                <w:color w:val="auto"/>
                <w:spacing w:val="-1"/>
                <w:sz w:val="24"/>
                <w:szCs w:val="24"/>
              </w:rPr>
              <w:t>罐内气体检测，油气浓度到达安全范</w:t>
            </w:r>
            <w:r>
              <w:rPr>
                <w:rFonts w:hint="default" w:ascii="Times New Roman" w:hAnsi="Times New Roman" w:eastAsia="仿宋_GB2312" w:cs="Times New Roman"/>
                <w:color w:val="auto"/>
                <w:sz w:val="24"/>
                <w:szCs w:val="24"/>
              </w:rPr>
              <w:t>围后工作人员进入储罐内进行检查；油罐清</w:t>
            </w:r>
            <w:r>
              <w:rPr>
                <w:rFonts w:hint="default" w:ascii="Times New Roman" w:hAnsi="Times New Roman" w:eastAsia="仿宋_GB2312" w:cs="Times New Roman"/>
                <w:color w:val="auto"/>
                <w:spacing w:val="-1"/>
                <w:sz w:val="24"/>
                <w:szCs w:val="24"/>
              </w:rPr>
              <w:t>理作业频次很低，排除的残余油气量很少，对周边环境影响很小。</w:t>
            </w:r>
          </w:p>
          <w:p w14:paraId="109A2AE2">
            <w:pPr>
              <w:autoSpaceDE w:val="0"/>
              <w:autoSpaceDN w:val="0"/>
              <w:adjustRightInd w:val="0"/>
              <w:spacing w:line="360" w:lineRule="auto"/>
              <w:ind w:firstLine="482" w:firstLineChars="200"/>
              <w:rPr>
                <w:rFonts w:hint="default" w:ascii="Times New Roman" w:hAnsi="Times New Roman" w:eastAsia="仿宋_GB2312" w:cs="Times New Roman"/>
                <w:b/>
                <w:bCs w:val="0"/>
                <w:color w:val="auto"/>
                <w:sz w:val="24"/>
                <w:szCs w:val="24"/>
                <w:lang w:val="en-US" w:eastAsia="zh-CN"/>
              </w:rPr>
            </w:pPr>
            <w:r>
              <w:rPr>
                <w:rFonts w:hint="default" w:ascii="Times New Roman" w:hAnsi="Times New Roman" w:eastAsia="仿宋_GB2312" w:cs="Times New Roman"/>
                <w:b/>
                <w:bCs w:val="0"/>
                <w:color w:val="auto"/>
                <w:sz w:val="24"/>
                <w:szCs w:val="24"/>
                <w:lang w:val="en-US" w:eastAsia="zh-CN"/>
              </w:rPr>
              <w:t>2-1-</w:t>
            </w:r>
            <w:r>
              <w:rPr>
                <w:rFonts w:hint="eastAsia" w:eastAsia="仿宋_GB2312" w:cs="Times New Roman"/>
                <w:b/>
                <w:bCs w:val="0"/>
                <w:color w:val="auto"/>
                <w:sz w:val="24"/>
                <w:szCs w:val="24"/>
                <w:lang w:val="en-US" w:eastAsia="zh-CN"/>
              </w:rPr>
              <w:t>2</w:t>
            </w:r>
            <w:r>
              <w:rPr>
                <w:rFonts w:hint="default" w:ascii="Times New Roman" w:hAnsi="Times New Roman" w:eastAsia="仿宋_GB2312" w:cs="Times New Roman"/>
                <w:b/>
                <w:bCs w:val="0"/>
                <w:color w:val="auto"/>
                <w:sz w:val="24"/>
                <w:szCs w:val="24"/>
                <w:lang w:val="en-US" w:eastAsia="zh-CN"/>
              </w:rPr>
              <w:t>：LNG加气站工艺流程</w:t>
            </w:r>
          </w:p>
          <w:p w14:paraId="308AE78C">
            <w:pPr>
              <w:autoSpaceDE w:val="0"/>
              <w:autoSpaceDN w:val="0"/>
              <w:adjustRightInd w:val="0"/>
              <w:spacing w:line="360" w:lineRule="auto"/>
              <w:ind w:firstLine="480" w:firstLineChars="200"/>
              <w:rPr>
                <w:rFonts w:hint="default" w:ascii="Times New Roman" w:hAnsi="Times New Roman" w:eastAsia="仿宋_GB2312" w:cs="Times New Roman"/>
                <w:color w:val="auto"/>
                <w:spacing w:val="-1"/>
                <w:sz w:val="24"/>
                <w:szCs w:val="24"/>
              </w:rPr>
            </w:pPr>
            <w:r>
              <w:rPr>
                <w:rFonts w:hint="default" w:ascii="Times New Roman" w:hAnsi="Times New Roman" w:eastAsia="仿宋_GB2312" w:cs="Times New Roman"/>
                <w:bCs/>
                <w:color w:val="auto"/>
                <w:sz w:val="24"/>
                <w:szCs w:val="24"/>
                <w:lang w:eastAsia="zh-CN"/>
              </w:rPr>
              <w:t>具体工艺过程见下图</w:t>
            </w:r>
            <w:r>
              <w:rPr>
                <w:rFonts w:hint="default" w:ascii="Times New Roman" w:hAnsi="Times New Roman" w:eastAsia="仿宋_GB2312" w:cs="Times New Roman"/>
                <w:bCs/>
                <w:color w:val="auto"/>
                <w:sz w:val="24"/>
                <w:szCs w:val="24"/>
                <w:lang w:val="en-US" w:eastAsia="zh-CN"/>
              </w:rPr>
              <w:t>2-7：</w:t>
            </w:r>
          </w:p>
          <w:p w14:paraId="13268979">
            <w:pPr>
              <w:autoSpaceDE w:val="0"/>
              <w:autoSpaceDN w:val="0"/>
              <w:adjustRightInd w:val="0"/>
              <w:spacing w:line="360" w:lineRule="auto"/>
              <w:jc w:val="center"/>
              <w:rPr>
                <w:rFonts w:hint="default" w:ascii="Times New Roman" w:hAnsi="Times New Roman" w:eastAsia="仿宋_GB2312" w:cs="Times New Roman"/>
                <w:color w:val="auto"/>
                <w:spacing w:val="-1"/>
                <w:sz w:val="24"/>
                <w:szCs w:val="24"/>
                <w:lang w:eastAsia="zh-CN"/>
              </w:rPr>
            </w:pPr>
            <w:r>
              <w:rPr>
                <w:rFonts w:hint="default" w:ascii="Times New Roman" w:hAnsi="Times New Roman" w:eastAsia="仿宋_GB2312" w:cs="Times New Roman"/>
                <w:color w:val="auto"/>
                <w:spacing w:val="-1"/>
                <w:sz w:val="24"/>
                <w:szCs w:val="24"/>
                <w:lang w:eastAsia="zh-CN"/>
              </w:rPr>
              <w:drawing>
                <wp:inline distT="0" distB="0" distL="114300" distR="114300">
                  <wp:extent cx="4639945" cy="2512060"/>
                  <wp:effectExtent l="0" t="0" r="0" b="2540"/>
                  <wp:docPr id="85" name="图片 2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6" descr="图片1"/>
                          <pic:cNvPicPr>
                            <a:picLocks noChangeAspect="1"/>
                          </pic:cNvPicPr>
                        </pic:nvPicPr>
                        <pic:blipFill>
                          <a:blip r:embed="rId28"/>
                          <a:srcRect r="9555"/>
                          <a:stretch>
                            <a:fillRect/>
                          </a:stretch>
                        </pic:blipFill>
                        <pic:spPr>
                          <a:xfrm>
                            <a:off x="0" y="0"/>
                            <a:ext cx="4639945" cy="2512060"/>
                          </a:xfrm>
                          <a:prstGeom prst="rect">
                            <a:avLst/>
                          </a:prstGeom>
                          <a:noFill/>
                          <a:ln>
                            <a:noFill/>
                          </a:ln>
                        </pic:spPr>
                      </pic:pic>
                    </a:graphicData>
                  </a:graphic>
                </wp:inline>
              </w:drawing>
            </w:r>
          </w:p>
          <w:p w14:paraId="4B3B1335">
            <w:pPr>
              <w:keepNext w:val="0"/>
              <w:keepLines w:val="0"/>
              <w:pageBreakBefore w:val="0"/>
              <w:widowControl w:val="0"/>
              <w:kinsoku/>
              <w:wordWrap/>
              <w:overflowPunct/>
              <w:topLinePunct w:val="0"/>
              <w:autoSpaceDE/>
              <w:autoSpaceDN/>
              <w:bidi w:val="0"/>
              <w:adjustRightInd/>
              <w:snapToGrid/>
              <w:spacing w:after="157" w:afterLines="50" w:line="240" w:lineRule="auto"/>
              <w:ind w:firstLine="0" w:firstLineChars="0"/>
              <w:jc w:val="center"/>
              <w:textAlignment w:val="auto"/>
              <w:rPr>
                <w:rFonts w:hint="default" w:ascii="Times New Roman" w:hAnsi="Times New Roman" w:eastAsia="仿宋_GB2312" w:cs="Times New Roman"/>
                <w:color w:val="auto"/>
                <w:spacing w:val="-1"/>
                <w:sz w:val="24"/>
                <w:szCs w:val="24"/>
              </w:rPr>
            </w:pPr>
            <w:r>
              <w:rPr>
                <w:rFonts w:hint="default" w:ascii="Times New Roman" w:hAnsi="Times New Roman" w:eastAsia="仿宋_GB2312" w:cs="Times New Roman"/>
                <w:b/>
                <w:bCs/>
                <w:color w:val="auto"/>
                <w:kern w:val="0"/>
                <w:sz w:val="24"/>
                <w:szCs w:val="24"/>
                <w:highlight w:val="none"/>
                <w:lang w:val="en-US" w:eastAsia="zh-CN" w:bidi="ar-SA"/>
              </w:rPr>
              <w:t>图2-7 LNG加气站运营期工艺流程及产污节点图</w:t>
            </w:r>
          </w:p>
          <w:p w14:paraId="1657B63D">
            <w:pPr>
              <w:autoSpaceDE w:val="0"/>
              <w:autoSpaceDN w:val="0"/>
              <w:adjustRightInd w:val="0"/>
              <w:spacing w:line="360" w:lineRule="auto"/>
              <w:ind w:firstLine="476" w:firstLineChars="200"/>
              <w:rPr>
                <w:rFonts w:hint="default" w:ascii="Times New Roman" w:hAnsi="Times New Roman" w:eastAsia="仿宋_GB2312" w:cs="Times New Roman"/>
                <w:color w:val="auto"/>
                <w:spacing w:val="-1"/>
                <w:sz w:val="24"/>
                <w:szCs w:val="24"/>
                <w:lang w:val="en-US" w:eastAsia="zh-CN"/>
              </w:rPr>
            </w:pPr>
            <w:r>
              <w:rPr>
                <w:rFonts w:hint="default" w:ascii="Times New Roman" w:hAnsi="Times New Roman" w:eastAsia="仿宋_GB2312" w:cs="Times New Roman"/>
                <w:color w:val="auto"/>
                <w:spacing w:val="-1"/>
                <w:sz w:val="24"/>
                <w:szCs w:val="24"/>
                <w:lang w:val="en-US" w:eastAsia="zh-CN"/>
              </w:rPr>
              <w:t>LNG加气站工艺流程主要分为卸车、调饱和、加液、泄压。卸车时由增压器将LNG槽车内的LNG卸至储罐内；调压饱和是指给汽车车载瓶加气前，储罐内的LNG通过饱和汽化器升压、升温使之处于饱和状态；加液是将储罐内的LNG用潜液低温泵抽出通过加气机向汽车加液；泄压是加完气</w:t>
            </w:r>
            <w:r>
              <w:rPr>
                <w:rFonts w:hint="eastAsia" w:eastAsia="仿宋_GB2312" w:cs="Times New Roman"/>
                <w:color w:val="auto"/>
                <w:spacing w:val="-1"/>
                <w:sz w:val="24"/>
                <w:szCs w:val="24"/>
                <w:lang w:val="en-US" w:eastAsia="zh-CN"/>
              </w:rPr>
              <w:t>后</w:t>
            </w:r>
            <w:r>
              <w:rPr>
                <w:rFonts w:hint="default" w:ascii="Times New Roman" w:hAnsi="Times New Roman" w:eastAsia="仿宋_GB2312" w:cs="Times New Roman"/>
                <w:color w:val="auto"/>
                <w:spacing w:val="-1"/>
                <w:sz w:val="24"/>
                <w:szCs w:val="24"/>
                <w:lang w:val="en-US" w:eastAsia="zh-CN"/>
              </w:rPr>
              <w:t>给加气机泄压。</w:t>
            </w:r>
          </w:p>
          <w:p w14:paraId="5064D7D4">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eastAsia="zh-CN"/>
              </w:rPr>
              <w:t>（</w:t>
            </w:r>
            <w:r>
              <w:rPr>
                <w:rFonts w:hint="default" w:ascii="Times New Roman" w:hAnsi="Times New Roman" w:eastAsia="仿宋_GB2312" w:cs="Times New Roman"/>
                <w:bCs/>
                <w:color w:val="auto"/>
                <w:sz w:val="24"/>
                <w:szCs w:val="24"/>
                <w:lang w:val="en-US" w:eastAsia="zh-CN"/>
              </w:rPr>
              <w:t>1</w:t>
            </w:r>
            <w:r>
              <w:rPr>
                <w:rFonts w:hint="default" w:ascii="Times New Roman" w:hAnsi="Times New Roman" w:eastAsia="仿宋_GB2312" w:cs="Times New Roman"/>
                <w:bCs/>
                <w:color w:val="auto"/>
                <w:sz w:val="24"/>
                <w:szCs w:val="24"/>
                <w:lang w:eastAsia="zh-CN"/>
              </w:rPr>
              <w:t>）卸车：本项目采用增压器和泵联合卸车，先将</w:t>
            </w:r>
            <w:r>
              <w:rPr>
                <w:rFonts w:hint="default" w:ascii="Times New Roman" w:hAnsi="Times New Roman" w:eastAsia="仿宋_GB2312" w:cs="Times New Roman"/>
                <w:bCs/>
                <w:color w:val="auto"/>
                <w:sz w:val="24"/>
                <w:szCs w:val="24"/>
                <w:lang w:val="en-US" w:eastAsia="zh-CN"/>
              </w:rPr>
              <w:t>LNG槽车和储罐气相空间连接使压力平衡，</w:t>
            </w:r>
            <w:r>
              <w:rPr>
                <w:rFonts w:hint="default" w:ascii="Times New Roman" w:hAnsi="Times New Roman" w:eastAsia="仿宋_GB2312" w:cs="Times New Roman"/>
                <w:bCs/>
                <w:color w:val="auto"/>
                <w:sz w:val="24"/>
                <w:szCs w:val="24"/>
                <w:lang w:eastAsia="zh-CN"/>
              </w:rPr>
              <w:t>通过卸车增压器给</w:t>
            </w:r>
            <w:r>
              <w:rPr>
                <w:rFonts w:hint="default" w:ascii="Times New Roman" w:hAnsi="Times New Roman" w:eastAsia="仿宋_GB2312" w:cs="Times New Roman"/>
                <w:bCs/>
                <w:color w:val="auto"/>
                <w:sz w:val="24"/>
                <w:szCs w:val="24"/>
                <w:lang w:val="en-US" w:eastAsia="zh-CN"/>
              </w:rPr>
              <w:t>LNG槽车增压，通过LNG低温泵撬、真空管道、阀门等将LNG从槽车内压入储罐。在卸车增压过程中会产生部分温度较低的蒸发气体，简称BOG，通过放空阀至BOG加热器加热后回收。卸车过程产生噪声（N4）。</w:t>
            </w:r>
          </w:p>
          <w:p w14:paraId="1C86EA47">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eastAsia="zh-CN"/>
              </w:rPr>
              <w:t>（</w:t>
            </w:r>
            <w:r>
              <w:rPr>
                <w:rFonts w:hint="default" w:ascii="Times New Roman" w:hAnsi="Times New Roman" w:eastAsia="仿宋_GB2312" w:cs="Times New Roman"/>
                <w:bCs/>
                <w:color w:val="auto"/>
                <w:sz w:val="24"/>
                <w:szCs w:val="24"/>
                <w:lang w:val="en-US" w:eastAsia="zh-CN"/>
              </w:rPr>
              <w:t>2</w:t>
            </w:r>
            <w:r>
              <w:rPr>
                <w:rFonts w:hint="default" w:ascii="Times New Roman" w:hAnsi="Times New Roman" w:eastAsia="仿宋_GB2312" w:cs="Times New Roman"/>
                <w:bCs/>
                <w:color w:val="auto"/>
                <w:sz w:val="24"/>
                <w:szCs w:val="24"/>
                <w:lang w:eastAsia="zh-CN"/>
              </w:rPr>
              <w:t>）调饱和：</w:t>
            </w:r>
            <w:r>
              <w:rPr>
                <w:rFonts w:hint="default" w:ascii="Times New Roman" w:hAnsi="Times New Roman" w:eastAsia="仿宋_GB2312" w:cs="Times New Roman"/>
                <w:bCs/>
                <w:color w:val="auto"/>
                <w:sz w:val="24"/>
                <w:szCs w:val="24"/>
                <w:lang w:val="en-US" w:eastAsia="zh-CN"/>
              </w:rPr>
              <w:t>LNG</w:t>
            </w:r>
            <w:r>
              <w:rPr>
                <w:rFonts w:hint="default" w:ascii="Times New Roman" w:hAnsi="Times New Roman" w:eastAsia="仿宋_GB2312" w:cs="Times New Roman"/>
                <w:bCs/>
                <w:color w:val="auto"/>
                <w:sz w:val="24"/>
                <w:szCs w:val="24"/>
                <w:lang w:eastAsia="zh-CN"/>
              </w:rPr>
              <w:t>汽车发动机需要车载瓶中</w:t>
            </w:r>
            <w:r>
              <w:rPr>
                <w:rFonts w:hint="default" w:ascii="Times New Roman" w:hAnsi="Times New Roman" w:eastAsia="仿宋_GB2312" w:cs="Times New Roman"/>
                <w:bCs/>
                <w:color w:val="auto"/>
                <w:sz w:val="24"/>
                <w:szCs w:val="24"/>
                <w:lang w:val="en-US" w:eastAsia="zh-CN"/>
              </w:rPr>
              <w:t>饱和液体压力较高，一般为0.52~0.83MPa，而运输和储存需要LNG液体压力越低越好</w:t>
            </w:r>
            <w:r>
              <w:rPr>
                <w:rFonts w:hint="default" w:ascii="Times New Roman" w:hAnsi="Times New Roman" w:eastAsia="仿宋_GB2312" w:cs="Times New Roman"/>
                <w:bCs/>
                <w:color w:val="auto"/>
                <w:sz w:val="24"/>
                <w:szCs w:val="24"/>
                <w:lang w:eastAsia="zh-CN"/>
              </w:rPr>
              <w:t>，由于目前车载瓶不带增压器，为此在给汽车加液之前需先对储罐中的</w:t>
            </w:r>
            <w:r>
              <w:rPr>
                <w:rFonts w:hint="default" w:ascii="Times New Roman" w:hAnsi="Times New Roman" w:eastAsia="仿宋_GB2312" w:cs="Times New Roman"/>
                <w:bCs/>
                <w:color w:val="auto"/>
                <w:sz w:val="24"/>
                <w:szCs w:val="24"/>
                <w:lang w:val="en-US" w:eastAsia="zh-CN"/>
              </w:rPr>
              <w:t>LNG进行升压，升压过程中饱和温度也相应升高，在得到一定压力的饱和液体后方可给汽车加液。调压过程产生噪声（N5）。</w:t>
            </w:r>
          </w:p>
          <w:p w14:paraId="6BE41761">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eastAsia="zh-CN"/>
              </w:rPr>
              <w:t>（</w:t>
            </w:r>
            <w:r>
              <w:rPr>
                <w:rFonts w:hint="default" w:ascii="Times New Roman" w:hAnsi="Times New Roman" w:eastAsia="仿宋_GB2312" w:cs="Times New Roman"/>
                <w:bCs/>
                <w:color w:val="auto"/>
                <w:sz w:val="24"/>
                <w:szCs w:val="24"/>
                <w:lang w:val="en-US" w:eastAsia="zh-CN"/>
              </w:rPr>
              <w:t>3</w:t>
            </w:r>
            <w:r>
              <w:rPr>
                <w:rFonts w:hint="default" w:ascii="Times New Roman" w:hAnsi="Times New Roman" w:eastAsia="仿宋_GB2312" w:cs="Times New Roman"/>
                <w:bCs/>
                <w:color w:val="auto"/>
                <w:sz w:val="24"/>
                <w:szCs w:val="24"/>
                <w:lang w:eastAsia="zh-CN"/>
              </w:rPr>
              <w:t>）加气：储罐中的饱和液体</w:t>
            </w:r>
            <w:r>
              <w:rPr>
                <w:rFonts w:hint="default" w:ascii="Times New Roman" w:hAnsi="Times New Roman" w:eastAsia="仿宋_GB2312" w:cs="Times New Roman"/>
                <w:bCs/>
                <w:color w:val="auto"/>
                <w:sz w:val="24"/>
                <w:szCs w:val="24"/>
                <w:lang w:val="en-US" w:eastAsia="zh-CN"/>
              </w:rPr>
              <w:t>LNG通过潜液浸没式低温泵加压后经过计量器由加气机给汽车加液，最高加液压力可达1.6MPa。</w:t>
            </w:r>
          </w:p>
          <w:p w14:paraId="05653CDB">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eastAsia="zh-CN"/>
              </w:rPr>
              <w:t>（</w:t>
            </w:r>
            <w:r>
              <w:rPr>
                <w:rFonts w:hint="default" w:ascii="Times New Roman" w:hAnsi="Times New Roman" w:eastAsia="仿宋_GB2312" w:cs="Times New Roman"/>
                <w:bCs/>
                <w:color w:val="auto"/>
                <w:sz w:val="24"/>
                <w:szCs w:val="24"/>
                <w:lang w:val="en-US" w:eastAsia="zh-CN"/>
              </w:rPr>
              <w:t>4</w:t>
            </w:r>
            <w:r>
              <w:rPr>
                <w:rFonts w:hint="default" w:ascii="Times New Roman" w:hAnsi="Times New Roman" w:eastAsia="仿宋_GB2312" w:cs="Times New Roman"/>
                <w:bCs/>
                <w:color w:val="auto"/>
                <w:sz w:val="24"/>
                <w:szCs w:val="24"/>
                <w:lang w:eastAsia="zh-CN"/>
              </w:rPr>
              <w:t>）泄压：由于系统漏热以及外界带进的热量，致使</w:t>
            </w:r>
            <w:r>
              <w:rPr>
                <w:rFonts w:hint="default" w:ascii="Times New Roman" w:hAnsi="Times New Roman" w:eastAsia="仿宋_GB2312" w:cs="Times New Roman"/>
                <w:bCs/>
                <w:color w:val="auto"/>
                <w:sz w:val="24"/>
                <w:szCs w:val="24"/>
                <w:lang w:val="en-US" w:eastAsia="zh-CN"/>
              </w:rPr>
              <w:t>LNG气化，导致系统压力升高。或者在储罐升压过程中，储罐中的液体蒸发，这部分蒸发气体如不及时排出，储罐压力也会越来越大。当系统压力大于设定值时，通过BOG回收系统或者安全阀打开，排出安全放散气体，降低压力，保证系统安全。此过程产生有机废气（G5）。</w:t>
            </w:r>
          </w:p>
          <w:p w14:paraId="2692E0C1">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LNG加气站产生废气的过程主要在储罐区，其蒸发气的组分取决于液体的组分。根据《液化天然气的一般特性》（GB/T 19204-2020）中列举某蒸发气可能含20%氮、80%甲烷和微量乙烷，LNG压力变化会导致其蒸气组分与剩余液体组分不一样，蒸发气中的含氮量可能是液体LNG中含氮量的20倍。由此可知，加气站放散气体主要以氮和甲烷为主，含有极少量的乙烷等其他烃类，排放的有机废气中非甲烷总烃含量极少，对环境影响很小。</w:t>
            </w:r>
          </w:p>
          <w:p w14:paraId="6F21EF8B">
            <w:pPr>
              <w:autoSpaceDE w:val="0"/>
              <w:autoSpaceDN w:val="0"/>
              <w:adjustRightInd w:val="0"/>
              <w:spacing w:line="360" w:lineRule="auto"/>
              <w:ind w:firstLine="482" w:firstLineChars="200"/>
              <w:rPr>
                <w:rFonts w:hint="default" w:ascii="Times New Roman" w:hAnsi="Times New Roman" w:eastAsia="仿宋_GB2312" w:cs="Times New Roman"/>
                <w:b/>
                <w:bCs w:val="0"/>
                <w:color w:val="auto"/>
                <w:sz w:val="24"/>
                <w:szCs w:val="24"/>
                <w:lang w:eastAsia="zh-CN"/>
              </w:rPr>
            </w:pPr>
            <w:r>
              <w:rPr>
                <w:rFonts w:hint="default" w:ascii="Times New Roman" w:hAnsi="Times New Roman" w:eastAsia="仿宋_GB2312" w:cs="Times New Roman"/>
                <w:b/>
                <w:bCs w:val="0"/>
                <w:color w:val="auto"/>
                <w:sz w:val="24"/>
                <w:szCs w:val="24"/>
                <w:lang w:eastAsia="zh-CN"/>
              </w:rPr>
              <w:t>2</w:t>
            </w:r>
            <w:r>
              <w:rPr>
                <w:rFonts w:hint="default" w:ascii="Times New Roman" w:hAnsi="Times New Roman" w:eastAsia="仿宋_GB2312" w:cs="Times New Roman"/>
                <w:b/>
                <w:bCs w:val="0"/>
                <w:color w:val="auto"/>
                <w:sz w:val="24"/>
                <w:szCs w:val="24"/>
                <w:lang w:val="en-US" w:eastAsia="zh-CN"/>
              </w:rPr>
              <w:t>-2：</w:t>
            </w:r>
            <w:r>
              <w:rPr>
                <w:rFonts w:hint="default" w:ascii="Times New Roman" w:hAnsi="Times New Roman" w:eastAsia="仿宋_GB2312" w:cs="Times New Roman"/>
                <w:b/>
                <w:bCs w:val="0"/>
                <w:color w:val="auto"/>
                <w:sz w:val="24"/>
                <w:szCs w:val="24"/>
                <w:lang w:eastAsia="zh-CN"/>
              </w:rPr>
              <w:t>产排污环节：</w:t>
            </w:r>
          </w:p>
          <w:p w14:paraId="41117B7A">
            <w:pPr>
              <w:autoSpaceDE w:val="0"/>
              <w:autoSpaceDN w:val="0"/>
              <w:adjustRightInd w:val="0"/>
              <w:spacing w:line="360" w:lineRule="auto"/>
              <w:ind w:firstLine="476" w:firstLineChars="200"/>
              <w:rPr>
                <w:rFonts w:hint="default" w:ascii="Times New Roman" w:hAnsi="Times New Roman" w:eastAsia="仿宋_GB2312" w:cs="Times New Roman"/>
                <w:color w:val="auto"/>
                <w:spacing w:val="-1"/>
                <w:sz w:val="24"/>
                <w:szCs w:val="24"/>
              </w:rPr>
            </w:pPr>
            <w:r>
              <w:rPr>
                <w:rFonts w:hint="default" w:ascii="Times New Roman" w:hAnsi="Times New Roman" w:eastAsia="仿宋_GB2312" w:cs="Times New Roman"/>
                <w:color w:val="auto"/>
                <w:spacing w:val="-1"/>
                <w:sz w:val="24"/>
                <w:szCs w:val="24"/>
              </w:rPr>
              <w:t>本项目运营期主要产排污环节见下表：</w:t>
            </w:r>
          </w:p>
          <w:p w14:paraId="4284BC2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pacing w:val="-1"/>
                <w:sz w:val="24"/>
                <w:szCs w:val="24"/>
              </w:rPr>
            </w:pPr>
            <w:r>
              <w:rPr>
                <w:rFonts w:hint="default" w:ascii="Times New Roman" w:hAnsi="Times New Roman" w:eastAsia="仿宋_GB2312" w:cs="Times New Roman"/>
                <w:b/>
                <w:bCs/>
                <w:color w:val="auto"/>
                <w:kern w:val="0"/>
                <w:sz w:val="24"/>
                <w:szCs w:val="24"/>
                <w:highlight w:val="none"/>
                <w:lang w:val="en-US" w:eastAsia="zh-CN" w:bidi="ar-SA"/>
              </w:rPr>
              <w:t>表2-7 项目全流程产污环节汇总</w:t>
            </w:r>
          </w:p>
          <w:tbl>
            <w:tblPr>
              <w:tblStyle w:val="20"/>
              <w:tblW w:w="8088"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518"/>
              <w:gridCol w:w="2170"/>
              <w:gridCol w:w="812"/>
              <w:gridCol w:w="2554"/>
            </w:tblGrid>
            <w:tr w14:paraId="0C0A47B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52" w:type="dxa"/>
                  <w:gridSpan w:val="2"/>
                  <w:tcBorders>
                    <w:tl2br w:val="nil"/>
                    <w:tr2bl w:val="nil"/>
                  </w:tcBorders>
                  <w:noWrap w:val="0"/>
                  <w:vAlign w:val="center"/>
                </w:tcPr>
                <w:p w14:paraId="39358D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pacing w:val="-1"/>
                      <w:sz w:val="21"/>
                      <w:szCs w:val="21"/>
                      <w:vertAlign w:val="baseline"/>
                    </w:rPr>
                  </w:pPr>
                  <w:r>
                    <w:rPr>
                      <w:rFonts w:hint="default" w:ascii="Times New Roman" w:hAnsi="Times New Roman" w:eastAsia="仿宋_GB2312" w:cs="Times New Roman"/>
                      <w:b/>
                      <w:bCs/>
                      <w:color w:val="auto"/>
                      <w:spacing w:val="-1"/>
                      <w:sz w:val="21"/>
                      <w:szCs w:val="21"/>
                      <w:vertAlign w:val="baseline"/>
                      <w:lang w:eastAsia="zh-CN"/>
                    </w:rPr>
                    <w:t>污染源</w:t>
                  </w:r>
                </w:p>
              </w:tc>
              <w:tc>
                <w:tcPr>
                  <w:tcW w:w="2170" w:type="dxa"/>
                  <w:tcBorders>
                    <w:tl2br w:val="nil"/>
                    <w:tr2bl w:val="nil"/>
                  </w:tcBorders>
                  <w:noWrap w:val="0"/>
                  <w:vAlign w:val="center"/>
                </w:tcPr>
                <w:p w14:paraId="786D8B1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pacing w:val="-1"/>
                      <w:sz w:val="21"/>
                      <w:szCs w:val="21"/>
                      <w:vertAlign w:val="baseline"/>
                      <w:lang w:eastAsia="zh-CN"/>
                    </w:rPr>
                  </w:pPr>
                  <w:r>
                    <w:rPr>
                      <w:rFonts w:hint="default" w:ascii="Times New Roman" w:hAnsi="Times New Roman" w:eastAsia="仿宋_GB2312" w:cs="Times New Roman"/>
                      <w:b/>
                      <w:bCs/>
                      <w:color w:val="auto"/>
                      <w:spacing w:val="-1"/>
                      <w:sz w:val="21"/>
                      <w:szCs w:val="21"/>
                      <w:vertAlign w:val="baseline"/>
                      <w:lang w:eastAsia="zh-CN"/>
                    </w:rPr>
                    <w:t>产污环节</w:t>
                  </w:r>
                </w:p>
              </w:tc>
              <w:tc>
                <w:tcPr>
                  <w:tcW w:w="3366" w:type="dxa"/>
                  <w:gridSpan w:val="2"/>
                  <w:tcBorders>
                    <w:tl2br w:val="nil"/>
                    <w:tr2bl w:val="nil"/>
                  </w:tcBorders>
                  <w:noWrap w:val="0"/>
                  <w:vAlign w:val="center"/>
                </w:tcPr>
                <w:p w14:paraId="3F372FB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b/>
                      <w:bCs/>
                      <w:color w:val="auto"/>
                      <w:spacing w:val="-1"/>
                      <w:sz w:val="21"/>
                      <w:szCs w:val="21"/>
                      <w:vertAlign w:val="baseline"/>
                      <w:lang w:eastAsia="zh-CN"/>
                    </w:rPr>
                  </w:pPr>
                  <w:r>
                    <w:rPr>
                      <w:rFonts w:hint="default" w:ascii="Times New Roman" w:hAnsi="Times New Roman" w:eastAsia="仿宋_GB2312" w:cs="Times New Roman"/>
                      <w:b/>
                      <w:bCs/>
                      <w:color w:val="auto"/>
                      <w:spacing w:val="-1"/>
                      <w:sz w:val="21"/>
                      <w:szCs w:val="21"/>
                      <w:vertAlign w:val="baseline"/>
                      <w:lang w:eastAsia="zh-CN"/>
                    </w:rPr>
                    <w:t>主要污染物</w:t>
                  </w:r>
                </w:p>
              </w:tc>
            </w:tr>
            <w:tr w14:paraId="43C39C6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restart"/>
                  <w:tcBorders>
                    <w:tl2br w:val="nil"/>
                    <w:tr2bl w:val="nil"/>
                  </w:tcBorders>
                  <w:noWrap w:val="0"/>
                  <w:vAlign w:val="center"/>
                </w:tcPr>
                <w:p w14:paraId="13BFADF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废气</w:t>
                  </w:r>
                </w:p>
              </w:tc>
              <w:tc>
                <w:tcPr>
                  <w:tcW w:w="1518" w:type="dxa"/>
                  <w:tcBorders>
                    <w:tl2br w:val="nil"/>
                    <w:tr2bl w:val="nil"/>
                  </w:tcBorders>
                  <w:noWrap w:val="0"/>
                  <w:vAlign w:val="center"/>
                </w:tcPr>
                <w:p w14:paraId="2E3EC82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G1</w:t>
                  </w:r>
                </w:p>
              </w:tc>
              <w:tc>
                <w:tcPr>
                  <w:tcW w:w="2170" w:type="dxa"/>
                  <w:tcBorders>
                    <w:tl2br w:val="nil"/>
                    <w:tr2bl w:val="nil"/>
                  </w:tcBorders>
                  <w:noWrap w:val="0"/>
                  <w:vAlign w:val="center"/>
                </w:tcPr>
                <w:p w14:paraId="16B3908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油罐车卸油</w:t>
                  </w:r>
                </w:p>
              </w:tc>
              <w:tc>
                <w:tcPr>
                  <w:tcW w:w="3366" w:type="dxa"/>
                  <w:gridSpan w:val="2"/>
                  <w:tcBorders>
                    <w:tl2br w:val="nil"/>
                    <w:tr2bl w:val="nil"/>
                  </w:tcBorders>
                  <w:noWrap w:val="0"/>
                  <w:vAlign w:val="center"/>
                </w:tcPr>
                <w:p w14:paraId="06961F4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非甲烷总烃</w:t>
                  </w:r>
                </w:p>
              </w:tc>
            </w:tr>
            <w:tr w14:paraId="423718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79BFC68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324F01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G2</w:t>
                  </w:r>
                </w:p>
              </w:tc>
              <w:tc>
                <w:tcPr>
                  <w:tcW w:w="2170" w:type="dxa"/>
                  <w:tcBorders>
                    <w:tl2br w:val="nil"/>
                    <w:tr2bl w:val="nil"/>
                  </w:tcBorders>
                  <w:noWrap w:val="0"/>
                  <w:vAlign w:val="center"/>
                </w:tcPr>
                <w:p w14:paraId="113EAD0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储罐泄压</w:t>
                  </w:r>
                </w:p>
              </w:tc>
              <w:tc>
                <w:tcPr>
                  <w:tcW w:w="3366" w:type="dxa"/>
                  <w:gridSpan w:val="2"/>
                  <w:tcBorders>
                    <w:tl2br w:val="nil"/>
                    <w:tr2bl w:val="nil"/>
                  </w:tcBorders>
                  <w:noWrap w:val="0"/>
                  <w:vAlign w:val="center"/>
                </w:tcPr>
                <w:p w14:paraId="2CADE89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r>
                    <w:rPr>
                      <w:rFonts w:hint="default" w:ascii="Times New Roman" w:hAnsi="Times New Roman" w:eastAsia="仿宋_GB2312" w:cs="Times New Roman"/>
                      <w:color w:val="auto"/>
                      <w:spacing w:val="-1"/>
                      <w:sz w:val="21"/>
                      <w:szCs w:val="21"/>
                      <w:vertAlign w:val="baseline"/>
                      <w:lang w:eastAsia="zh-CN"/>
                    </w:rPr>
                    <w:t>非甲烷总烃</w:t>
                  </w:r>
                </w:p>
              </w:tc>
            </w:tr>
            <w:tr w14:paraId="04C9C60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4A69DA9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709A3AD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G3</w:t>
                  </w:r>
                </w:p>
              </w:tc>
              <w:tc>
                <w:tcPr>
                  <w:tcW w:w="2170" w:type="dxa"/>
                  <w:tcBorders>
                    <w:tl2br w:val="nil"/>
                    <w:tr2bl w:val="nil"/>
                  </w:tcBorders>
                  <w:noWrap w:val="0"/>
                  <w:vAlign w:val="center"/>
                </w:tcPr>
                <w:p w14:paraId="1457E49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车辆加油</w:t>
                  </w:r>
                </w:p>
              </w:tc>
              <w:tc>
                <w:tcPr>
                  <w:tcW w:w="3366" w:type="dxa"/>
                  <w:gridSpan w:val="2"/>
                  <w:tcBorders>
                    <w:tl2br w:val="nil"/>
                    <w:tr2bl w:val="nil"/>
                  </w:tcBorders>
                  <w:noWrap w:val="0"/>
                  <w:vAlign w:val="center"/>
                </w:tcPr>
                <w:p w14:paraId="77C95EC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r>
                    <w:rPr>
                      <w:rFonts w:hint="default" w:ascii="Times New Roman" w:hAnsi="Times New Roman" w:eastAsia="仿宋_GB2312" w:cs="Times New Roman"/>
                      <w:color w:val="auto"/>
                      <w:spacing w:val="-1"/>
                      <w:sz w:val="21"/>
                      <w:szCs w:val="21"/>
                      <w:vertAlign w:val="baseline"/>
                      <w:lang w:eastAsia="zh-CN"/>
                    </w:rPr>
                    <w:t>非甲烷总烃</w:t>
                  </w:r>
                </w:p>
              </w:tc>
            </w:tr>
            <w:tr w14:paraId="560A9D9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3A6765F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2B513E3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G4</w:t>
                  </w:r>
                </w:p>
              </w:tc>
              <w:tc>
                <w:tcPr>
                  <w:tcW w:w="2170" w:type="dxa"/>
                  <w:tcBorders>
                    <w:tl2br w:val="nil"/>
                    <w:tr2bl w:val="nil"/>
                  </w:tcBorders>
                  <w:noWrap w:val="0"/>
                  <w:vAlign w:val="center"/>
                </w:tcPr>
                <w:p w14:paraId="44E2076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汽车尾气</w:t>
                  </w:r>
                </w:p>
              </w:tc>
              <w:tc>
                <w:tcPr>
                  <w:tcW w:w="3366" w:type="dxa"/>
                  <w:gridSpan w:val="2"/>
                  <w:tcBorders>
                    <w:tl2br w:val="nil"/>
                    <w:tr2bl w:val="nil"/>
                  </w:tcBorders>
                  <w:noWrap w:val="0"/>
                  <w:vAlign w:val="center"/>
                </w:tcPr>
                <w:p w14:paraId="6CB7B1E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非甲烷总烃、一氧化碳、氮氧化物</w:t>
                  </w:r>
                </w:p>
              </w:tc>
            </w:tr>
            <w:tr w14:paraId="12F657C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65E64B9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187ECDB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G5</w:t>
                  </w:r>
                </w:p>
              </w:tc>
              <w:tc>
                <w:tcPr>
                  <w:tcW w:w="2170" w:type="dxa"/>
                  <w:tcBorders>
                    <w:tl2br w:val="nil"/>
                    <w:tr2bl w:val="nil"/>
                  </w:tcBorders>
                  <w:noWrap w:val="0"/>
                  <w:vAlign w:val="center"/>
                </w:tcPr>
                <w:p w14:paraId="336CD33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LNG撬装站</w:t>
                  </w:r>
                </w:p>
              </w:tc>
              <w:tc>
                <w:tcPr>
                  <w:tcW w:w="3366" w:type="dxa"/>
                  <w:gridSpan w:val="2"/>
                  <w:tcBorders>
                    <w:tl2br w:val="nil"/>
                    <w:tr2bl w:val="nil"/>
                  </w:tcBorders>
                  <w:noWrap w:val="0"/>
                  <w:vAlign w:val="center"/>
                </w:tcPr>
                <w:p w14:paraId="2BED86C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非甲烷总烃</w:t>
                  </w:r>
                </w:p>
              </w:tc>
            </w:tr>
            <w:tr w14:paraId="0B5932A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restart"/>
                  <w:tcBorders>
                    <w:tl2br w:val="nil"/>
                    <w:tr2bl w:val="nil"/>
                  </w:tcBorders>
                  <w:noWrap w:val="0"/>
                  <w:vAlign w:val="center"/>
                </w:tcPr>
                <w:p w14:paraId="334F344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废水</w:t>
                  </w:r>
                </w:p>
              </w:tc>
              <w:tc>
                <w:tcPr>
                  <w:tcW w:w="1518" w:type="dxa"/>
                  <w:tcBorders>
                    <w:tl2br w:val="nil"/>
                    <w:tr2bl w:val="nil"/>
                  </w:tcBorders>
                  <w:noWrap w:val="0"/>
                  <w:vAlign w:val="center"/>
                </w:tcPr>
                <w:p w14:paraId="6485C4D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W1</w:t>
                  </w:r>
                </w:p>
              </w:tc>
              <w:tc>
                <w:tcPr>
                  <w:tcW w:w="2170" w:type="dxa"/>
                  <w:tcBorders>
                    <w:tl2br w:val="nil"/>
                    <w:tr2bl w:val="nil"/>
                  </w:tcBorders>
                  <w:noWrap w:val="0"/>
                  <w:vAlign w:val="center"/>
                </w:tcPr>
                <w:p w14:paraId="4C9007C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汽车废水</w:t>
                  </w:r>
                </w:p>
              </w:tc>
              <w:tc>
                <w:tcPr>
                  <w:tcW w:w="3366" w:type="dxa"/>
                  <w:gridSpan w:val="2"/>
                  <w:tcBorders>
                    <w:tl2br w:val="nil"/>
                    <w:tr2bl w:val="nil"/>
                  </w:tcBorders>
                  <w:noWrap w:val="0"/>
                  <w:vAlign w:val="center"/>
                </w:tcPr>
                <w:p w14:paraId="116799B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COD、SS、石油类</w:t>
                  </w:r>
                </w:p>
              </w:tc>
            </w:tr>
            <w:tr w14:paraId="65DEE7E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2F02387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1DC17BF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w:t>
                  </w:r>
                </w:p>
              </w:tc>
              <w:tc>
                <w:tcPr>
                  <w:tcW w:w="2170" w:type="dxa"/>
                  <w:tcBorders>
                    <w:tl2br w:val="nil"/>
                    <w:tr2bl w:val="nil"/>
                  </w:tcBorders>
                  <w:noWrap w:val="0"/>
                  <w:vAlign w:val="center"/>
                </w:tcPr>
                <w:p w14:paraId="1095427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生活污水</w:t>
                  </w:r>
                </w:p>
              </w:tc>
              <w:tc>
                <w:tcPr>
                  <w:tcW w:w="3366" w:type="dxa"/>
                  <w:gridSpan w:val="2"/>
                  <w:tcBorders>
                    <w:tl2br w:val="nil"/>
                    <w:tr2bl w:val="nil"/>
                  </w:tcBorders>
                  <w:noWrap w:val="0"/>
                  <w:vAlign w:val="center"/>
                </w:tcPr>
                <w:p w14:paraId="2DFF3DC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COD、SS、氨氮、</w:t>
                  </w:r>
                  <w:r>
                    <w:rPr>
                      <w:rFonts w:hint="default" w:ascii="Times New Roman" w:hAnsi="Times New Roman" w:eastAsia="仿宋_GB2312" w:cs="Times New Roman"/>
                      <w:color w:val="auto"/>
                      <w:spacing w:val="-1"/>
                      <w:sz w:val="21"/>
                      <w:szCs w:val="21"/>
                      <w:highlight w:val="none"/>
                      <w:vertAlign w:val="baseline"/>
                      <w:lang w:val="en-US" w:eastAsia="zh-CN"/>
                    </w:rPr>
                    <w:t>总磷、总氮</w:t>
                  </w:r>
                </w:p>
              </w:tc>
            </w:tr>
            <w:tr w14:paraId="0A1DC85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4285288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1D7D33F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w:t>
                  </w:r>
                </w:p>
              </w:tc>
              <w:tc>
                <w:tcPr>
                  <w:tcW w:w="2170" w:type="dxa"/>
                  <w:tcBorders>
                    <w:tl2br w:val="nil"/>
                    <w:tr2bl w:val="nil"/>
                  </w:tcBorders>
                  <w:noWrap w:val="0"/>
                  <w:vAlign w:val="center"/>
                </w:tcPr>
                <w:p w14:paraId="4AA9A61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eastAsia" w:eastAsia="仿宋_GB2312" w:cs="Times New Roman"/>
                      <w:color w:val="auto"/>
                      <w:spacing w:val="-1"/>
                      <w:sz w:val="21"/>
                      <w:szCs w:val="21"/>
                      <w:vertAlign w:val="baseline"/>
                      <w:lang w:val="en-US" w:eastAsia="zh-CN"/>
                    </w:rPr>
                    <w:t>洗车废水</w:t>
                  </w:r>
                </w:p>
              </w:tc>
              <w:tc>
                <w:tcPr>
                  <w:tcW w:w="3366" w:type="dxa"/>
                  <w:gridSpan w:val="2"/>
                  <w:tcBorders>
                    <w:tl2br w:val="nil"/>
                    <w:tr2bl w:val="nil"/>
                  </w:tcBorders>
                  <w:noWrap w:val="0"/>
                  <w:vAlign w:val="center"/>
                </w:tcPr>
                <w:p w14:paraId="166434E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COD、SS、石油类</w:t>
                  </w:r>
                  <w:r>
                    <w:rPr>
                      <w:rFonts w:hint="eastAsia" w:eastAsia="仿宋_GB2312" w:cs="Times New Roman"/>
                      <w:color w:val="auto"/>
                      <w:spacing w:val="-1"/>
                      <w:sz w:val="21"/>
                      <w:szCs w:val="21"/>
                      <w:vertAlign w:val="baseline"/>
                      <w:lang w:val="en-US" w:eastAsia="zh-CN"/>
                    </w:rPr>
                    <w:t>、LAS</w:t>
                  </w:r>
                </w:p>
              </w:tc>
            </w:tr>
            <w:tr w14:paraId="1501CE1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6581457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0B0C5D2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w:t>
                  </w:r>
                </w:p>
              </w:tc>
              <w:tc>
                <w:tcPr>
                  <w:tcW w:w="2170" w:type="dxa"/>
                  <w:tcBorders>
                    <w:tl2br w:val="nil"/>
                    <w:tr2bl w:val="nil"/>
                  </w:tcBorders>
                  <w:noWrap w:val="0"/>
                  <w:vAlign w:val="center"/>
                </w:tcPr>
                <w:p w14:paraId="0564289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eastAsia" w:eastAsia="仿宋_GB2312" w:cs="Times New Roman"/>
                      <w:color w:val="auto"/>
                      <w:spacing w:val="-1"/>
                      <w:sz w:val="21"/>
                      <w:szCs w:val="21"/>
                      <w:vertAlign w:val="baseline"/>
                      <w:lang w:val="en-US" w:eastAsia="zh-CN"/>
                    </w:rPr>
                    <w:t>保洁废水</w:t>
                  </w:r>
                </w:p>
              </w:tc>
              <w:tc>
                <w:tcPr>
                  <w:tcW w:w="3366" w:type="dxa"/>
                  <w:gridSpan w:val="2"/>
                  <w:tcBorders>
                    <w:tl2br w:val="nil"/>
                    <w:tr2bl w:val="nil"/>
                  </w:tcBorders>
                  <w:noWrap w:val="0"/>
                  <w:vAlign w:val="center"/>
                </w:tcPr>
                <w:p w14:paraId="28A189A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COD、SS、石油类</w:t>
                  </w:r>
                </w:p>
              </w:tc>
            </w:tr>
            <w:tr w14:paraId="63975E9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restart"/>
                  <w:tcBorders>
                    <w:tl2br w:val="nil"/>
                    <w:tr2bl w:val="nil"/>
                  </w:tcBorders>
                  <w:noWrap w:val="0"/>
                  <w:vAlign w:val="center"/>
                </w:tcPr>
                <w:p w14:paraId="3A46A7B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固废</w:t>
                  </w:r>
                </w:p>
              </w:tc>
              <w:tc>
                <w:tcPr>
                  <w:tcW w:w="1518" w:type="dxa"/>
                  <w:tcBorders>
                    <w:tl2br w:val="nil"/>
                    <w:tr2bl w:val="nil"/>
                  </w:tcBorders>
                  <w:noWrap w:val="0"/>
                  <w:vAlign w:val="center"/>
                </w:tcPr>
                <w:p w14:paraId="1CE2310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S1</w:t>
                  </w:r>
                </w:p>
              </w:tc>
              <w:tc>
                <w:tcPr>
                  <w:tcW w:w="2170" w:type="dxa"/>
                  <w:tcBorders>
                    <w:tl2br w:val="nil"/>
                    <w:tr2bl w:val="nil"/>
                  </w:tcBorders>
                  <w:noWrap w:val="0"/>
                  <w:vAlign w:val="center"/>
                </w:tcPr>
                <w:p w14:paraId="1C73217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储罐清理</w:t>
                  </w:r>
                </w:p>
              </w:tc>
              <w:tc>
                <w:tcPr>
                  <w:tcW w:w="812" w:type="dxa"/>
                  <w:vMerge w:val="restart"/>
                  <w:tcBorders>
                    <w:tl2br w:val="nil"/>
                    <w:tr2bl w:val="nil"/>
                  </w:tcBorders>
                  <w:noWrap w:val="0"/>
                  <w:vAlign w:val="center"/>
                </w:tcPr>
                <w:p w14:paraId="75BF974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危险废物</w:t>
                  </w:r>
                </w:p>
              </w:tc>
              <w:tc>
                <w:tcPr>
                  <w:tcW w:w="2554" w:type="dxa"/>
                  <w:tcBorders>
                    <w:tl2br w:val="nil"/>
                    <w:tr2bl w:val="nil"/>
                  </w:tcBorders>
                  <w:noWrap w:val="0"/>
                  <w:vAlign w:val="center"/>
                </w:tcPr>
                <w:p w14:paraId="7ED7B42E">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储油罐清理残液</w:t>
                  </w:r>
                </w:p>
              </w:tc>
            </w:tr>
            <w:tr w14:paraId="5EE45C7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4210D74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19AFB16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S2</w:t>
                  </w:r>
                </w:p>
              </w:tc>
              <w:tc>
                <w:tcPr>
                  <w:tcW w:w="2170" w:type="dxa"/>
                  <w:tcBorders>
                    <w:tl2br w:val="nil"/>
                    <w:tr2bl w:val="nil"/>
                  </w:tcBorders>
                  <w:noWrap w:val="0"/>
                  <w:vAlign w:val="center"/>
                </w:tcPr>
                <w:p w14:paraId="0D85B33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隔油池处理</w:t>
                  </w:r>
                </w:p>
              </w:tc>
              <w:tc>
                <w:tcPr>
                  <w:tcW w:w="812" w:type="dxa"/>
                  <w:vMerge w:val="continue"/>
                  <w:tcBorders>
                    <w:tl2br w:val="nil"/>
                    <w:tr2bl w:val="nil"/>
                  </w:tcBorders>
                  <w:noWrap w:val="0"/>
                  <w:vAlign w:val="center"/>
                </w:tcPr>
                <w:p w14:paraId="4290B66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2554" w:type="dxa"/>
                  <w:tcBorders>
                    <w:tl2br w:val="nil"/>
                    <w:tr2bl w:val="nil"/>
                  </w:tcBorders>
                  <w:noWrap w:val="0"/>
                  <w:vAlign w:val="center"/>
                </w:tcPr>
                <w:p w14:paraId="20ABA29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隔油池沉渣及油泥</w:t>
                  </w:r>
                </w:p>
              </w:tc>
            </w:tr>
            <w:tr w14:paraId="3DF7667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1D83BCC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3928CD4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w:t>
                  </w:r>
                </w:p>
              </w:tc>
              <w:tc>
                <w:tcPr>
                  <w:tcW w:w="2170" w:type="dxa"/>
                  <w:tcBorders>
                    <w:tl2br w:val="nil"/>
                    <w:tr2bl w:val="nil"/>
                  </w:tcBorders>
                  <w:noWrap w:val="0"/>
                  <w:vAlign w:val="center"/>
                </w:tcPr>
                <w:p w14:paraId="7CA9653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员工办公</w:t>
                  </w:r>
                </w:p>
              </w:tc>
              <w:tc>
                <w:tcPr>
                  <w:tcW w:w="3366" w:type="dxa"/>
                  <w:gridSpan w:val="2"/>
                  <w:tcBorders>
                    <w:tl2br w:val="nil"/>
                    <w:tr2bl w:val="nil"/>
                  </w:tcBorders>
                  <w:noWrap w:val="0"/>
                  <w:vAlign w:val="center"/>
                </w:tcPr>
                <w:p w14:paraId="1B714A9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r>
                    <w:rPr>
                      <w:rFonts w:hint="default" w:ascii="Times New Roman" w:hAnsi="Times New Roman" w:eastAsia="仿宋_GB2312" w:cs="Times New Roman"/>
                      <w:color w:val="auto"/>
                      <w:spacing w:val="-1"/>
                      <w:sz w:val="21"/>
                      <w:szCs w:val="21"/>
                      <w:vertAlign w:val="baseline"/>
                      <w:lang w:val="en-US" w:eastAsia="zh-CN"/>
                    </w:rPr>
                    <w:t>生活垃圾</w:t>
                  </w:r>
                </w:p>
              </w:tc>
            </w:tr>
            <w:tr w14:paraId="7A167CF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restart"/>
                  <w:tcBorders>
                    <w:tl2br w:val="nil"/>
                    <w:tr2bl w:val="nil"/>
                  </w:tcBorders>
                  <w:noWrap w:val="0"/>
                  <w:vAlign w:val="center"/>
                </w:tcPr>
                <w:p w14:paraId="1BD4D93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噪声</w:t>
                  </w:r>
                </w:p>
              </w:tc>
              <w:tc>
                <w:tcPr>
                  <w:tcW w:w="1518" w:type="dxa"/>
                  <w:tcBorders>
                    <w:tl2br w:val="nil"/>
                    <w:tr2bl w:val="nil"/>
                  </w:tcBorders>
                  <w:noWrap w:val="0"/>
                  <w:vAlign w:val="center"/>
                </w:tcPr>
                <w:p w14:paraId="01F011E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N1</w:t>
                  </w:r>
                </w:p>
              </w:tc>
              <w:tc>
                <w:tcPr>
                  <w:tcW w:w="2170" w:type="dxa"/>
                  <w:tcBorders>
                    <w:tl2br w:val="nil"/>
                    <w:tr2bl w:val="nil"/>
                  </w:tcBorders>
                  <w:noWrap w:val="0"/>
                  <w:vAlign w:val="center"/>
                </w:tcPr>
                <w:p w14:paraId="120F39B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卸油过程</w:t>
                  </w:r>
                </w:p>
              </w:tc>
              <w:tc>
                <w:tcPr>
                  <w:tcW w:w="3366" w:type="dxa"/>
                  <w:gridSpan w:val="2"/>
                  <w:tcBorders>
                    <w:tl2br w:val="nil"/>
                    <w:tr2bl w:val="nil"/>
                  </w:tcBorders>
                  <w:noWrap w:val="0"/>
                  <w:vAlign w:val="center"/>
                </w:tcPr>
                <w:p w14:paraId="7EA6D0F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机械噪声</w:t>
                  </w:r>
                </w:p>
              </w:tc>
            </w:tr>
            <w:tr w14:paraId="47F47FA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70777BE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2E17E60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N2</w:t>
                  </w:r>
                </w:p>
              </w:tc>
              <w:tc>
                <w:tcPr>
                  <w:tcW w:w="2170" w:type="dxa"/>
                  <w:tcBorders>
                    <w:tl2br w:val="nil"/>
                    <w:tr2bl w:val="nil"/>
                  </w:tcBorders>
                  <w:noWrap w:val="0"/>
                  <w:vAlign w:val="center"/>
                </w:tcPr>
                <w:p w14:paraId="040A231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加油过程</w:t>
                  </w:r>
                </w:p>
              </w:tc>
              <w:tc>
                <w:tcPr>
                  <w:tcW w:w="3366" w:type="dxa"/>
                  <w:gridSpan w:val="2"/>
                  <w:tcBorders>
                    <w:tl2br w:val="nil"/>
                    <w:tr2bl w:val="nil"/>
                  </w:tcBorders>
                  <w:noWrap w:val="0"/>
                  <w:vAlign w:val="center"/>
                </w:tcPr>
                <w:p w14:paraId="06EA93B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r>
                    <w:rPr>
                      <w:rFonts w:hint="default" w:ascii="Times New Roman" w:hAnsi="Times New Roman" w:eastAsia="仿宋_GB2312" w:cs="Times New Roman"/>
                      <w:color w:val="auto"/>
                      <w:spacing w:val="-1"/>
                      <w:sz w:val="21"/>
                      <w:szCs w:val="21"/>
                      <w:vertAlign w:val="baseline"/>
                      <w:lang w:eastAsia="zh-CN"/>
                    </w:rPr>
                    <w:t>机械噪声</w:t>
                  </w:r>
                </w:p>
              </w:tc>
            </w:tr>
            <w:tr w14:paraId="01303C5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4C701CD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598554A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N3</w:t>
                  </w:r>
                </w:p>
              </w:tc>
              <w:tc>
                <w:tcPr>
                  <w:tcW w:w="2170" w:type="dxa"/>
                  <w:tcBorders>
                    <w:tl2br w:val="nil"/>
                    <w:tr2bl w:val="nil"/>
                  </w:tcBorders>
                  <w:noWrap w:val="0"/>
                  <w:vAlign w:val="center"/>
                </w:tcPr>
                <w:p w14:paraId="0AC1C7D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加油、</w:t>
                  </w:r>
                  <w:r>
                    <w:rPr>
                      <w:rFonts w:hint="default" w:ascii="Times New Roman" w:hAnsi="Times New Roman" w:eastAsia="仿宋_GB2312" w:cs="Times New Roman"/>
                      <w:color w:val="auto"/>
                      <w:spacing w:val="-1"/>
                      <w:sz w:val="21"/>
                      <w:szCs w:val="21"/>
                      <w:vertAlign w:val="baseline"/>
                      <w:lang w:val="en-US" w:eastAsia="zh-CN"/>
                    </w:rPr>
                    <w:t>加气</w:t>
                  </w:r>
                  <w:r>
                    <w:rPr>
                      <w:rFonts w:hint="default" w:ascii="Times New Roman" w:hAnsi="Times New Roman" w:eastAsia="仿宋_GB2312" w:cs="Times New Roman"/>
                      <w:color w:val="auto"/>
                      <w:spacing w:val="-1"/>
                      <w:sz w:val="21"/>
                      <w:szCs w:val="21"/>
                      <w:vertAlign w:val="baseline"/>
                      <w:lang w:eastAsia="zh-CN"/>
                    </w:rPr>
                    <w:t>车辆</w:t>
                  </w:r>
                </w:p>
              </w:tc>
              <w:tc>
                <w:tcPr>
                  <w:tcW w:w="3366" w:type="dxa"/>
                  <w:gridSpan w:val="2"/>
                  <w:tcBorders>
                    <w:tl2br w:val="nil"/>
                    <w:tr2bl w:val="nil"/>
                  </w:tcBorders>
                  <w:noWrap w:val="0"/>
                  <w:vAlign w:val="center"/>
                </w:tcPr>
                <w:p w14:paraId="2C277A3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车辆运行噪声</w:t>
                  </w:r>
                </w:p>
              </w:tc>
            </w:tr>
            <w:tr w14:paraId="56862CF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3D0AFEC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126772C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N4</w:t>
                  </w:r>
                </w:p>
              </w:tc>
              <w:tc>
                <w:tcPr>
                  <w:tcW w:w="2170" w:type="dxa"/>
                  <w:tcBorders>
                    <w:tl2br w:val="nil"/>
                    <w:tr2bl w:val="nil"/>
                  </w:tcBorders>
                  <w:noWrap w:val="0"/>
                  <w:vAlign w:val="center"/>
                </w:tcPr>
                <w:p w14:paraId="021D7FE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卸车增压器</w:t>
                  </w:r>
                </w:p>
              </w:tc>
              <w:tc>
                <w:tcPr>
                  <w:tcW w:w="3366" w:type="dxa"/>
                  <w:gridSpan w:val="2"/>
                  <w:tcBorders>
                    <w:tl2br w:val="nil"/>
                    <w:tr2bl w:val="nil"/>
                  </w:tcBorders>
                  <w:noWrap w:val="0"/>
                  <w:vAlign w:val="center"/>
                </w:tcPr>
                <w:p w14:paraId="5FB0CB6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机械噪声</w:t>
                  </w:r>
                </w:p>
              </w:tc>
            </w:tr>
            <w:tr w14:paraId="0C0B958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34" w:type="dxa"/>
                  <w:vMerge w:val="continue"/>
                  <w:tcBorders>
                    <w:tl2br w:val="nil"/>
                    <w:tr2bl w:val="nil"/>
                  </w:tcBorders>
                  <w:noWrap w:val="0"/>
                  <w:vAlign w:val="center"/>
                </w:tcPr>
                <w:p w14:paraId="770EDDA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rPr>
                  </w:pPr>
                </w:p>
              </w:tc>
              <w:tc>
                <w:tcPr>
                  <w:tcW w:w="1518" w:type="dxa"/>
                  <w:tcBorders>
                    <w:tl2br w:val="nil"/>
                    <w:tr2bl w:val="nil"/>
                  </w:tcBorders>
                  <w:noWrap w:val="0"/>
                  <w:vAlign w:val="center"/>
                </w:tcPr>
                <w:p w14:paraId="574EE5F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val="en-US" w:eastAsia="zh-CN"/>
                    </w:rPr>
                  </w:pPr>
                  <w:r>
                    <w:rPr>
                      <w:rFonts w:hint="default" w:ascii="Times New Roman" w:hAnsi="Times New Roman" w:eastAsia="仿宋_GB2312" w:cs="Times New Roman"/>
                      <w:color w:val="auto"/>
                      <w:spacing w:val="-1"/>
                      <w:sz w:val="21"/>
                      <w:szCs w:val="21"/>
                      <w:vertAlign w:val="baseline"/>
                      <w:lang w:val="en-US" w:eastAsia="zh-CN"/>
                    </w:rPr>
                    <w:t>N5</w:t>
                  </w:r>
                </w:p>
              </w:tc>
              <w:tc>
                <w:tcPr>
                  <w:tcW w:w="2170" w:type="dxa"/>
                  <w:tcBorders>
                    <w:tl2br w:val="nil"/>
                    <w:tr2bl w:val="nil"/>
                  </w:tcBorders>
                  <w:noWrap w:val="0"/>
                  <w:vAlign w:val="center"/>
                </w:tcPr>
                <w:p w14:paraId="06B533B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调压增压器</w:t>
                  </w:r>
                </w:p>
              </w:tc>
              <w:tc>
                <w:tcPr>
                  <w:tcW w:w="3366" w:type="dxa"/>
                  <w:gridSpan w:val="2"/>
                  <w:tcBorders>
                    <w:tl2br w:val="nil"/>
                    <w:tr2bl w:val="nil"/>
                  </w:tcBorders>
                  <w:noWrap w:val="0"/>
                  <w:vAlign w:val="center"/>
                </w:tcPr>
                <w:p w14:paraId="06A2A43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eastAsia="仿宋_GB2312" w:cs="Times New Roman"/>
                      <w:color w:val="auto"/>
                      <w:spacing w:val="-1"/>
                      <w:sz w:val="21"/>
                      <w:szCs w:val="21"/>
                      <w:vertAlign w:val="baseline"/>
                      <w:lang w:eastAsia="zh-CN"/>
                    </w:rPr>
                  </w:pPr>
                  <w:r>
                    <w:rPr>
                      <w:rFonts w:hint="default" w:ascii="Times New Roman" w:hAnsi="Times New Roman" w:eastAsia="仿宋_GB2312" w:cs="Times New Roman"/>
                      <w:color w:val="auto"/>
                      <w:spacing w:val="-1"/>
                      <w:sz w:val="21"/>
                      <w:szCs w:val="21"/>
                      <w:vertAlign w:val="baseline"/>
                      <w:lang w:eastAsia="zh-CN"/>
                    </w:rPr>
                    <w:t>机械噪声</w:t>
                  </w:r>
                </w:p>
              </w:tc>
            </w:tr>
          </w:tbl>
          <w:p w14:paraId="5256FE9C">
            <w:pPr>
              <w:autoSpaceDE w:val="0"/>
              <w:autoSpaceDN w:val="0"/>
              <w:adjustRightInd w:val="0"/>
              <w:spacing w:line="360" w:lineRule="auto"/>
              <w:ind w:firstLine="476" w:firstLineChars="200"/>
              <w:rPr>
                <w:rFonts w:hint="default" w:ascii="Times New Roman" w:hAnsi="Times New Roman" w:eastAsia="仿宋_GB2312" w:cs="Times New Roman"/>
                <w:color w:val="auto"/>
                <w:spacing w:val="-1"/>
                <w:sz w:val="24"/>
                <w:szCs w:val="24"/>
              </w:rPr>
            </w:pPr>
          </w:p>
        </w:tc>
      </w:tr>
      <w:tr w14:paraId="138E94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75" w:hRule="atLeast"/>
          <w:jc w:val="center"/>
        </w:trPr>
        <w:tc>
          <w:tcPr>
            <w:tcW w:w="680" w:type="dxa"/>
            <w:noWrap w:val="0"/>
            <w:vAlign w:val="center"/>
          </w:tcPr>
          <w:p w14:paraId="78CD6483">
            <w:pPr>
              <w:pStyle w:val="17"/>
              <w:adjustRightInd w:val="0"/>
              <w:snapToGrid w:val="0"/>
              <w:spacing w:before="0" w:beforeAutospacing="0" w:after="0" w:afterAutospacing="0"/>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bCs/>
                <w:color w:val="auto"/>
                <w:kern w:val="2"/>
                <w:sz w:val="24"/>
                <w:szCs w:val="24"/>
              </w:rPr>
              <w:t>与项目有关的原有环境污染问题</w:t>
            </w:r>
          </w:p>
        </w:tc>
        <w:tc>
          <w:tcPr>
            <w:tcW w:w="8304" w:type="dxa"/>
            <w:noWrap w:val="0"/>
            <w:vAlign w:val="center"/>
          </w:tcPr>
          <w:p w14:paraId="59915A2F">
            <w:pPr>
              <w:autoSpaceDE w:val="0"/>
              <w:autoSpaceDN w:val="0"/>
              <w:adjustRightInd w:val="0"/>
              <w:spacing w:line="360" w:lineRule="auto"/>
              <w:ind w:firstLine="480" w:firstLineChars="200"/>
              <w:jc w:val="both"/>
              <w:rPr>
                <w:rFonts w:hint="default" w:ascii="Times New Roman" w:hAnsi="Times New Roman" w:eastAsia="仿宋_GB2312" w:cs="Times New Roman"/>
                <w:bCs/>
                <w:color w:val="auto"/>
                <w:sz w:val="24"/>
                <w:szCs w:val="24"/>
                <w:lang w:eastAsia="zh-CN"/>
              </w:rPr>
            </w:pPr>
            <w:r>
              <w:rPr>
                <w:rFonts w:hint="default" w:ascii="Times New Roman" w:hAnsi="Times New Roman" w:eastAsia="仿宋_GB2312" w:cs="Times New Roman"/>
                <w:color w:val="auto"/>
                <w:sz w:val="24"/>
                <w:szCs w:val="24"/>
                <w:lang w:eastAsia="zh-CN"/>
              </w:rPr>
              <w:t>本项目为新建项目，</w:t>
            </w:r>
            <w:r>
              <w:rPr>
                <w:rFonts w:hint="default" w:ascii="Times New Roman" w:hAnsi="Times New Roman" w:eastAsia="仿宋_GB2312" w:cs="Times New Roman"/>
                <w:color w:val="auto"/>
                <w:sz w:val="24"/>
                <w:szCs w:val="24"/>
                <w:lang w:val="en-US" w:eastAsia="zh-CN"/>
              </w:rPr>
              <w:t>项目规划区域用地性质为</w:t>
            </w:r>
            <w:r>
              <w:rPr>
                <w:rFonts w:hint="eastAsia" w:eastAsia="仿宋_GB2312" w:cs="Times New Roman"/>
                <w:color w:val="auto"/>
                <w:sz w:val="24"/>
                <w:szCs w:val="24"/>
                <w:lang w:val="en-US" w:eastAsia="zh-CN"/>
              </w:rPr>
              <w:t>商业服务业用地</w:t>
            </w:r>
            <w:r>
              <w:rPr>
                <w:rFonts w:hint="default" w:ascii="Times New Roman" w:hAnsi="Times New Roman" w:eastAsia="仿宋_GB2312" w:cs="Times New Roman"/>
                <w:color w:val="auto"/>
                <w:sz w:val="24"/>
                <w:szCs w:val="24"/>
                <w:lang w:eastAsia="zh-CN"/>
              </w:rPr>
              <w:t>，拟建场地现状为空地，历史也一直是荒地，未经历过开发使用，</w:t>
            </w:r>
            <w:r>
              <w:rPr>
                <w:rFonts w:hint="default" w:ascii="Times New Roman" w:hAnsi="Times New Roman" w:eastAsia="仿宋_GB2312" w:cs="Times New Roman"/>
                <w:color w:val="auto"/>
                <w:sz w:val="24"/>
                <w:szCs w:val="24"/>
              </w:rPr>
              <w:t>项目区无原有环境污染问题。</w:t>
            </w:r>
          </w:p>
        </w:tc>
      </w:tr>
    </w:tbl>
    <w:p w14:paraId="716ED80F">
      <w:pPr>
        <w:pStyle w:val="17"/>
        <w:jc w:val="center"/>
        <w:rPr>
          <w:rFonts w:ascii="黑体" w:hAnsi="黑体" w:eastAsia="黑体"/>
          <w:snapToGrid w:val="0"/>
          <w:color w:val="auto"/>
          <w:sz w:val="36"/>
          <w:szCs w:val="36"/>
        </w:rPr>
        <w:sectPr>
          <w:footerReference r:id="rId7" w:type="default"/>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116F71F0">
      <w:pPr>
        <w:pStyle w:val="17"/>
        <w:adjustRightInd w:val="0"/>
        <w:snapToGrid w:val="0"/>
        <w:spacing w:before="0" w:beforeAutospacing="0" w:after="0" w:afterAutospacing="0" w:line="14" w:lineRule="auto"/>
        <w:jc w:val="center"/>
        <w:outlineLvl w:val="9"/>
        <w:rPr>
          <w:rFonts w:hint="eastAsia" w:ascii="黑体" w:hAnsi="黑体" w:eastAsia="黑体"/>
          <w:snapToGrid w:val="0"/>
          <w:color w:val="auto"/>
          <w:sz w:val="30"/>
          <w:szCs w:val="30"/>
        </w:rPr>
      </w:pPr>
    </w:p>
    <w:p w14:paraId="41E2E922">
      <w:pPr>
        <w:pStyle w:val="17"/>
        <w:jc w:val="center"/>
        <w:outlineLvl w:val="0"/>
        <w:rPr>
          <w:rFonts w:ascii="黑体" w:hAnsi="黑体" w:eastAsia="黑体"/>
          <w:snapToGrid w:val="0"/>
          <w:color w:val="auto"/>
          <w:sz w:val="30"/>
          <w:szCs w:val="30"/>
        </w:rPr>
      </w:pPr>
      <w:bookmarkStart w:id="4" w:name="_Toc29493"/>
      <w:r>
        <w:rPr>
          <w:rFonts w:hint="eastAsia" w:ascii="黑体" w:hAnsi="黑体" w:eastAsia="黑体"/>
          <w:snapToGrid w:val="0"/>
          <w:color w:val="auto"/>
          <w:sz w:val="30"/>
          <w:szCs w:val="30"/>
        </w:rPr>
        <w:t>三、区域环境质量现状、环境保护目标及评价标准</w:t>
      </w:r>
      <w:bookmarkEnd w:id="4"/>
    </w:p>
    <w:tbl>
      <w:tblPr>
        <w:tblStyle w:val="1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00"/>
        <w:gridCol w:w="8190"/>
      </w:tblGrid>
      <w:tr w14:paraId="57D766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06" w:hRule="atLeast"/>
          <w:jc w:val="center"/>
        </w:trPr>
        <w:tc>
          <w:tcPr>
            <w:tcW w:w="800" w:type="dxa"/>
            <w:noWrap w:val="0"/>
            <w:vAlign w:val="center"/>
          </w:tcPr>
          <w:p w14:paraId="723B27B6">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区域</w:t>
            </w:r>
          </w:p>
          <w:p w14:paraId="1407E3EF">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环境</w:t>
            </w:r>
          </w:p>
          <w:p w14:paraId="49D15E7A">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质量</w:t>
            </w:r>
          </w:p>
          <w:p w14:paraId="10B16098">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现状</w:t>
            </w:r>
          </w:p>
        </w:tc>
        <w:tc>
          <w:tcPr>
            <w:tcW w:w="8190" w:type="dxa"/>
            <w:noWrap w:val="0"/>
            <w:vAlign w:val="center"/>
          </w:tcPr>
          <w:p w14:paraId="50C9A6C6">
            <w:pPr>
              <w:pStyle w:val="50"/>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1、大气环境质量现状</w:t>
            </w:r>
          </w:p>
          <w:p w14:paraId="26664B87">
            <w:pPr>
              <w:autoSpaceDE w:val="0"/>
              <w:autoSpaceDN w:val="0"/>
              <w:adjustRightInd w:val="0"/>
              <w:spacing w:line="360" w:lineRule="auto"/>
              <w:ind w:firstLine="480" w:firstLineChars="200"/>
              <w:jc w:val="both"/>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（1）区域环境空气达标判定</w:t>
            </w:r>
          </w:p>
          <w:p w14:paraId="5B7F9EA8">
            <w:pPr>
              <w:autoSpaceDE w:val="0"/>
              <w:autoSpaceDN w:val="0"/>
              <w:adjustRightInd w:val="0"/>
              <w:spacing w:line="360" w:lineRule="auto"/>
              <w:ind w:firstLine="480" w:firstLineChars="200"/>
              <w:jc w:val="both"/>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根据《环境影响评价技术导则 大气环境》（HJ</w:t>
            </w:r>
            <w:r>
              <w:rPr>
                <w:rFonts w:hint="default" w:ascii="Times New Roman" w:hAnsi="Times New Roman" w:eastAsia="仿宋_GB2312" w:cs="Times New Roman"/>
                <w:color w:val="auto"/>
                <w:sz w:val="24"/>
                <w:szCs w:val="24"/>
                <w:lang w:val="en-US" w:eastAsia="zh-CN"/>
              </w:rPr>
              <w:t xml:space="preserve"> </w:t>
            </w:r>
            <w:r>
              <w:rPr>
                <w:rFonts w:hint="default" w:ascii="Times New Roman" w:hAnsi="Times New Roman" w:eastAsia="仿宋_GB2312" w:cs="Times New Roman"/>
                <w:color w:val="auto"/>
                <w:sz w:val="24"/>
                <w:szCs w:val="24"/>
                <w:lang w:eastAsia="zh-CN"/>
              </w:rPr>
              <w:t>2.2-2018），依据评价所需环境空气质量现状数据选择近3年中数据相对完整的1个日历年作为评价基准年。判定，优先采用国家或地方生态环境主管部门公开发布的评价基准年环境质量公告或环境质量报告中的数据或结论。</w:t>
            </w:r>
          </w:p>
          <w:p w14:paraId="2696EFDC">
            <w:pPr>
              <w:autoSpaceDE w:val="0"/>
              <w:autoSpaceDN w:val="0"/>
              <w:adjustRightInd w:val="0"/>
              <w:spacing w:line="360" w:lineRule="auto"/>
              <w:ind w:firstLine="480" w:firstLineChars="20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本次评价选取202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lang w:val="en-US" w:eastAsia="zh-CN"/>
              </w:rPr>
              <w:t>年作为评价基准年，选用东至县生态环境分局发布的《202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lang w:val="en-US" w:eastAsia="zh-CN"/>
              </w:rPr>
              <w:t>年东至县环境质量状况公报》中的数据和结论，相关环境要素质量现状如下：</w:t>
            </w:r>
          </w:p>
          <w:p w14:paraId="3ECD96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val="en-US" w:eastAsia="zh-CN"/>
              </w:rPr>
              <w:t>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lang w:val="en-US" w:eastAsia="zh-CN"/>
              </w:rPr>
              <w:t>年年东至县城区环境空气质量达到优、良的天数共33</w:t>
            </w:r>
            <w:r>
              <w:rPr>
                <w:rFonts w:hint="eastAsia" w:eastAsia="仿宋_GB2312" w:cs="Times New Roman"/>
                <w:color w:val="auto"/>
                <w:sz w:val="24"/>
                <w:szCs w:val="24"/>
                <w:lang w:val="en-US" w:eastAsia="zh-CN"/>
              </w:rPr>
              <w:t>3</w:t>
            </w:r>
            <w:r>
              <w:rPr>
                <w:rFonts w:hint="default" w:ascii="Times New Roman" w:hAnsi="Times New Roman" w:eastAsia="仿宋_GB2312" w:cs="Times New Roman"/>
                <w:color w:val="auto"/>
                <w:sz w:val="24"/>
                <w:szCs w:val="24"/>
                <w:lang w:val="en-US" w:eastAsia="zh-CN"/>
              </w:rPr>
              <w:t>天，优良率为9</w:t>
            </w:r>
            <w:r>
              <w:rPr>
                <w:rFonts w:hint="eastAsia" w:eastAsia="仿宋_GB2312" w:cs="Times New Roman"/>
                <w:color w:val="auto"/>
                <w:sz w:val="24"/>
                <w:szCs w:val="24"/>
                <w:lang w:val="en-US" w:eastAsia="zh-CN"/>
              </w:rPr>
              <w:t>1.5</w:t>
            </w:r>
            <w:r>
              <w:rPr>
                <w:rFonts w:hint="default" w:ascii="Times New Roman" w:hAnsi="Times New Roman" w:eastAsia="仿宋_GB2312" w:cs="Times New Roman"/>
                <w:color w:val="auto"/>
                <w:sz w:val="24"/>
                <w:szCs w:val="24"/>
                <w:lang w:val="en-US" w:eastAsia="zh-CN"/>
              </w:rPr>
              <w:t>%。环境空气中二氧化硫（SO</w:t>
            </w:r>
            <w:r>
              <w:rPr>
                <w:rFonts w:hint="default" w:ascii="Times New Roman" w:hAnsi="Times New Roman" w:eastAsia="仿宋_GB2312" w:cs="Times New Roman"/>
                <w:color w:val="auto"/>
                <w:sz w:val="24"/>
                <w:szCs w:val="24"/>
                <w:vertAlign w:val="subscript"/>
                <w:lang w:val="en-US" w:eastAsia="zh-CN"/>
              </w:rPr>
              <w:t>2</w:t>
            </w:r>
            <w:r>
              <w:rPr>
                <w:rFonts w:hint="default" w:ascii="Times New Roman" w:hAnsi="Times New Roman" w:eastAsia="仿宋_GB2312" w:cs="Times New Roman"/>
                <w:color w:val="auto"/>
                <w:sz w:val="24"/>
                <w:szCs w:val="24"/>
                <w:lang w:val="en-US" w:eastAsia="zh-CN"/>
              </w:rPr>
              <w:t>）、二氧化氮（NO</w:t>
            </w:r>
            <w:r>
              <w:rPr>
                <w:rFonts w:hint="default" w:ascii="Times New Roman" w:hAnsi="Times New Roman" w:eastAsia="仿宋_GB2312" w:cs="Times New Roman"/>
                <w:color w:val="auto"/>
                <w:sz w:val="24"/>
                <w:szCs w:val="24"/>
                <w:vertAlign w:val="subscript"/>
                <w:lang w:val="en-US" w:eastAsia="zh-CN"/>
              </w:rPr>
              <w:t>2</w:t>
            </w:r>
            <w:r>
              <w:rPr>
                <w:rFonts w:hint="default" w:ascii="Times New Roman" w:hAnsi="Times New Roman" w:eastAsia="仿宋_GB2312" w:cs="Times New Roman"/>
                <w:color w:val="auto"/>
                <w:sz w:val="24"/>
                <w:szCs w:val="24"/>
                <w:lang w:val="en-US" w:eastAsia="zh-CN"/>
              </w:rPr>
              <w:t>）、可吸入颗粒物（PM</w:t>
            </w:r>
            <w:r>
              <w:rPr>
                <w:rFonts w:hint="default" w:ascii="Times New Roman" w:hAnsi="Times New Roman" w:eastAsia="仿宋_GB2312" w:cs="Times New Roman"/>
                <w:color w:val="auto"/>
                <w:sz w:val="24"/>
                <w:szCs w:val="24"/>
                <w:vertAlign w:val="subscript"/>
                <w:lang w:val="en-US" w:eastAsia="zh-CN"/>
              </w:rPr>
              <w:t>10</w:t>
            </w:r>
            <w:r>
              <w:rPr>
                <w:rFonts w:hint="default" w:ascii="Times New Roman" w:hAnsi="Times New Roman" w:eastAsia="仿宋_GB2312" w:cs="Times New Roman"/>
                <w:color w:val="auto"/>
                <w:sz w:val="24"/>
                <w:szCs w:val="24"/>
                <w:lang w:val="en-US" w:eastAsia="zh-CN"/>
              </w:rPr>
              <w:t>）、细颗粒物（PM</w:t>
            </w:r>
            <w:r>
              <w:rPr>
                <w:rFonts w:hint="default" w:ascii="Times New Roman" w:hAnsi="Times New Roman" w:eastAsia="仿宋_GB2312" w:cs="Times New Roman"/>
                <w:color w:val="auto"/>
                <w:sz w:val="24"/>
                <w:szCs w:val="24"/>
                <w:vertAlign w:val="subscript"/>
                <w:lang w:val="en-US" w:eastAsia="zh-CN"/>
              </w:rPr>
              <w:t>2.5</w:t>
            </w:r>
            <w:r>
              <w:rPr>
                <w:rFonts w:hint="default" w:ascii="Times New Roman" w:hAnsi="Times New Roman" w:eastAsia="仿宋_GB2312" w:cs="Times New Roman"/>
                <w:color w:val="auto"/>
                <w:sz w:val="24"/>
                <w:szCs w:val="24"/>
                <w:lang w:val="en-US" w:eastAsia="zh-CN"/>
              </w:rPr>
              <w:t>）年均浓度分别为</w:t>
            </w:r>
            <w:r>
              <w:rPr>
                <w:rFonts w:hint="eastAsia" w:eastAsia="仿宋_GB2312" w:cs="Times New Roman"/>
                <w:color w:val="auto"/>
                <w:sz w:val="24"/>
                <w:szCs w:val="24"/>
                <w:lang w:val="en-US" w:eastAsia="zh-CN"/>
              </w:rPr>
              <w:t>7</w:t>
            </w:r>
            <w:r>
              <w:rPr>
                <w:rFonts w:hint="default" w:ascii="Times New Roman" w:hAnsi="Times New Roman" w:eastAsia="仿宋_GB2312" w:cs="Times New Roman"/>
                <w:color w:val="auto"/>
                <w:sz w:val="24"/>
                <w:szCs w:val="24"/>
                <w:lang w:val="en-US" w:eastAsia="zh-CN"/>
              </w:rPr>
              <w:t>、14、4</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lang w:val="en-US" w:eastAsia="zh-CN"/>
              </w:rPr>
              <w:t>、2</w:t>
            </w:r>
            <w:r>
              <w:rPr>
                <w:rFonts w:hint="eastAsia" w:eastAsia="仿宋_GB2312" w:cs="Times New Roman"/>
                <w:color w:val="auto"/>
                <w:sz w:val="24"/>
                <w:szCs w:val="24"/>
                <w:lang w:val="en-US" w:eastAsia="zh-CN"/>
              </w:rPr>
              <w:t>8</w:t>
            </w:r>
            <w:r>
              <w:rPr>
                <w:rFonts w:hint="default" w:ascii="Times New Roman" w:hAnsi="Times New Roman" w:eastAsia="仿宋_GB2312" w:cs="Times New Roman"/>
                <w:color w:val="auto"/>
                <w:sz w:val="24"/>
                <w:szCs w:val="24"/>
                <w:lang w:val="en-US" w:eastAsia="zh-CN"/>
              </w:rPr>
              <w:t>微克/立方米，一氧化碳（CO）24小时平均第95百分位数浓度为0.</w:t>
            </w:r>
            <w:r>
              <w:rPr>
                <w:rFonts w:hint="eastAsia" w:eastAsia="仿宋_GB2312" w:cs="Times New Roman"/>
                <w:color w:val="auto"/>
                <w:sz w:val="24"/>
                <w:szCs w:val="24"/>
                <w:lang w:val="en-US" w:eastAsia="zh-CN"/>
              </w:rPr>
              <w:t>8</w:t>
            </w:r>
            <w:r>
              <w:rPr>
                <w:rFonts w:hint="default" w:ascii="Times New Roman" w:hAnsi="Times New Roman" w:eastAsia="仿宋_GB2312" w:cs="Times New Roman"/>
                <w:color w:val="auto"/>
                <w:sz w:val="24"/>
                <w:szCs w:val="24"/>
                <w:lang w:val="en-US" w:eastAsia="zh-CN"/>
              </w:rPr>
              <w:t>毫克/立方米，臭氧（O</w:t>
            </w:r>
            <w:r>
              <w:rPr>
                <w:rFonts w:hint="default" w:ascii="Times New Roman" w:hAnsi="Times New Roman" w:eastAsia="仿宋_GB2312" w:cs="Times New Roman"/>
                <w:color w:val="auto"/>
                <w:sz w:val="24"/>
                <w:szCs w:val="24"/>
                <w:vertAlign w:val="subscript"/>
                <w:lang w:val="en-US" w:eastAsia="zh-CN"/>
              </w:rPr>
              <w:t>3</w:t>
            </w:r>
            <w:r>
              <w:rPr>
                <w:rFonts w:hint="default" w:ascii="Times New Roman" w:hAnsi="Times New Roman" w:eastAsia="仿宋_GB2312" w:cs="Times New Roman"/>
                <w:color w:val="auto"/>
                <w:sz w:val="24"/>
                <w:szCs w:val="24"/>
                <w:lang w:val="en-US" w:eastAsia="zh-CN"/>
              </w:rPr>
              <w:t>）日最大八小时平均第90百分位数浓度为1</w:t>
            </w:r>
            <w:r>
              <w:rPr>
                <w:rFonts w:hint="eastAsia" w:eastAsia="仿宋_GB2312" w:cs="Times New Roman"/>
                <w:color w:val="auto"/>
                <w:sz w:val="24"/>
                <w:szCs w:val="24"/>
                <w:lang w:val="en-US" w:eastAsia="zh-CN"/>
              </w:rPr>
              <w:t>42</w:t>
            </w:r>
            <w:r>
              <w:rPr>
                <w:rFonts w:hint="default" w:ascii="Times New Roman" w:hAnsi="Times New Roman" w:eastAsia="仿宋_GB2312" w:cs="Times New Roman"/>
                <w:color w:val="auto"/>
                <w:sz w:val="24"/>
                <w:szCs w:val="24"/>
                <w:lang w:val="en-US" w:eastAsia="zh-CN"/>
              </w:rPr>
              <w:t>微克/立方米。</w:t>
            </w:r>
          </w:p>
          <w:p w14:paraId="33A49A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项目所在区域</w:t>
            </w:r>
            <w:r>
              <w:rPr>
                <w:rFonts w:hint="default" w:ascii="Times New Roman" w:hAnsi="Times New Roman" w:eastAsia="仿宋_GB2312" w:cs="Times New Roman"/>
                <w:color w:val="auto"/>
                <w:sz w:val="24"/>
                <w:szCs w:val="24"/>
                <w:lang w:val="en-US" w:eastAsia="zh-CN"/>
              </w:rPr>
              <w:t>空气</w:t>
            </w:r>
            <w:r>
              <w:rPr>
                <w:rFonts w:hint="default" w:ascii="Times New Roman" w:hAnsi="Times New Roman" w:eastAsia="仿宋_GB2312" w:cs="Times New Roman"/>
                <w:color w:val="auto"/>
                <w:sz w:val="24"/>
                <w:szCs w:val="24"/>
              </w:rPr>
              <w:t>质量现状评价及达标情况见下表。</w:t>
            </w:r>
          </w:p>
          <w:p w14:paraId="39A7C1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color w:val="auto"/>
                <w:sz w:val="24"/>
                <w:szCs w:val="24"/>
              </w:rPr>
            </w:pPr>
            <w:r>
              <w:rPr>
                <w:rFonts w:hint="default" w:ascii="Times New Roman" w:hAnsi="Times New Roman" w:eastAsia="仿宋_GB2312" w:cs="Times New Roman"/>
                <w:b/>
                <w:color w:val="auto"/>
                <w:sz w:val="24"/>
                <w:szCs w:val="24"/>
              </w:rPr>
              <w:t>表</w:t>
            </w:r>
            <w:r>
              <w:rPr>
                <w:rFonts w:hint="default" w:ascii="Times New Roman" w:hAnsi="Times New Roman" w:eastAsia="仿宋_GB2312" w:cs="Times New Roman"/>
                <w:b/>
                <w:color w:val="auto"/>
                <w:sz w:val="24"/>
                <w:szCs w:val="24"/>
                <w:lang w:val="en-US" w:eastAsia="zh-CN"/>
              </w:rPr>
              <w:t>3</w:t>
            </w:r>
            <w:r>
              <w:rPr>
                <w:rFonts w:hint="default" w:ascii="Times New Roman" w:hAnsi="Times New Roman" w:eastAsia="仿宋_GB2312" w:cs="Times New Roman"/>
                <w:b/>
                <w:color w:val="auto"/>
                <w:sz w:val="24"/>
                <w:szCs w:val="24"/>
              </w:rPr>
              <w:t>-1 基本污染物环境质量现状</w:t>
            </w:r>
          </w:p>
          <w:tbl>
            <w:tblPr>
              <w:tblStyle w:val="19"/>
              <w:tblW w:w="8135"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70"/>
              <w:gridCol w:w="2418"/>
              <w:gridCol w:w="1589"/>
              <w:gridCol w:w="1800"/>
              <w:gridCol w:w="1158"/>
            </w:tblGrid>
            <w:tr w14:paraId="5C7A09C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9" w:type="pct"/>
                  <w:vMerge w:val="restart"/>
                  <w:tcBorders>
                    <w:tl2br w:val="nil"/>
                    <w:tr2bl w:val="nil"/>
                  </w:tcBorders>
                  <w:noWrap w:val="0"/>
                  <w:vAlign w:val="center"/>
                </w:tcPr>
                <w:p w14:paraId="23A310F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污染物</w:t>
                  </w:r>
                </w:p>
              </w:tc>
              <w:tc>
                <w:tcPr>
                  <w:tcW w:w="1486" w:type="pct"/>
                  <w:vMerge w:val="restart"/>
                  <w:tcBorders>
                    <w:tl2br w:val="nil"/>
                    <w:tr2bl w:val="nil"/>
                  </w:tcBorders>
                  <w:noWrap w:val="0"/>
                  <w:vAlign w:val="center"/>
                </w:tcPr>
                <w:p w14:paraId="2124557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年评价指标</w:t>
                  </w:r>
                </w:p>
              </w:tc>
              <w:tc>
                <w:tcPr>
                  <w:tcW w:w="976" w:type="pct"/>
                  <w:vMerge w:val="restart"/>
                  <w:tcBorders>
                    <w:tl2br w:val="nil"/>
                    <w:tr2bl w:val="nil"/>
                  </w:tcBorders>
                  <w:noWrap w:val="0"/>
                  <w:vAlign w:val="center"/>
                </w:tcPr>
                <w:p w14:paraId="13045E5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标准值</w:t>
                  </w:r>
                </w:p>
                <w:p w14:paraId="617F00F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w:t>
                  </w:r>
                  <w:r>
                    <w:rPr>
                      <w:rFonts w:hint="default" w:ascii="Times New Roman" w:hAnsi="Times New Roman" w:eastAsia="仿宋_GB2312" w:cs="Times New Roman"/>
                      <w:b/>
                      <w:bCs/>
                      <w:color w:val="auto"/>
                      <w:sz w:val="21"/>
                      <w:szCs w:val="21"/>
                    </w:rPr>
                    <w:t>µg/m</w:t>
                  </w:r>
                  <w:r>
                    <w:rPr>
                      <w:rFonts w:hint="default" w:ascii="Times New Roman" w:hAnsi="Times New Roman" w:eastAsia="仿宋_GB2312" w:cs="Times New Roman"/>
                      <w:b/>
                      <w:bCs/>
                      <w:color w:val="auto"/>
                      <w:sz w:val="21"/>
                      <w:szCs w:val="21"/>
                      <w:vertAlign w:val="superscript"/>
                    </w:rPr>
                    <w:t>3</w:t>
                  </w:r>
                  <w:r>
                    <w:rPr>
                      <w:rFonts w:hint="default" w:ascii="Times New Roman" w:hAnsi="Times New Roman" w:eastAsia="仿宋_GB2312" w:cs="Times New Roman"/>
                      <w:b/>
                      <w:bCs/>
                      <w:color w:val="auto"/>
                      <w:sz w:val="21"/>
                      <w:szCs w:val="21"/>
                      <w:lang w:val="en-US" w:eastAsia="zh-CN"/>
                    </w:rPr>
                    <w:t>）</w:t>
                  </w:r>
                </w:p>
              </w:tc>
              <w:tc>
                <w:tcPr>
                  <w:tcW w:w="1818" w:type="pct"/>
                  <w:gridSpan w:val="2"/>
                  <w:tcBorders>
                    <w:tl2br w:val="nil"/>
                    <w:tr2bl w:val="nil"/>
                  </w:tcBorders>
                  <w:noWrap w:val="0"/>
                  <w:vAlign w:val="center"/>
                </w:tcPr>
                <w:p w14:paraId="2811F47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东至县环境现状</w:t>
                  </w:r>
                </w:p>
              </w:tc>
            </w:tr>
            <w:tr w14:paraId="431BE44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19" w:type="pct"/>
                  <w:vMerge w:val="continue"/>
                  <w:tcBorders>
                    <w:tl2br w:val="nil"/>
                    <w:tr2bl w:val="nil"/>
                  </w:tcBorders>
                  <w:noWrap w:val="0"/>
                  <w:vAlign w:val="center"/>
                </w:tcPr>
                <w:p w14:paraId="2036659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rPr>
                  </w:pPr>
                </w:p>
              </w:tc>
              <w:tc>
                <w:tcPr>
                  <w:tcW w:w="1486" w:type="pct"/>
                  <w:vMerge w:val="continue"/>
                  <w:tcBorders>
                    <w:tl2br w:val="nil"/>
                    <w:tr2bl w:val="nil"/>
                  </w:tcBorders>
                  <w:noWrap w:val="0"/>
                  <w:vAlign w:val="center"/>
                </w:tcPr>
                <w:p w14:paraId="6E675B3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rPr>
                  </w:pPr>
                </w:p>
              </w:tc>
              <w:tc>
                <w:tcPr>
                  <w:tcW w:w="976" w:type="pct"/>
                  <w:vMerge w:val="continue"/>
                  <w:tcBorders>
                    <w:tl2br w:val="nil"/>
                    <w:tr2bl w:val="nil"/>
                  </w:tcBorders>
                  <w:noWrap w:val="0"/>
                  <w:vAlign w:val="center"/>
                </w:tcPr>
                <w:p w14:paraId="1064D1B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rPr>
                  </w:pPr>
                </w:p>
              </w:tc>
              <w:tc>
                <w:tcPr>
                  <w:tcW w:w="1106" w:type="pct"/>
                  <w:tcBorders>
                    <w:tl2br w:val="nil"/>
                    <w:tr2bl w:val="nil"/>
                  </w:tcBorders>
                  <w:noWrap w:val="0"/>
                  <w:vAlign w:val="center"/>
                </w:tcPr>
                <w:p w14:paraId="738AEFAC">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现状浓度</w:t>
                  </w:r>
                </w:p>
                <w:p w14:paraId="73EE1E7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kern w:val="2"/>
                      <w:sz w:val="21"/>
                      <w:szCs w:val="21"/>
                      <w:lang w:val="en-US" w:eastAsia="zh-CN" w:bidi="ar-SA"/>
                    </w:rPr>
                  </w:pPr>
                  <w:r>
                    <w:rPr>
                      <w:rFonts w:hint="default" w:ascii="Times New Roman" w:hAnsi="Times New Roman" w:eastAsia="仿宋_GB2312" w:cs="Times New Roman"/>
                      <w:b/>
                      <w:bCs/>
                      <w:color w:val="auto"/>
                      <w:sz w:val="21"/>
                      <w:szCs w:val="21"/>
                      <w:lang w:val="en-US" w:eastAsia="zh-CN"/>
                    </w:rPr>
                    <w:t>（</w:t>
                  </w:r>
                  <w:r>
                    <w:rPr>
                      <w:rFonts w:hint="default" w:ascii="Times New Roman" w:hAnsi="Times New Roman" w:eastAsia="仿宋_GB2312" w:cs="Times New Roman"/>
                      <w:b/>
                      <w:bCs/>
                      <w:color w:val="auto"/>
                      <w:sz w:val="21"/>
                      <w:szCs w:val="21"/>
                    </w:rPr>
                    <w:t>µg/m</w:t>
                  </w:r>
                  <w:r>
                    <w:rPr>
                      <w:rFonts w:hint="default" w:ascii="Times New Roman" w:hAnsi="Times New Roman" w:eastAsia="仿宋_GB2312" w:cs="Times New Roman"/>
                      <w:b/>
                      <w:bCs/>
                      <w:color w:val="auto"/>
                      <w:sz w:val="21"/>
                      <w:szCs w:val="21"/>
                      <w:vertAlign w:val="superscript"/>
                    </w:rPr>
                    <w:t>3</w:t>
                  </w:r>
                  <w:r>
                    <w:rPr>
                      <w:rFonts w:hint="default" w:ascii="Times New Roman" w:hAnsi="Times New Roman" w:eastAsia="仿宋_GB2312" w:cs="Times New Roman"/>
                      <w:b/>
                      <w:bCs/>
                      <w:color w:val="auto"/>
                      <w:sz w:val="21"/>
                      <w:szCs w:val="21"/>
                      <w:lang w:val="en-US" w:eastAsia="zh-CN"/>
                    </w:rPr>
                    <w:t>）</w:t>
                  </w:r>
                </w:p>
              </w:tc>
              <w:tc>
                <w:tcPr>
                  <w:tcW w:w="711" w:type="pct"/>
                  <w:tcBorders>
                    <w:tl2br w:val="nil"/>
                    <w:tr2bl w:val="nil"/>
                  </w:tcBorders>
                  <w:noWrap w:val="0"/>
                  <w:vAlign w:val="center"/>
                </w:tcPr>
                <w:p w14:paraId="12389D5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rPr>
                  </w:pPr>
                  <w:r>
                    <w:rPr>
                      <w:rFonts w:hint="default" w:ascii="Times New Roman" w:hAnsi="Times New Roman" w:eastAsia="仿宋_GB2312" w:cs="Times New Roman"/>
                      <w:b/>
                      <w:bCs/>
                      <w:color w:val="auto"/>
                      <w:sz w:val="21"/>
                      <w:szCs w:val="21"/>
                    </w:rPr>
                    <w:t>达标</w:t>
                  </w:r>
                </w:p>
                <w:p w14:paraId="61B8CC0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kern w:val="2"/>
                      <w:sz w:val="21"/>
                      <w:szCs w:val="21"/>
                      <w:lang w:val="en-US" w:eastAsia="zh-CN" w:bidi="ar-SA"/>
                    </w:rPr>
                  </w:pPr>
                  <w:r>
                    <w:rPr>
                      <w:rFonts w:hint="default" w:ascii="Times New Roman" w:hAnsi="Times New Roman" w:eastAsia="仿宋_GB2312" w:cs="Times New Roman"/>
                      <w:b/>
                      <w:bCs/>
                      <w:color w:val="auto"/>
                      <w:sz w:val="21"/>
                      <w:szCs w:val="21"/>
                    </w:rPr>
                    <w:t>情况</w:t>
                  </w:r>
                </w:p>
              </w:tc>
            </w:tr>
            <w:tr w14:paraId="16B8E07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19" w:type="pct"/>
                  <w:tcBorders>
                    <w:tl2br w:val="nil"/>
                    <w:tr2bl w:val="nil"/>
                  </w:tcBorders>
                  <w:noWrap w:val="0"/>
                  <w:vAlign w:val="center"/>
                </w:tcPr>
                <w:p w14:paraId="6F43F396">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SO</w:t>
                  </w:r>
                  <w:r>
                    <w:rPr>
                      <w:rFonts w:hint="default" w:ascii="Times New Roman" w:hAnsi="Times New Roman" w:eastAsia="仿宋_GB2312" w:cs="Times New Roman"/>
                      <w:color w:val="auto"/>
                      <w:sz w:val="21"/>
                      <w:szCs w:val="21"/>
                      <w:vertAlign w:val="subscript"/>
                    </w:rPr>
                    <w:t>2</w:t>
                  </w:r>
                </w:p>
              </w:tc>
              <w:tc>
                <w:tcPr>
                  <w:tcW w:w="1486" w:type="pct"/>
                  <w:tcBorders>
                    <w:tl2br w:val="nil"/>
                    <w:tr2bl w:val="nil"/>
                  </w:tcBorders>
                  <w:noWrap w:val="0"/>
                  <w:vAlign w:val="center"/>
                </w:tcPr>
                <w:p w14:paraId="5877A46F">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年平均质量浓度</w:t>
                  </w:r>
                </w:p>
              </w:tc>
              <w:tc>
                <w:tcPr>
                  <w:tcW w:w="976" w:type="pct"/>
                  <w:tcBorders>
                    <w:tl2br w:val="nil"/>
                    <w:tr2bl w:val="nil"/>
                  </w:tcBorders>
                  <w:noWrap w:val="0"/>
                  <w:vAlign w:val="center"/>
                </w:tcPr>
                <w:p w14:paraId="55F4B663">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60</w:t>
                  </w:r>
                </w:p>
              </w:tc>
              <w:tc>
                <w:tcPr>
                  <w:tcW w:w="1106" w:type="pct"/>
                  <w:tcBorders>
                    <w:tl2br w:val="nil"/>
                    <w:tr2bl w:val="nil"/>
                  </w:tcBorders>
                  <w:noWrap w:val="0"/>
                  <w:vAlign w:val="center"/>
                </w:tcPr>
                <w:p w14:paraId="5AA2B4E5">
                  <w:pPr>
                    <w:jc w:val="center"/>
                    <w:rPr>
                      <w:rFonts w:hint="default" w:ascii="Times New Roman" w:hAnsi="Times New Roman" w:eastAsia="仿宋_GB2312" w:cs="Times New Roman"/>
                      <w:color w:val="auto"/>
                      <w:sz w:val="21"/>
                      <w:szCs w:val="21"/>
                      <w:lang w:val="en-US" w:eastAsia="zh-CN"/>
                    </w:rPr>
                  </w:pPr>
                  <w:r>
                    <w:rPr>
                      <w:rFonts w:hint="eastAsia" w:eastAsia="仿宋_GB2312" w:cs="Times New Roman"/>
                      <w:color w:val="auto"/>
                      <w:sz w:val="21"/>
                      <w:szCs w:val="21"/>
                      <w:lang w:val="en-US" w:eastAsia="zh-CN"/>
                    </w:rPr>
                    <w:t>7</w:t>
                  </w:r>
                </w:p>
              </w:tc>
              <w:tc>
                <w:tcPr>
                  <w:tcW w:w="711" w:type="pct"/>
                  <w:tcBorders>
                    <w:tl2br w:val="nil"/>
                    <w:tr2bl w:val="nil"/>
                  </w:tcBorders>
                  <w:noWrap w:val="0"/>
                  <w:vAlign w:val="center"/>
                </w:tcPr>
                <w:p w14:paraId="165E0084">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达标</w:t>
                  </w:r>
                </w:p>
              </w:tc>
            </w:tr>
            <w:tr w14:paraId="6C41061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19" w:type="pct"/>
                  <w:tcBorders>
                    <w:tl2br w:val="nil"/>
                    <w:tr2bl w:val="nil"/>
                  </w:tcBorders>
                  <w:noWrap w:val="0"/>
                  <w:vAlign w:val="center"/>
                </w:tcPr>
                <w:p w14:paraId="7FDA863A">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NO</w:t>
                  </w:r>
                  <w:r>
                    <w:rPr>
                      <w:rFonts w:hint="default" w:ascii="Times New Roman" w:hAnsi="Times New Roman" w:eastAsia="仿宋_GB2312" w:cs="Times New Roman"/>
                      <w:color w:val="auto"/>
                      <w:sz w:val="21"/>
                      <w:szCs w:val="21"/>
                      <w:vertAlign w:val="subscript"/>
                    </w:rPr>
                    <w:t>2</w:t>
                  </w:r>
                </w:p>
              </w:tc>
              <w:tc>
                <w:tcPr>
                  <w:tcW w:w="1486" w:type="pct"/>
                  <w:tcBorders>
                    <w:tl2br w:val="nil"/>
                    <w:tr2bl w:val="nil"/>
                  </w:tcBorders>
                  <w:noWrap w:val="0"/>
                  <w:vAlign w:val="center"/>
                </w:tcPr>
                <w:p w14:paraId="4590ACF4">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年平均质量浓度</w:t>
                  </w:r>
                </w:p>
              </w:tc>
              <w:tc>
                <w:tcPr>
                  <w:tcW w:w="976" w:type="pct"/>
                  <w:tcBorders>
                    <w:tl2br w:val="nil"/>
                    <w:tr2bl w:val="nil"/>
                  </w:tcBorders>
                  <w:noWrap w:val="0"/>
                  <w:vAlign w:val="center"/>
                </w:tcPr>
                <w:p w14:paraId="08F3F6C5">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40</w:t>
                  </w:r>
                </w:p>
              </w:tc>
              <w:tc>
                <w:tcPr>
                  <w:tcW w:w="1106" w:type="pct"/>
                  <w:tcBorders>
                    <w:tl2br w:val="nil"/>
                    <w:tr2bl w:val="nil"/>
                  </w:tcBorders>
                  <w:noWrap w:val="0"/>
                  <w:vAlign w:val="center"/>
                </w:tcPr>
                <w:p w14:paraId="329DAC77">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14</w:t>
                  </w:r>
                </w:p>
              </w:tc>
              <w:tc>
                <w:tcPr>
                  <w:tcW w:w="711" w:type="pct"/>
                  <w:tcBorders>
                    <w:tl2br w:val="nil"/>
                    <w:tr2bl w:val="nil"/>
                  </w:tcBorders>
                  <w:noWrap w:val="0"/>
                  <w:vAlign w:val="center"/>
                </w:tcPr>
                <w:p w14:paraId="49F4184A">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达标</w:t>
                  </w:r>
                </w:p>
              </w:tc>
            </w:tr>
            <w:tr w14:paraId="05E5BF6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19" w:type="pct"/>
                  <w:tcBorders>
                    <w:tl2br w:val="nil"/>
                    <w:tr2bl w:val="nil"/>
                  </w:tcBorders>
                  <w:noWrap w:val="0"/>
                  <w:vAlign w:val="center"/>
                </w:tcPr>
                <w:p w14:paraId="08324C59">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PM</w:t>
                  </w:r>
                  <w:r>
                    <w:rPr>
                      <w:rFonts w:hint="default" w:ascii="Times New Roman" w:hAnsi="Times New Roman" w:eastAsia="仿宋_GB2312" w:cs="Times New Roman"/>
                      <w:color w:val="auto"/>
                      <w:sz w:val="21"/>
                      <w:szCs w:val="21"/>
                      <w:vertAlign w:val="subscript"/>
                    </w:rPr>
                    <w:t>10</w:t>
                  </w:r>
                </w:p>
              </w:tc>
              <w:tc>
                <w:tcPr>
                  <w:tcW w:w="1486" w:type="pct"/>
                  <w:tcBorders>
                    <w:tl2br w:val="nil"/>
                    <w:tr2bl w:val="nil"/>
                  </w:tcBorders>
                  <w:noWrap w:val="0"/>
                  <w:vAlign w:val="center"/>
                </w:tcPr>
                <w:p w14:paraId="2D05FCC1">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年平均质量浓度</w:t>
                  </w:r>
                </w:p>
              </w:tc>
              <w:tc>
                <w:tcPr>
                  <w:tcW w:w="976" w:type="pct"/>
                  <w:tcBorders>
                    <w:tl2br w:val="nil"/>
                    <w:tr2bl w:val="nil"/>
                  </w:tcBorders>
                  <w:noWrap w:val="0"/>
                  <w:vAlign w:val="center"/>
                </w:tcPr>
                <w:p w14:paraId="3922CDE6">
                  <w:pPr>
                    <w:jc w:val="center"/>
                    <w:rPr>
                      <w:rFonts w:hint="default" w:ascii="Times New Roman" w:hAnsi="Times New Roman" w:eastAsia="仿宋_GB2312" w:cs="Times New Roman"/>
                      <w:color w:val="auto"/>
                      <w:sz w:val="21"/>
                      <w:szCs w:val="21"/>
                      <w:lang w:eastAsia="zh-CN"/>
                    </w:rPr>
                  </w:pPr>
                  <w:r>
                    <w:rPr>
                      <w:rFonts w:hint="eastAsia" w:eastAsia="仿宋_GB2312" w:cs="Times New Roman"/>
                      <w:color w:val="auto"/>
                      <w:sz w:val="21"/>
                      <w:szCs w:val="21"/>
                      <w:lang w:val="en-US" w:eastAsia="zh-CN"/>
                    </w:rPr>
                    <w:t>6</w:t>
                  </w:r>
                  <w:r>
                    <w:rPr>
                      <w:rFonts w:hint="default" w:ascii="Times New Roman" w:hAnsi="Times New Roman" w:eastAsia="仿宋_GB2312" w:cs="Times New Roman"/>
                      <w:color w:val="auto"/>
                      <w:sz w:val="21"/>
                      <w:szCs w:val="21"/>
                    </w:rPr>
                    <w:t>0</w:t>
                  </w:r>
                </w:p>
              </w:tc>
              <w:tc>
                <w:tcPr>
                  <w:tcW w:w="1106" w:type="pct"/>
                  <w:tcBorders>
                    <w:tl2br w:val="nil"/>
                    <w:tr2bl w:val="nil"/>
                  </w:tcBorders>
                  <w:noWrap w:val="0"/>
                  <w:vAlign w:val="center"/>
                </w:tcPr>
                <w:p w14:paraId="56D220A9">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4</w:t>
                  </w:r>
                  <w:r>
                    <w:rPr>
                      <w:rFonts w:hint="eastAsia" w:eastAsia="仿宋_GB2312" w:cs="Times New Roman"/>
                      <w:color w:val="auto"/>
                      <w:sz w:val="21"/>
                      <w:szCs w:val="21"/>
                      <w:lang w:val="en-US" w:eastAsia="zh-CN"/>
                    </w:rPr>
                    <w:t>5</w:t>
                  </w:r>
                </w:p>
              </w:tc>
              <w:tc>
                <w:tcPr>
                  <w:tcW w:w="711" w:type="pct"/>
                  <w:tcBorders>
                    <w:tl2br w:val="nil"/>
                    <w:tr2bl w:val="nil"/>
                  </w:tcBorders>
                  <w:noWrap w:val="0"/>
                  <w:vAlign w:val="center"/>
                </w:tcPr>
                <w:p w14:paraId="44E811A5">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达标</w:t>
                  </w:r>
                </w:p>
              </w:tc>
            </w:tr>
            <w:tr w14:paraId="24517E7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19" w:type="pct"/>
                  <w:tcBorders>
                    <w:tl2br w:val="nil"/>
                    <w:tr2bl w:val="nil"/>
                  </w:tcBorders>
                  <w:noWrap w:val="0"/>
                  <w:vAlign w:val="center"/>
                </w:tcPr>
                <w:p w14:paraId="3BCBF9FE">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PM</w:t>
                  </w:r>
                  <w:r>
                    <w:rPr>
                      <w:rFonts w:hint="default" w:ascii="Times New Roman" w:hAnsi="Times New Roman" w:eastAsia="仿宋_GB2312" w:cs="Times New Roman"/>
                      <w:color w:val="auto"/>
                      <w:sz w:val="21"/>
                      <w:szCs w:val="21"/>
                      <w:vertAlign w:val="subscript"/>
                    </w:rPr>
                    <w:t>2.5</w:t>
                  </w:r>
                </w:p>
              </w:tc>
              <w:tc>
                <w:tcPr>
                  <w:tcW w:w="1486" w:type="pct"/>
                  <w:tcBorders>
                    <w:tl2br w:val="nil"/>
                    <w:tr2bl w:val="nil"/>
                  </w:tcBorders>
                  <w:noWrap w:val="0"/>
                  <w:vAlign w:val="center"/>
                </w:tcPr>
                <w:p w14:paraId="7E23E241">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年平均质量浓度</w:t>
                  </w:r>
                </w:p>
              </w:tc>
              <w:tc>
                <w:tcPr>
                  <w:tcW w:w="976" w:type="pct"/>
                  <w:tcBorders>
                    <w:tl2br w:val="nil"/>
                    <w:tr2bl w:val="nil"/>
                  </w:tcBorders>
                  <w:noWrap w:val="0"/>
                  <w:vAlign w:val="center"/>
                </w:tcPr>
                <w:p w14:paraId="225C1EB7">
                  <w:pPr>
                    <w:jc w:val="center"/>
                    <w:rPr>
                      <w:rFonts w:hint="eastAsia"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3</w:t>
                  </w:r>
                  <w:r>
                    <w:rPr>
                      <w:rFonts w:hint="eastAsia" w:eastAsia="仿宋_GB2312" w:cs="Times New Roman"/>
                      <w:color w:val="auto"/>
                      <w:sz w:val="21"/>
                      <w:szCs w:val="21"/>
                      <w:lang w:val="en-US" w:eastAsia="zh-CN"/>
                    </w:rPr>
                    <w:t>0</w:t>
                  </w:r>
                </w:p>
              </w:tc>
              <w:tc>
                <w:tcPr>
                  <w:tcW w:w="1106" w:type="pct"/>
                  <w:tcBorders>
                    <w:tl2br w:val="nil"/>
                    <w:tr2bl w:val="nil"/>
                  </w:tcBorders>
                  <w:noWrap w:val="0"/>
                  <w:vAlign w:val="center"/>
                </w:tcPr>
                <w:p w14:paraId="10AF60FA">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w:t>
                  </w:r>
                  <w:r>
                    <w:rPr>
                      <w:rFonts w:hint="eastAsia" w:eastAsia="仿宋_GB2312" w:cs="Times New Roman"/>
                      <w:color w:val="auto"/>
                      <w:sz w:val="21"/>
                      <w:szCs w:val="21"/>
                      <w:lang w:val="en-US" w:eastAsia="zh-CN"/>
                    </w:rPr>
                    <w:t>8</w:t>
                  </w:r>
                </w:p>
              </w:tc>
              <w:tc>
                <w:tcPr>
                  <w:tcW w:w="711" w:type="pct"/>
                  <w:tcBorders>
                    <w:tl2br w:val="nil"/>
                    <w:tr2bl w:val="nil"/>
                  </w:tcBorders>
                  <w:noWrap w:val="0"/>
                  <w:vAlign w:val="center"/>
                </w:tcPr>
                <w:p w14:paraId="73518B6B">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达标</w:t>
                  </w:r>
                </w:p>
              </w:tc>
            </w:tr>
            <w:tr w14:paraId="2741663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19" w:type="pct"/>
                  <w:tcBorders>
                    <w:tl2br w:val="nil"/>
                    <w:tr2bl w:val="nil"/>
                  </w:tcBorders>
                  <w:noWrap w:val="0"/>
                  <w:vAlign w:val="center"/>
                </w:tcPr>
                <w:p w14:paraId="4170D0B1">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CO</w:t>
                  </w:r>
                </w:p>
              </w:tc>
              <w:tc>
                <w:tcPr>
                  <w:tcW w:w="1486" w:type="pct"/>
                  <w:tcBorders>
                    <w:tl2br w:val="nil"/>
                    <w:tr2bl w:val="nil"/>
                  </w:tcBorders>
                  <w:noWrap w:val="0"/>
                  <w:vAlign w:val="center"/>
                </w:tcPr>
                <w:p w14:paraId="5FDA9052">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日均值第95百分位浓度</w:t>
                  </w:r>
                </w:p>
              </w:tc>
              <w:tc>
                <w:tcPr>
                  <w:tcW w:w="976" w:type="pct"/>
                  <w:tcBorders>
                    <w:tl2br w:val="nil"/>
                    <w:tr2bl w:val="nil"/>
                  </w:tcBorders>
                  <w:noWrap w:val="0"/>
                  <w:vAlign w:val="center"/>
                </w:tcPr>
                <w:p w14:paraId="5B7A512A">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4000</w:t>
                  </w:r>
                </w:p>
              </w:tc>
              <w:tc>
                <w:tcPr>
                  <w:tcW w:w="1106" w:type="pct"/>
                  <w:tcBorders>
                    <w:tl2br w:val="nil"/>
                    <w:tr2bl w:val="nil"/>
                  </w:tcBorders>
                  <w:noWrap w:val="0"/>
                  <w:vAlign w:val="center"/>
                </w:tcPr>
                <w:p w14:paraId="1E077A61">
                  <w:pPr>
                    <w:jc w:val="center"/>
                    <w:rPr>
                      <w:rFonts w:hint="default" w:ascii="Times New Roman" w:hAnsi="Times New Roman" w:eastAsia="仿宋_GB2312" w:cs="Times New Roman"/>
                      <w:color w:val="auto"/>
                      <w:sz w:val="21"/>
                      <w:szCs w:val="21"/>
                      <w:lang w:val="en-US" w:eastAsia="zh-CN"/>
                    </w:rPr>
                  </w:pPr>
                  <w:r>
                    <w:rPr>
                      <w:rFonts w:hint="eastAsia" w:eastAsia="仿宋_GB2312" w:cs="Times New Roman"/>
                      <w:color w:val="auto"/>
                      <w:sz w:val="21"/>
                      <w:szCs w:val="21"/>
                      <w:lang w:val="en-US" w:eastAsia="zh-CN"/>
                    </w:rPr>
                    <w:t>8</w:t>
                  </w:r>
                  <w:r>
                    <w:rPr>
                      <w:rFonts w:hint="default" w:ascii="Times New Roman" w:hAnsi="Times New Roman" w:eastAsia="仿宋_GB2312" w:cs="Times New Roman"/>
                      <w:color w:val="auto"/>
                      <w:sz w:val="21"/>
                      <w:szCs w:val="21"/>
                      <w:lang w:val="en-US" w:eastAsia="zh-CN"/>
                    </w:rPr>
                    <w:t>00</w:t>
                  </w:r>
                </w:p>
              </w:tc>
              <w:tc>
                <w:tcPr>
                  <w:tcW w:w="711" w:type="pct"/>
                  <w:tcBorders>
                    <w:tl2br w:val="nil"/>
                    <w:tr2bl w:val="nil"/>
                  </w:tcBorders>
                  <w:noWrap w:val="0"/>
                  <w:vAlign w:val="center"/>
                </w:tcPr>
                <w:p w14:paraId="749A5788">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达标</w:t>
                  </w:r>
                </w:p>
              </w:tc>
            </w:tr>
            <w:tr w14:paraId="3936C7C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19" w:type="pct"/>
                  <w:tcBorders>
                    <w:tl2br w:val="nil"/>
                    <w:tr2bl w:val="nil"/>
                  </w:tcBorders>
                  <w:noWrap w:val="0"/>
                  <w:vAlign w:val="center"/>
                </w:tcPr>
                <w:p w14:paraId="078D6B41">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O</w:t>
                  </w:r>
                  <w:r>
                    <w:rPr>
                      <w:rFonts w:hint="default" w:ascii="Times New Roman" w:hAnsi="Times New Roman" w:eastAsia="仿宋_GB2312" w:cs="Times New Roman"/>
                      <w:color w:val="auto"/>
                      <w:sz w:val="21"/>
                      <w:szCs w:val="21"/>
                      <w:vertAlign w:val="subscript"/>
                    </w:rPr>
                    <w:t>3</w:t>
                  </w:r>
                </w:p>
              </w:tc>
              <w:tc>
                <w:tcPr>
                  <w:tcW w:w="1486" w:type="pct"/>
                  <w:tcBorders>
                    <w:tl2br w:val="nil"/>
                    <w:tr2bl w:val="nil"/>
                  </w:tcBorders>
                  <w:noWrap w:val="0"/>
                  <w:vAlign w:val="center"/>
                </w:tcPr>
                <w:p w14:paraId="3767008A">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日最大8h平均第90</w:t>
                  </w:r>
                </w:p>
                <w:p w14:paraId="79863B0F">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百分位质量浓度</w:t>
                  </w:r>
                </w:p>
              </w:tc>
              <w:tc>
                <w:tcPr>
                  <w:tcW w:w="976" w:type="pct"/>
                  <w:tcBorders>
                    <w:tl2br w:val="nil"/>
                    <w:tr2bl w:val="nil"/>
                  </w:tcBorders>
                  <w:noWrap w:val="0"/>
                  <w:vAlign w:val="center"/>
                </w:tcPr>
                <w:p w14:paraId="62B73CDD">
                  <w:pPr>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160</w:t>
                  </w:r>
                </w:p>
              </w:tc>
              <w:tc>
                <w:tcPr>
                  <w:tcW w:w="1106" w:type="pct"/>
                  <w:tcBorders>
                    <w:tl2br w:val="nil"/>
                    <w:tr2bl w:val="nil"/>
                  </w:tcBorders>
                  <w:noWrap w:val="0"/>
                  <w:vAlign w:val="center"/>
                </w:tcPr>
                <w:p w14:paraId="4EDE0EC0">
                  <w:pPr>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w:t>
                  </w:r>
                  <w:r>
                    <w:rPr>
                      <w:rFonts w:hint="eastAsia" w:eastAsia="仿宋_GB2312" w:cs="Times New Roman"/>
                      <w:color w:val="auto"/>
                      <w:sz w:val="21"/>
                      <w:szCs w:val="21"/>
                      <w:lang w:val="en-US" w:eastAsia="zh-CN"/>
                    </w:rPr>
                    <w:t>42</w:t>
                  </w:r>
                </w:p>
              </w:tc>
              <w:tc>
                <w:tcPr>
                  <w:tcW w:w="711" w:type="pct"/>
                  <w:tcBorders>
                    <w:tl2br w:val="nil"/>
                    <w:tr2bl w:val="nil"/>
                  </w:tcBorders>
                  <w:noWrap w:val="0"/>
                  <w:vAlign w:val="center"/>
                </w:tcPr>
                <w:p w14:paraId="1792AB2B">
                  <w:pPr>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达标</w:t>
                  </w:r>
                </w:p>
              </w:tc>
            </w:tr>
          </w:tbl>
          <w:p w14:paraId="7B1E3FAB">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综上</w:t>
            </w:r>
            <w:r>
              <w:rPr>
                <w:rFonts w:hint="default" w:ascii="Times New Roman" w:hAnsi="Times New Roman" w:eastAsia="仿宋_GB2312" w:cs="Times New Roman"/>
                <w:color w:val="auto"/>
                <w:sz w:val="24"/>
                <w:szCs w:val="24"/>
                <w:highlight w:val="none"/>
              </w:rPr>
              <w:t>，二氧化硫（SO</w:t>
            </w:r>
            <w:r>
              <w:rPr>
                <w:rFonts w:hint="default" w:ascii="Times New Roman" w:hAnsi="Times New Roman" w:eastAsia="仿宋_GB2312" w:cs="Times New Roman"/>
                <w:color w:val="auto"/>
                <w:sz w:val="24"/>
                <w:szCs w:val="24"/>
                <w:highlight w:val="none"/>
                <w:vertAlign w:val="subscript"/>
              </w:rPr>
              <w:t>2</w:t>
            </w:r>
            <w:r>
              <w:rPr>
                <w:rFonts w:hint="default" w:ascii="Times New Roman" w:hAnsi="Times New Roman" w:eastAsia="仿宋_GB2312" w:cs="Times New Roman"/>
                <w:color w:val="auto"/>
                <w:sz w:val="24"/>
                <w:szCs w:val="24"/>
                <w:highlight w:val="none"/>
              </w:rPr>
              <w:t>）、二氧化氮（NO</w:t>
            </w:r>
            <w:r>
              <w:rPr>
                <w:rFonts w:hint="default" w:ascii="Times New Roman" w:hAnsi="Times New Roman" w:eastAsia="仿宋_GB2312" w:cs="Times New Roman"/>
                <w:color w:val="auto"/>
                <w:sz w:val="24"/>
                <w:szCs w:val="24"/>
                <w:vertAlign w:val="subscript"/>
              </w:rPr>
              <w:t>2</w:t>
            </w:r>
            <w:r>
              <w:rPr>
                <w:rFonts w:hint="default" w:ascii="Times New Roman" w:hAnsi="Times New Roman" w:eastAsia="仿宋_GB2312" w:cs="Times New Roman"/>
                <w:color w:val="auto"/>
                <w:sz w:val="24"/>
                <w:szCs w:val="24"/>
              </w:rPr>
              <w:t>）、可吸入颗粒物（PM</w:t>
            </w:r>
            <w:r>
              <w:rPr>
                <w:rFonts w:hint="default" w:ascii="Times New Roman" w:hAnsi="Times New Roman" w:eastAsia="仿宋_GB2312" w:cs="Times New Roman"/>
                <w:color w:val="auto"/>
                <w:sz w:val="24"/>
                <w:szCs w:val="24"/>
                <w:vertAlign w:val="subscript"/>
              </w:rPr>
              <w:t>10</w:t>
            </w:r>
            <w:r>
              <w:rPr>
                <w:rFonts w:hint="default" w:ascii="Times New Roman" w:hAnsi="Times New Roman" w:eastAsia="仿宋_GB2312" w:cs="Times New Roman"/>
                <w:color w:val="auto"/>
                <w:sz w:val="24"/>
                <w:szCs w:val="24"/>
              </w:rPr>
              <w:t>）</w:t>
            </w:r>
            <w:r>
              <w:rPr>
                <w:rFonts w:hint="default" w:ascii="Times New Roman" w:hAnsi="Times New Roman" w:eastAsia="仿宋_GB2312" w:cs="Times New Roman"/>
                <w:color w:val="auto"/>
                <w:sz w:val="24"/>
                <w:szCs w:val="24"/>
                <w:lang w:eastAsia="zh-CN"/>
              </w:rPr>
              <w:t>和细颗粒物（</w:t>
            </w:r>
            <w:r>
              <w:rPr>
                <w:rFonts w:hint="default" w:ascii="Times New Roman" w:hAnsi="Times New Roman" w:eastAsia="仿宋_GB2312" w:cs="Times New Roman"/>
                <w:color w:val="auto"/>
                <w:sz w:val="24"/>
                <w:szCs w:val="24"/>
                <w:lang w:val="en-US" w:eastAsia="zh-CN"/>
              </w:rPr>
              <w:t>PM</w:t>
            </w:r>
            <w:r>
              <w:rPr>
                <w:rFonts w:hint="default" w:ascii="Times New Roman" w:hAnsi="Times New Roman" w:eastAsia="仿宋_GB2312" w:cs="Times New Roman"/>
                <w:color w:val="auto"/>
                <w:sz w:val="24"/>
                <w:szCs w:val="24"/>
                <w:vertAlign w:val="subscript"/>
                <w:lang w:val="en-US" w:eastAsia="zh-CN"/>
              </w:rPr>
              <w:t>2.5</w:t>
            </w:r>
            <w:r>
              <w:rPr>
                <w:rFonts w:hint="default" w:ascii="Times New Roman" w:hAnsi="Times New Roman" w:eastAsia="仿宋_GB2312" w:cs="Times New Roman"/>
                <w:color w:val="auto"/>
                <w:sz w:val="24"/>
                <w:szCs w:val="24"/>
                <w:lang w:eastAsia="zh-CN"/>
              </w:rPr>
              <w:t>）</w:t>
            </w:r>
            <w:r>
              <w:rPr>
                <w:rFonts w:hint="default" w:ascii="Times New Roman" w:hAnsi="Times New Roman" w:eastAsia="仿宋_GB2312" w:cs="Times New Roman"/>
                <w:color w:val="auto"/>
                <w:sz w:val="24"/>
                <w:szCs w:val="24"/>
              </w:rPr>
              <w:t>年均浓度，一氧化碳（CO）日均</w:t>
            </w:r>
            <w:r>
              <w:rPr>
                <w:rFonts w:hint="default" w:ascii="Times New Roman" w:hAnsi="Times New Roman" w:eastAsia="仿宋_GB2312" w:cs="Times New Roman"/>
                <w:color w:val="auto"/>
                <w:sz w:val="24"/>
                <w:szCs w:val="24"/>
                <w:lang w:eastAsia="zh-CN"/>
              </w:rPr>
              <w:t>值第</w:t>
            </w:r>
            <w:r>
              <w:rPr>
                <w:rFonts w:hint="default" w:ascii="Times New Roman" w:hAnsi="Times New Roman" w:eastAsia="仿宋_GB2312" w:cs="Times New Roman"/>
                <w:color w:val="auto"/>
                <w:sz w:val="24"/>
                <w:szCs w:val="24"/>
                <w:lang w:val="en-US" w:eastAsia="zh-CN"/>
              </w:rPr>
              <w:t>95百分位数</w:t>
            </w:r>
            <w:r>
              <w:rPr>
                <w:rFonts w:hint="default" w:ascii="Times New Roman" w:hAnsi="Times New Roman" w:eastAsia="仿宋_GB2312" w:cs="Times New Roman"/>
                <w:color w:val="auto"/>
                <w:sz w:val="24"/>
                <w:szCs w:val="24"/>
              </w:rPr>
              <w:t>浓度</w:t>
            </w:r>
            <w:r>
              <w:rPr>
                <w:rFonts w:hint="default" w:ascii="Times New Roman" w:hAnsi="Times New Roman" w:eastAsia="仿宋_GB2312" w:cs="Times New Roman"/>
                <w:color w:val="auto"/>
                <w:sz w:val="24"/>
                <w:szCs w:val="24"/>
                <w:lang w:eastAsia="zh-CN"/>
              </w:rPr>
              <w:t>和臭氧（</w:t>
            </w:r>
            <w:r>
              <w:rPr>
                <w:rFonts w:hint="default" w:ascii="Times New Roman" w:hAnsi="Times New Roman" w:eastAsia="仿宋_GB2312" w:cs="Times New Roman"/>
                <w:color w:val="auto"/>
                <w:sz w:val="24"/>
                <w:szCs w:val="24"/>
                <w:lang w:val="en-US" w:eastAsia="zh-CN"/>
              </w:rPr>
              <w:t>O</w:t>
            </w:r>
            <w:r>
              <w:rPr>
                <w:rFonts w:hint="default" w:ascii="Times New Roman" w:hAnsi="Times New Roman" w:eastAsia="仿宋_GB2312" w:cs="Times New Roman"/>
                <w:color w:val="auto"/>
                <w:sz w:val="24"/>
                <w:szCs w:val="24"/>
                <w:vertAlign w:val="subscript"/>
                <w:lang w:val="en-US" w:eastAsia="zh-CN"/>
              </w:rPr>
              <w:t>3</w:t>
            </w:r>
            <w:r>
              <w:rPr>
                <w:rFonts w:hint="default" w:ascii="Times New Roman" w:hAnsi="Times New Roman" w:eastAsia="仿宋_GB2312" w:cs="Times New Roman"/>
                <w:color w:val="auto"/>
                <w:sz w:val="24"/>
                <w:szCs w:val="24"/>
                <w:lang w:eastAsia="zh-CN"/>
              </w:rPr>
              <w:t>）日最大</w:t>
            </w:r>
            <w:r>
              <w:rPr>
                <w:rFonts w:hint="default" w:ascii="Times New Roman" w:hAnsi="Times New Roman" w:eastAsia="仿宋_GB2312" w:cs="Times New Roman"/>
                <w:color w:val="auto"/>
                <w:sz w:val="24"/>
                <w:szCs w:val="24"/>
                <w:lang w:val="en-US" w:eastAsia="zh-CN"/>
              </w:rPr>
              <w:t>8h平均第90百分位数</w:t>
            </w:r>
            <w:r>
              <w:rPr>
                <w:rFonts w:hint="default" w:ascii="Times New Roman" w:hAnsi="Times New Roman" w:eastAsia="仿宋_GB2312" w:cs="Times New Roman"/>
                <w:color w:val="auto"/>
                <w:sz w:val="24"/>
                <w:szCs w:val="24"/>
              </w:rPr>
              <w:t>浓度均符合《环境空气质量标准》（GB</w:t>
            </w:r>
            <w:r>
              <w:rPr>
                <w:rFonts w:hint="default" w:ascii="Times New Roman" w:hAnsi="Times New Roman" w:eastAsia="仿宋_GB2312" w:cs="Times New Roman"/>
                <w:color w:val="auto"/>
                <w:sz w:val="24"/>
                <w:szCs w:val="24"/>
                <w:lang w:val="en-US" w:eastAsia="zh-CN"/>
              </w:rPr>
              <w:t xml:space="preserve"> </w:t>
            </w:r>
            <w:r>
              <w:rPr>
                <w:rFonts w:hint="default" w:ascii="Times New Roman" w:hAnsi="Times New Roman" w:eastAsia="仿宋_GB2312" w:cs="Times New Roman"/>
                <w:color w:val="auto"/>
                <w:sz w:val="24"/>
                <w:szCs w:val="24"/>
              </w:rPr>
              <w:t>3095-20</w:t>
            </w:r>
            <w:r>
              <w:rPr>
                <w:rFonts w:hint="eastAsia" w:eastAsia="仿宋_GB2312" w:cs="Times New Roman"/>
                <w:color w:val="auto"/>
                <w:sz w:val="24"/>
                <w:szCs w:val="24"/>
                <w:lang w:val="en-US" w:eastAsia="zh-CN"/>
              </w:rPr>
              <w:t>26</w:t>
            </w:r>
            <w:r>
              <w:rPr>
                <w:rFonts w:hint="default" w:ascii="Times New Roman" w:hAnsi="Times New Roman" w:eastAsia="仿宋_GB2312" w:cs="Times New Roman"/>
                <w:color w:val="auto"/>
                <w:sz w:val="24"/>
                <w:szCs w:val="24"/>
              </w:rPr>
              <w:t>）</w:t>
            </w:r>
            <w:r>
              <w:rPr>
                <w:rFonts w:hint="eastAsia" w:eastAsia="仿宋_GB2312" w:cs="Times New Roman"/>
                <w:color w:val="auto"/>
                <w:sz w:val="24"/>
                <w:szCs w:val="24"/>
                <w:lang w:eastAsia="zh-CN"/>
              </w:rPr>
              <w:t>过渡阶段</w:t>
            </w:r>
            <w:r>
              <w:rPr>
                <w:rFonts w:hint="default" w:ascii="Times New Roman" w:hAnsi="Times New Roman" w:eastAsia="仿宋_GB2312" w:cs="Times New Roman"/>
                <w:color w:val="auto"/>
                <w:sz w:val="24"/>
                <w:szCs w:val="24"/>
              </w:rPr>
              <w:t>二级标准</w:t>
            </w:r>
            <w:r>
              <w:rPr>
                <w:rFonts w:hint="default" w:ascii="Times New Roman" w:hAnsi="Times New Roman" w:eastAsia="仿宋_GB2312" w:cs="Times New Roman"/>
                <w:color w:val="auto"/>
                <w:sz w:val="24"/>
                <w:szCs w:val="24"/>
                <w:lang w:eastAsia="zh-CN"/>
              </w:rPr>
              <w:t>，项目所在地东至县属于达标区。</w:t>
            </w:r>
          </w:p>
          <w:p w14:paraId="6D0BE470">
            <w:pPr>
              <w:autoSpaceDE w:val="0"/>
              <w:autoSpaceDN w:val="0"/>
              <w:adjustRightInd w:val="0"/>
              <w:spacing w:line="360" w:lineRule="auto"/>
              <w:ind w:firstLine="480" w:firstLineChars="200"/>
              <w:jc w:val="both"/>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（2）补充监测</w:t>
            </w:r>
          </w:p>
          <w:p w14:paraId="4F775C59">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根据《建设项目环境影响报告表编制</w:t>
            </w:r>
            <w:r>
              <w:rPr>
                <w:rFonts w:hint="eastAsia" w:eastAsia="仿宋_GB2312" w:cs="Times New Roman"/>
                <w:color w:val="auto"/>
                <w:sz w:val="24"/>
                <w:szCs w:val="24"/>
                <w:lang w:val="en-US" w:eastAsia="zh-CN"/>
              </w:rPr>
              <w:t>技术</w:t>
            </w:r>
            <w:r>
              <w:rPr>
                <w:rFonts w:hint="default" w:ascii="Times New Roman" w:hAnsi="Times New Roman" w:eastAsia="仿宋_GB2312" w:cs="Times New Roman"/>
                <w:color w:val="auto"/>
                <w:sz w:val="24"/>
                <w:szCs w:val="24"/>
                <w:lang w:val="en-US" w:eastAsia="zh-CN"/>
              </w:rPr>
              <w:t>指南（污染影响类）（试行）》，排放国家、地方环境空气质量标准中有标准限值要求的特征污染物时，引用建设项目周边5千米范围内近3年的现有监测数据，无相关数据的选择当季主导风向下风向1个点位补充不少于3天的监测数据。</w:t>
            </w:r>
          </w:p>
          <w:p w14:paraId="6283AB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本项目大气环境特征污染物为非甲烷总烃。建设单位委托</w:t>
            </w:r>
            <w:r>
              <w:rPr>
                <w:rFonts w:hint="default" w:ascii="Times New Roman" w:hAnsi="Times New Roman" w:eastAsia="仿宋_GB2312" w:cs="Times New Roman"/>
                <w:color w:val="auto"/>
                <w:sz w:val="24"/>
                <w:szCs w:val="24"/>
                <w:highlight w:val="none"/>
                <w:lang w:val="en-US" w:eastAsia="zh-CN"/>
              </w:rPr>
              <w:t>安徽绿健检测技术服务有限公司对项目地区</w:t>
            </w:r>
            <w:r>
              <w:rPr>
                <w:rFonts w:hint="default" w:ascii="Times New Roman" w:hAnsi="Times New Roman" w:eastAsia="仿宋_GB2312" w:cs="Times New Roman"/>
                <w:color w:val="auto"/>
                <w:sz w:val="24"/>
                <w:szCs w:val="24"/>
                <w:lang w:val="en-US" w:eastAsia="zh-CN"/>
              </w:rPr>
              <w:t>开展现状监测，检测时间为2024年5月2日~4日，具体检测信息见下表：</w:t>
            </w:r>
          </w:p>
          <w:p w14:paraId="486DC4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color w:val="auto"/>
                <w:sz w:val="24"/>
                <w:szCs w:val="24"/>
                <w:lang w:eastAsia="zh-CN"/>
              </w:rPr>
            </w:pPr>
            <w:r>
              <w:rPr>
                <w:rFonts w:hint="default" w:ascii="Times New Roman" w:hAnsi="Times New Roman" w:eastAsia="仿宋_GB2312" w:cs="Times New Roman"/>
                <w:b/>
                <w:color w:val="auto"/>
                <w:sz w:val="24"/>
                <w:szCs w:val="24"/>
              </w:rPr>
              <w:t>表</w:t>
            </w:r>
            <w:r>
              <w:rPr>
                <w:rFonts w:hint="default" w:ascii="Times New Roman" w:hAnsi="Times New Roman" w:eastAsia="仿宋_GB2312" w:cs="Times New Roman"/>
                <w:b/>
                <w:color w:val="auto"/>
                <w:sz w:val="24"/>
                <w:szCs w:val="24"/>
                <w:lang w:val="en-US" w:eastAsia="zh-CN"/>
              </w:rPr>
              <w:t>3</w:t>
            </w:r>
            <w:r>
              <w:rPr>
                <w:rFonts w:hint="default" w:ascii="Times New Roman" w:hAnsi="Times New Roman" w:eastAsia="仿宋_GB2312" w:cs="Times New Roman"/>
                <w:b/>
                <w:color w:val="auto"/>
                <w:sz w:val="24"/>
                <w:szCs w:val="24"/>
              </w:rPr>
              <w:t>-</w:t>
            </w:r>
            <w:r>
              <w:rPr>
                <w:rFonts w:hint="default" w:ascii="Times New Roman" w:hAnsi="Times New Roman" w:eastAsia="仿宋_GB2312" w:cs="Times New Roman"/>
                <w:b/>
                <w:color w:val="auto"/>
                <w:sz w:val="24"/>
                <w:szCs w:val="24"/>
                <w:lang w:val="en-US" w:eastAsia="zh-CN"/>
              </w:rPr>
              <w:t>2</w:t>
            </w:r>
            <w:r>
              <w:rPr>
                <w:rFonts w:hint="default" w:ascii="Times New Roman" w:hAnsi="Times New Roman" w:eastAsia="仿宋_GB2312" w:cs="Times New Roman"/>
                <w:b/>
                <w:color w:val="auto"/>
                <w:sz w:val="24"/>
                <w:szCs w:val="24"/>
              </w:rPr>
              <w:t xml:space="preserve"> </w:t>
            </w:r>
            <w:r>
              <w:rPr>
                <w:rFonts w:hint="default" w:ascii="Times New Roman" w:hAnsi="Times New Roman" w:eastAsia="仿宋_GB2312" w:cs="Times New Roman"/>
                <w:b/>
                <w:color w:val="auto"/>
                <w:sz w:val="24"/>
                <w:szCs w:val="24"/>
                <w:lang w:eastAsia="zh-CN"/>
              </w:rPr>
              <w:t>特征污染物</w:t>
            </w:r>
            <w:r>
              <w:rPr>
                <w:rFonts w:hint="default" w:ascii="Times New Roman" w:hAnsi="Times New Roman" w:eastAsia="仿宋_GB2312" w:cs="Times New Roman"/>
                <w:b/>
                <w:color w:val="auto"/>
                <w:sz w:val="24"/>
                <w:szCs w:val="24"/>
              </w:rPr>
              <w:t>环境质量现状</w:t>
            </w:r>
            <w:r>
              <w:rPr>
                <w:rFonts w:hint="default" w:ascii="Times New Roman" w:hAnsi="Times New Roman" w:eastAsia="仿宋_GB2312" w:cs="Times New Roman"/>
                <w:b/>
                <w:color w:val="auto"/>
                <w:sz w:val="24"/>
                <w:szCs w:val="24"/>
                <w:lang w:eastAsia="zh-CN"/>
              </w:rPr>
              <w:t>评价结果</w:t>
            </w:r>
          </w:p>
          <w:tbl>
            <w:tblPr>
              <w:tblStyle w:val="20"/>
              <w:tblW w:w="7974"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03"/>
              <w:gridCol w:w="689"/>
              <w:gridCol w:w="789"/>
              <w:gridCol w:w="790"/>
              <w:gridCol w:w="1244"/>
              <w:gridCol w:w="1412"/>
              <w:gridCol w:w="882"/>
              <w:gridCol w:w="865"/>
            </w:tblGrid>
            <w:tr w14:paraId="42A6E38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992" w:type="dxa"/>
                  <w:gridSpan w:val="2"/>
                  <w:tcBorders>
                    <w:tl2br w:val="nil"/>
                    <w:tr2bl w:val="nil"/>
                  </w:tcBorders>
                  <w:noWrap w:val="0"/>
                  <w:vAlign w:val="center"/>
                </w:tcPr>
                <w:p w14:paraId="393D54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监测点位</w:t>
                  </w:r>
                </w:p>
              </w:tc>
              <w:tc>
                <w:tcPr>
                  <w:tcW w:w="789" w:type="dxa"/>
                  <w:tcBorders>
                    <w:tl2br w:val="nil"/>
                    <w:tr2bl w:val="nil"/>
                  </w:tcBorders>
                  <w:noWrap w:val="0"/>
                  <w:vAlign w:val="center"/>
                </w:tcPr>
                <w:p w14:paraId="51F4E4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方位</w:t>
                  </w:r>
                </w:p>
              </w:tc>
              <w:tc>
                <w:tcPr>
                  <w:tcW w:w="790" w:type="dxa"/>
                  <w:tcBorders>
                    <w:tl2br w:val="nil"/>
                    <w:tr2bl w:val="nil"/>
                  </w:tcBorders>
                  <w:noWrap w:val="0"/>
                  <w:vAlign w:val="center"/>
                </w:tcPr>
                <w:p w14:paraId="47075C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距离（m）</w:t>
                  </w:r>
                </w:p>
              </w:tc>
              <w:tc>
                <w:tcPr>
                  <w:tcW w:w="1244" w:type="dxa"/>
                  <w:tcBorders>
                    <w:tl2br w:val="nil"/>
                    <w:tr2bl w:val="nil"/>
                  </w:tcBorders>
                  <w:noWrap w:val="0"/>
                  <w:vAlign w:val="center"/>
                </w:tcPr>
                <w:p w14:paraId="1F793C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监测因子</w:t>
                  </w:r>
                </w:p>
              </w:tc>
              <w:tc>
                <w:tcPr>
                  <w:tcW w:w="1412" w:type="dxa"/>
                  <w:tcBorders>
                    <w:tl2br w:val="nil"/>
                    <w:tr2bl w:val="nil"/>
                  </w:tcBorders>
                  <w:noWrap w:val="0"/>
                  <w:vAlign w:val="center"/>
                </w:tcPr>
                <w:p w14:paraId="2FE4C8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监测浓度</w:t>
                  </w:r>
                </w:p>
                <w:p w14:paraId="0649B0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highlight w:val="none"/>
                      <w:vertAlign w:val="baseline"/>
                      <w:lang w:val="en-US" w:eastAsia="zh-CN"/>
                    </w:rPr>
                  </w:pPr>
                  <w:r>
                    <w:rPr>
                      <w:rFonts w:hint="default" w:ascii="Times New Roman" w:hAnsi="Times New Roman" w:eastAsia="仿宋_GB2312" w:cs="Times New Roman"/>
                      <w:b/>
                      <w:bCs/>
                      <w:color w:val="auto"/>
                      <w:sz w:val="21"/>
                      <w:szCs w:val="21"/>
                      <w:highlight w:val="none"/>
                      <w:vertAlign w:val="baseline"/>
                      <w:lang w:val="en-US" w:eastAsia="zh-CN"/>
                    </w:rPr>
                    <w:t>范围mg/m</w:t>
                  </w:r>
                  <w:r>
                    <w:rPr>
                      <w:rFonts w:hint="default" w:ascii="Times New Roman" w:hAnsi="Times New Roman" w:eastAsia="仿宋_GB2312" w:cs="Times New Roman"/>
                      <w:b/>
                      <w:bCs/>
                      <w:color w:val="auto"/>
                      <w:sz w:val="21"/>
                      <w:szCs w:val="21"/>
                      <w:highlight w:val="none"/>
                      <w:vertAlign w:val="superscript"/>
                      <w:lang w:val="en-US" w:eastAsia="zh-CN"/>
                    </w:rPr>
                    <w:t>3</w:t>
                  </w:r>
                </w:p>
              </w:tc>
              <w:tc>
                <w:tcPr>
                  <w:tcW w:w="882" w:type="dxa"/>
                  <w:tcBorders>
                    <w:tl2br w:val="nil"/>
                    <w:tr2bl w:val="nil"/>
                  </w:tcBorders>
                  <w:noWrap w:val="0"/>
                  <w:vAlign w:val="center"/>
                </w:tcPr>
                <w:p w14:paraId="5A3B12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标准值</w:t>
                  </w:r>
                </w:p>
                <w:p w14:paraId="2240E6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mg/m</w:t>
                  </w:r>
                  <w:r>
                    <w:rPr>
                      <w:rFonts w:hint="default" w:ascii="Times New Roman" w:hAnsi="Times New Roman" w:eastAsia="仿宋_GB2312" w:cs="Times New Roman"/>
                      <w:b/>
                      <w:bCs/>
                      <w:color w:val="auto"/>
                      <w:sz w:val="21"/>
                      <w:szCs w:val="21"/>
                      <w:vertAlign w:val="superscript"/>
                      <w:lang w:val="en-US" w:eastAsia="zh-CN"/>
                    </w:rPr>
                    <w:t>3</w:t>
                  </w:r>
                </w:p>
              </w:tc>
              <w:tc>
                <w:tcPr>
                  <w:tcW w:w="865" w:type="dxa"/>
                  <w:tcBorders>
                    <w:tl2br w:val="nil"/>
                    <w:tr2bl w:val="nil"/>
                  </w:tcBorders>
                  <w:noWrap w:val="0"/>
                  <w:vAlign w:val="center"/>
                </w:tcPr>
                <w:p w14:paraId="221757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达标</w:t>
                  </w:r>
                </w:p>
                <w:p w14:paraId="449E46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情况</w:t>
                  </w:r>
                </w:p>
              </w:tc>
            </w:tr>
            <w:tr w14:paraId="1A84FB0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03" w:type="dxa"/>
                  <w:tcBorders>
                    <w:tl2br w:val="nil"/>
                    <w:tr2bl w:val="nil"/>
                  </w:tcBorders>
                  <w:noWrap w:val="0"/>
                  <w:vAlign w:val="center"/>
                </w:tcPr>
                <w:p w14:paraId="61DB2BF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项目地</w:t>
                  </w:r>
                </w:p>
              </w:tc>
              <w:tc>
                <w:tcPr>
                  <w:tcW w:w="689" w:type="dxa"/>
                  <w:tcBorders>
                    <w:tl2br w:val="nil"/>
                    <w:tr2bl w:val="nil"/>
                  </w:tcBorders>
                  <w:noWrap w:val="0"/>
                  <w:vAlign w:val="center"/>
                </w:tcPr>
                <w:p w14:paraId="706226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Q1</w:t>
                  </w:r>
                </w:p>
              </w:tc>
              <w:tc>
                <w:tcPr>
                  <w:tcW w:w="789" w:type="dxa"/>
                  <w:tcBorders>
                    <w:tl2br w:val="nil"/>
                    <w:tr2bl w:val="nil"/>
                  </w:tcBorders>
                  <w:noWrap w:val="0"/>
                  <w:vAlign w:val="center"/>
                </w:tcPr>
                <w:p w14:paraId="6F10C9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790" w:type="dxa"/>
                  <w:tcBorders>
                    <w:tl2br w:val="nil"/>
                    <w:tr2bl w:val="nil"/>
                  </w:tcBorders>
                  <w:noWrap w:val="0"/>
                  <w:vAlign w:val="center"/>
                </w:tcPr>
                <w:p w14:paraId="3344D3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w:t>
                  </w:r>
                </w:p>
              </w:tc>
              <w:tc>
                <w:tcPr>
                  <w:tcW w:w="1244" w:type="dxa"/>
                  <w:vMerge w:val="restart"/>
                  <w:tcBorders>
                    <w:tl2br w:val="nil"/>
                    <w:tr2bl w:val="nil"/>
                  </w:tcBorders>
                  <w:noWrap w:val="0"/>
                  <w:vAlign w:val="center"/>
                </w:tcPr>
                <w:p w14:paraId="4D02B2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非甲烷总烃</w:t>
                  </w:r>
                </w:p>
              </w:tc>
              <w:tc>
                <w:tcPr>
                  <w:tcW w:w="1412" w:type="dxa"/>
                  <w:tcBorders>
                    <w:tl2br w:val="nil"/>
                    <w:tr2bl w:val="nil"/>
                  </w:tcBorders>
                  <w:noWrap w:val="0"/>
                  <w:vAlign w:val="center"/>
                </w:tcPr>
                <w:p w14:paraId="238CFC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1.18~1.97</w:t>
                  </w:r>
                </w:p>
              </w:tc>
              <w:tc>
                <w:tcPr>
                  <w:tcW w:w="882" w:type="dxa"/>
                  <w:vMerge w:val="restart"/>
                  <w:tcBorders>
                    <w:tl2br w:val="nil"/>
                    <w:tr2bl w:val="nil"/>
                  </w:tcBorders>
                  <w:noWrap w:val="0"/>
                  <w:vAlign w:val="center"/>
                </w:tcPr>
                <w:p w14:paraId="3031DC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w:t>
                  </w:r>
                </w:p>
              </w:tc>
              <w:tc>
                <w:tcPr>
                  <w:tcW w:w="865" w:type="dxa"/>
                  <w:tcBorders>
                    <w:tl2br w:val="nil"/>
                    <w:tr2bl w:val="nil"/>
                  </w:tcBorders>
                  <w:noWrap w:val="0"/>
                  <w:vAlign w:val="center"/>
                </w:tcPr>
                <w:p w14:paraId="03A25A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达标</w:t>
                  </w:r>
                </w:p>
              </w:tc>
            </w:tr>
            <w:tr w14:paraId="2C0D841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03" w:type="dxa"/>
                  <w:tcBorders>
                    <w:tl2br w:val="nil"/>
                    <w:tr2bl w:val="nil"/>
                  </w:tcBorders>
                  <w:noWrap w:val="0"/>
                  <w:vAlign w:val="center"/>
                </w:tcPr>
                <w:p w14:paraId="1DB6E7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跳儿口</w:t>
                  </w:r>
                </w:p>
              </w:tc>
              <w:tc>
                <w:tcPr>
                  <w:tcW w:w="689" w:type="dxa"/>
                  <w:tcBorders>
                    <w:tl2br w:val="nil"/>
                    <w:tr2bl w:val="nil"/>
                  </w:tcBorders>
                  <w:noWrap w:val="0"/>
                  <w:vAlign w:val="center"/>
                </w:tcPr>
                <w:p w14:paraId="6F71EC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Q2</w:t>
                  </w:r>
                </w:p>
              </w:tc>
              <w:tc>
                <w:tcPr>
                  <w:tcW w:w="789" w:type="dxa"/>
                  <w:tcBorders>
                    <w:tl2br w:val="nil"/>
                    <w:tr2bl w:val="nil"/>
                  </w:tcBorders>
                  <w:noWrap w:val="0"/>
                  <w:vAlign w:val="center"/>
                </w:tcPr>
                <w:p w14:paraId="0F4F25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ES</w:t>
                  </w:r>
                </w:p>
              </w:tc>
              <w:tc>
                <w:tcPr>
                  <w:tcW w:w="790" w:type="dxa"/>
                  <w:tcBorders>
                    <w:tl2br w:val="nil"/>
                    <w:tr2bl w:val="nil"/>
                  </w:tcBorders>
                  <w:noWrap w:val="0"/>
                  <w:vAlign w:val="center"/>
                </w:tcPr>
                <w:p w14:paraId="22214C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500</w:t>
                  </w:r>
                </w:p>
              </w:tc>
              <w:tc>
                <w:tcPr>
                  <w:tcW w:w="1244" w:type="dxa"/>
                  <w:vMerge w:val="continue"/>
                  <w:tcBorders>
                    <w:tl2br w:val="nil"/>
                    <w:tr2bl w:val="nil"/>
                  </w:tcBorders>
                  <w:noWrap w:val="0"/>
                  <w:vAlign w:val="center"/>
                </w:tcPr>
                <w:p w14:paraId="71CD0D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12" w:type="dxa"/>
                  <w:tcBorders>
                    <w:tl2br w:val="nil"/>
                    <w:tr2bl w:val="nil"/>
                  </w:tcBorders>
                  <w:noWrap w:val="0"/>
                  <w:vAlign w:val="center"/>
                </w:tcPr>
                <w:p w14:paraId="0D6C54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1.20~1.91</w:t>
                  </w:r>
                </w:p>
              </w:tc>
              <w:tc>
                <w:tcPr>
                  <w:tcW w:w="882" w:type="dxa"/>
                  <w:vMerge w:val="continue"/>
                  <w:tcBorders>
                    <w:tl2br w:val="nil"/>
                    <w:tr2bl w:val="nil"/>
                  </w:tcBorders>
                  <w:noWrap w:val="0"/>
                  <w:vAlign w:val="center"/>
                </w:tcPr>
                <w:p w14:paraId="049427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865" w:type="dxa"/>
                  <w:tcBorders>
                    <w:tl2br w:val="nil"/>
                    <w:tr2bl w:val="nil"/>
                  </w:tcBorders>
                  <w:noWrap w:val="0"/>
                  <w:vAlign w:val="center"/>
                </w:tcPr>
                <w:p w14:paraId="0C050F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达标</w:t>
                  </w:r>
                </w:p>
              </w:tc>
            </w:tr>
            <w:tr w14:paraId="3BA4004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03" w:type="dxa"/>
                  <w:tcBorders>
                    <w:tl2br w:val="nil"/>
                    <w:tr2bl w:val="nil"/>
                  </w:tcBorders>
                  <w:noWrap w:val="0"/>
                  <w:vAlign w:val="center"/>
                </w:tcPr>
                <w:p w14:paraId="3A603F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欧窑</w:t>
                  </w:r>
                </w:p>
              </w:tc>
              <w:tc>
                <w:tcPr>
                  <w:tcW w:w="689" w:type="dxa"/>
                  <w:tcBorders>
                    <w:tl2br w:val="nil"/>
                    <w:tr2bl w:val="nil"/>
                  </w:tcBorders>
                  <w:noWrap w:val="0"/>
                  <w:vAlign w:val="center"/>
                </w:tcPr>
                <w:p w14:paraId="48DD4D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Q3</w:t>
                  </w:r>
                </w:p>
              </w:tc>
              <w:tc>
                <w:tcPr>
                  <w:tcW w:w="789" w:type="dxa"/>
                  <w:tcBorders>
                    <w:tl2br w:val="nil"/>
                    <w:tr2bl w:val="nil"/>
                  </w:tcBorders>
                  <w:noWrap w:val="0"/>
                  <w:vAlign w:val="center"/>
                </w:tcPr>
                <w:p w14:paraId="46C0D0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w:t>
                  </w:r>
                </w:p>
              </w:tc>
              <w:tc>
                <w:tcPr>
                  <w:tcW w:w="790" w:type="dxa"/>
                  <w:tcBorders>
                    <w:tl2br w:val="nil"/>
                    <w:tr2bl w:val="nil"/>
                  </w:tcBorders>
                  <w:noWrap w:val="0"/>
                  <w:vAlign w:val="center"/>
                </w:tcPr>
                <w:p w14:paraId="2346DA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830</w:t>
                  </w:r>
                </w:p>
              </w:tc>
              <w:tc>
                <w:tcPr>
                  <w:tcW w:w="1244" w:type="dxa"/>
                  <w:vMerge w:val="continue"/>
                  <w:tcBorders>
                    <w:tl2br w:val="nil"/>
                    <w:tr2bl w:val="nil"/>
                  </w:tcBorders>
                  <w:noWrap w:val="0"/>
                  <w:vAlign w:val="center"/>
                </w:tcPr>
                <w:p w14:paraId="15836C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12" w:type="dxa"/>
                  <w:tcBorders>
                    <w:tl2br w:val="nil"/>
                    <w:tr2bl w:val="nil"/>
                  </w:tcBorders>
                  <w:noWrap w:val="0"/>
                  <w:vAlign w:val="center"/>
                </w:tcPr>
                <w:p w14:paraId="6BAD62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0.64~1.81</w:t>
                  </w:r>
                </w:p>
              </w:tc>
              <w:tc>
                <w:tcPr>
                  <w:tcW w:w="882" w:type="dxa"/>
                  <w:vMerge w:val="continue"/>
                  <w:tcBorders>
                    <w:tl2br w:val="nil"/>
                    <w:tr2bl w:val="nil"/>
                  </w:tcBorders>
                  <w:noWrap w:val="0"/>
                  <w:vAlign w:val="center"/>
                </w:tcPr>
                <w:p w14:paraId="77986B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865" w:type="dxa"/>
                  <w:tcBorders>
                    <w:tl2br w:val="nil"/>
                    <w:tr2bl w:val="nil"/>
                  </w:tcBorders>
                  <w:noWrap w:val="0"/>
                  <w:vAlign w:val="center"/>
                </w:tcPr>
                <w:p w14:paraId="2B8308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达标</w:t>
                  </w:r>
                </w:p>
              </w:tc>
            </w:tr>
          </w:tbl>
          <w:p w14:paraId="0A4504F6">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根据上表监测结果，项目所在区域各监测点非甲烷总烃浓度能够满足《大气污染物综合排放标准详解》中参考值2.0mg/m³，评价区域内环境空气质量现状达标。</w:t>
            </w:r>
          </w:p>
          <w:p w14:paraId="67AC752A">
            <w:pPr>
              <w:pStyle w:val="50"/>
              <w:keepNext w:val="0"/>
              <w:keepLines w:val="0"/>
              <w:pageBreakBefore w:val="0"/>
              <w:widowControl w:val="0"/>
              <w:numPr>
                <w:ilvl w:val="0"/>
                <w:numId w:val="6"/>
              </w:numPr>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地表水环境质量状况</w:t>
            </w:r>
          </w:p>
          <w:p w14:paraId="1344D6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东至县生态环境分局发布的《202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lang w:val="en-US" w:eastAsia="zh-CN"/>
              </w:rPr>
              <w:t>年东至县环境质量状况公报》中的数据和结论如下：</w:t>
            </w:r>
          </w:p>
          <w:p w14:paraId="582388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54"/>
                <w:rFonts w:hint="default" w:ascii="Times New Roman" w:hAnsi="Times New Roman" w:eastAsia="仿宋_GB2312" w:cs="Times New Roman"/>
                <w:b w:val="0"/>
                <w:bCs w:val="0"/>
                <w:i w:val="0"/>
                <w:iCs w:val="0"/>
                <w:color w:val="auto"/>
                <w:sz w:val="24"/>
                <w:szCs w:val="24"/>
                <w:lang w:val="en-US" w:eastAsia="zh-CN"/>
              </w:rPr>
            </w:pPr>
            <w:r>
              <w:rPr>
                <w:rFonts w:hint="default" w:ascii="Times New Roman" w:hAnsi="Times New Roman" w:eastAsia="仿宋_GB2312" w:cs="Times New Roman"/>
                <w:color w:val="auto"/>
                <w:sz w:val="24"/>
                <w:szCs w:val="24"/>
                <w:lang w:val="en-US" w:eastAsia="zh-CN"/>
              </w:rPr>
              <w:t>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lang w:val="en-US" w:eastAsia="zh-CN"/>
              </w:rPr>
              <w:t>年黄湓河张溪断面、尧渡河东流断面、龙泉河跨省断面（鄱阳石门街）、升金湖中心点断面、尧渡河东至县上游断面和香隅河断面共6个国省控水质监测断面除升金湖中心点断面水质指标年均值未达标外，其他断面水质指标年均值均满足地表水Ⅲ类标准，优良率为83.3%。</w:t>
            </w:r>
          </w:p>
          <w:p w14:paraId="0E574D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根据区域的水环境功能区划，本项目受纳水体尧渡河满足《地表水环境质量标准》（GB 3838-2002）中的Ⅲ类标准，水质良好。</w:t>
            </w:r>
          </w:p>
          <w:p w14:paraId="6ED995B9">
            <w:pPr>
              <w:pStyle w:val="50"/>
              <w:keepNext w:val="0"/>
              <w:keepLines w:val="0"/>
              <w:pageBreakBefore w:val="0"/>
              <w:widowControl w:val="0"/>
              <w:numPr>
                <w:ilvl w:val="0"/>
                <w:numId w:val="6"/>
              </w:numPr>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声环境</w:t>
            </w:r>
          </w:p>
          <w:p w14:paraId="3D5FBF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Fonts w:hint="default" w:ascii="Times New Roman" w:hAnsi="Times New Roman" w:eastAsia="仿宋_GB2312" w:cs="Times New Roman"/>
                <w:color w:val="auto"/>
                <w:sz w:val="24"/>
                <w:szCs w:val="24"/>
                <w:lang w:val="en-US" w:eastAsia="zh-CN"/>
              </w:rPr>
              <w:t>东至县生态环境分局发布的《</w:t>
            </w:r>
            <w:r>
              <w:rPr>
                <w:rFonts w:hint="default" w:ascii="Times New Roman" w:hAnsi="Times New Roman" w:eastAsia="仿宋_GB2312" w:cs="Times New Roman"/>
                <w:color w:val="auto"/>
                <w:sz w:val="24"/>
                <w:szCs w:val="24"/>
                <w:highlight w:val="none"/>
                <w:lang w:val="en-US" w:eastAsia="zh-CN"/>
              </w:rPr>
              <w:t>202</w:t>
            </w:r>
            <w:r>
              <w:rPr>
                <w:rFonts w:hint="eastAsia" w:eastAsia="仿宋_GB2312" w:cs="Times New Roman"/>
                <w:color w:val="auto"/>
                <w:sz w:val="24"/>
                <w:szCs w:val="24"/>
                <w:highlight w:val="none"/>
                <w:lang w:val="en-US" w:eastAsia="zh-CN"/>
              </w:rPr>
              <w:t>5</w:t>
            </w:r>
            <w:r>
              <w:rPr>
                <w:rFonts w:hint="default" w:ascii="Times New Roman" w:hAnsi="Times New Roman" w:eastAsia="仿宋_GB2312" w:cs="Times New Roman"/>
                <w:color w:val="auto"/>
                <w:sz w:val="24"/>
                <w:szCs w:val="24"/>
                <w:lang w:val="en-US" w:eastAsia="zh-CN"/>
              </w:rPr>
              <w:t>年东至县环境质量状况公报》中的数据和结论如下：</w:t>
            </w:r>
            <w:r>
              <w:rPr>
                <w:rFonts w:hint="default" w:ascii="Times New Roman" w:hAnsi="Times New Roman" w:eastAsia="仿宋_GB2312" w:cs="Times New Roman"/>
                <w:color w:val="auto"/>
                <w:sz w:val="24"/>
                <w:szCs w:val="24"/>
              </w:rPr>
              <w:t>202</w:t>
            </w:r>
            <w:r>
              <w:rPr>
                <w:rFonts w:hint="eastAsia" w:eastAsia="仿宋_GB2312" w:cs="Times New Roman"/>
                <w:color w:val="auto"/>
                <w:sz w:val="24"/>
                <w:szCs w:val="24"/>
                <w:lang w:val="en-US" w:eastAsia="zh-CN"/>
              </w:rPr>
              <w:t>5</w:t>
            </w:r>
            <w:r>
              <w:rPr>
                <w:rStyle w:val="54"/>
                <w:rFonts w:hint="default" w:ascii="Times New Roman" w:hAnsi="Times New Roman" w:eastAsia="仿宋_GB2312" w:cs="Times New Roman"/>
                <w:b w:val="0"/>
                <w:bCs w:val="0"/>
                <w:i w:val="0"/>
                <w:iCs w:val="0"/>
                <w:color w:val="auto"/>
                <w:kern w:val="2"/>
                <w:sz w:val="24"/>
                <w:szCs w:val="24"/>
                <w:lang w:val="en-US" w:eastAsia="zh-CN" w:bidi="ar-SA"/>
              </w:rPr>
              <w:t>年城市道路交通噪声昼间平均等效声级63.8分贝，质量等级一级（好），城市功能区点位环境噪声昼、夜间达标率为100%。</w:t>
            </w:r>
          </w:p>
          <w:p w14:paraId="51E12D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default" w:ascii="Times New Roman" w:hAnsi="Times New Roman" w:eastAsia="仿宋_GB2312" w:cs="Times New Roman"/>
                <w:b w:val="0"/>
                <w:bCs w:val="0"/>
                <w:i w:val="0"/>
                <w:iCs w:val="0"/>
                <w:color w:val="auto"/>
                <w:kern w:val="2"/>
                <w:sz w:val="24"/>
                <w:szCs w:val="24"/>
                <w:lang w:val="en-US" w:eastAsia="zh-CN" w:bidi="ar-SA"/>
              </w:rPr>
              <w:t>《东至县2025年第四季度声环境功能区监测情况》发布内容为：2025年第四季度，我县城区声环境功能区昼、夜平均等效声级分别为47.9dB（A）、42.0dB（A），符合2类声环境功能区标准。</w:t>
            </w:r>
          </w:p>
          <w:p w14:paraId="789D7F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default" w:ascii="Times New Roman" w:hAnsi="Times New Roman" w:eastAsia="仿宋_GB2312" w:cs="Times New Roman"/>
                <w:b w:val="0"/>
                <w:bCs w:val="0"/>
                <w:i w:val="0"/>
                <w:iCs w:val="0"/>
                <w:color w:val="auto"/>
                <w:kern w:val="2"/>
                <w:sz w:val="24"/>
                <w:szCs w:val="24"/>
                <w:lang w:val="en-US" w:eastAsia="zh-CN" w:bidi="ar-SA"/>
              </w:rPr>
              <w:t>本项目厂界周边50m范围内无声环境敏感目标，根据《建设项目环境影响报告表编制技术指南（污染影响类）（试行）》相关内容，不开展声环境现状监测。</w:t>
            </w:r>
          </w:p>
          <w:p w14:paraId="2DA353C5">
            <w:pPr>
              <w:pStyle w:val="50"/>
              <w:keepNext w:val="0"/>
              <w:keepLines w:val="0"/>
              <w:pageBreakBefore w:val="0"/>
              <w:widowControl w:val="0"/>
              <w:numPr>
                <w:ilvl w:val="0"/>
                <w:numId w:val="6"/>
              </w:numPr>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生态环境质量</w:t>
            </w:r>
          </w:p>
          <w:p w14:paraId="5C301175">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default" w:ascii="Times New Roman" w:hAnsi="Times New Roman" w:eastAsia="仿宋_GB2312" w:cs="Times New Roman"/>
                <w:b w:val="0"/>
                <w:bCs w:val="0"/>
                <w:i w:val="0"/>
                <w:iCs w:val="0"/>
                <w:color w:val="auto"/>
                <w:kern w:val="2"/>
                <w:sz w:val="24"/>
                <w:szCs w:val="24"/>
                <w:lang w:val="en-US" w:eastAsia="zh-CN" w:bidi="ar-SA"/>
              </w:rPr>
              <w:t>项目用地范围内不涉及生态环境保护目标，故无需进行生态现状调查。</w:t>
            </w:r>
          </w:p>
          <w:p w14:paraId="105AA1CA">
            <w:pPr>
              <w:pStyle w:val="50"/>
              <w:keepNext w:val="0"/>
              <w:keepLines w:val="0"/>
              <w:pageBreakBefore w:val="0"/>
              <w:widowControl w:val="0"/>
              <w:numPr>
                <w:ilvl w:val="0"/>
                <w:numId w:val="6"/>
              </w:numPr>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地下水、土壤环境质量</w:t>
            </w:r>
          </w:p>
          <w:p w14:paraId="4EF0FDDC">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eastAsia" w:eastAsia="仿宋_GB2312" w:cs="Times New Roman"/>
                <w:b w:val="0"/>
                <w:bCs w:val="0"/>
                <w:i w:val="0"/>
                <w:iCs w:val="0"/>
                <w:color w:val="auto"/>
                <w:kern w:val="2"/>
                <w:sz w:val="24"/>
                <w:szCs w:val="24"/>
                <w:lang w:val="en-US" w:eastAsia="zh-CN" w:bidi="ar-SA"/>
              </w:rPr>
              <w:t>近</w:t>
            </w:r>
            <w:r>
              <w:rPr>
                <w:rStyle w:val="54"/>
                <w:rFonts w:hint="default" w:ascii="Times New Roman" w:hAnsi="Times New Roman" w:eastAsia="仿宋_GB2312" w:cs="Times New Roman"/>
                <w:b w:val="0"/>
                <w:bCs w:val="0"/>
                <w:i w:val="0"/>
                <w:iCs w:val="0"/>
                <w:color w:val="auto"/>
                <w:kern w:val="2"/>
                <w:sz w:val="24"/>
                <w:szCs w:val="24"/>
                <w:lang w:val="en-US" w:eastAsia="zh-CN" w:bidi="ar-SA"/>
              </w:rPr>
              <w:t>年东至县城区内土壤环境质量状况总体保持安全稳定，未发生土壤环境污染事件。本项目生产过程中废水达标排放，重点区域做好防腐防渗处理，强化环境管理责任，降低土壤和地下水污染风险，一般不会对土壤和地下水产生影响。根据《建设项目环境影响报告表编制技术指南（污染影响类）（试行）》相关内容“原则上不开展环境质量现状调查”，故本项目不开展地</w:t>
            </w:r>
            <w:r>
              <w:rPr>
                <w:rFonts w:hint="default" w:ascii="Times New Roman" w:hAnsi="Times New Roman" w:eastAsia="仿宋_GB2312" w:cs="Times New Roman"/>
                <w:color w:val="auto"/>
                <w:sz w:val="24"/>
                <w:szCs w:val="24"/>
                <w:lang w:eastAsia="zh-CN"/>
              </w:rPr>
              <w:t>下水、土壤环境质量现状调查。</w:t>
            </w:r>
          </w:p>
          <w:p w14:paraId="668F8B72">
            <w:pPr>
              <w:pStyle w:val="50"/>
              <w:keepNext w:val="0"/>
              <w:keepLines w:val="0"/>
              <w:pageBreakBefore w:val="0"/>
              <w:widowControl w:val="0"/>
              <w:numPr>
                <w:ilvl w:val="0"/>
                <w:numId w:val="6"/>
              </w:numPr>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snapToGrid w:val="0"/>
                <w:color w:val="auto"/>
                <w:sz w:val="24"/>
                <w:szCs w:val="24"/>
                <w:lang w:val="en-US" w:eastAsia="zh-CN"/>
              </w:rPr>
            </w:pPr>
            <w:r>
              <w:rPr>
                <w:rFonts w:hint="default" w:ascii="Times New Roman" w:hAnsi="Times New Roman" w:eastAsia="仿宋_GB2312" w:cs="Times New Roman"/>
                <w:snapToGrid w:val="0"/>
                <w:color w:val="auto"/>
                <w:sz w:val="24"/>
                <w:szCs w:val="24"/>
                <w:lang w:val="en-US" w:eastAsia="zh-CN"/>
              </w:rPr>
              <w:t>电磁辐射</w:t>
            </w:r>
          </w:p>
          <w:p w14:paraId="78E0D41C">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default" w:ascii="Times New Roman" w:hAnsi="Times New Roman" w:eastAsia="仿宋_GB2312" w:cs="Times New Roman"/>
                <w:b w:val="0"/>
                <w:bCs w:val="0"/>
                <w:i w:val="0"/>
                <w:iCs w:val="0"/>
                <w:color w:val="auto"/>
                <w:kern w:val="2"/>
                <w:sz w:val="24"/>
                <w:szCs w:val="24"/>
                <w:lang w:val="en-US" w:eastAsia="zh-CN" w:bidi="ar-SA"/>
              </w:rPr>
              <w:t>本项目不涉及电磁辐射类项目。</w:t>
            </w:r>
          </w:p>
          <w:p w14:paraId="05DEA272">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p>
          <w:p w14:paraId="1FB1CAA1">
            <w:pPr>
              <w:adjustRightInd w:val="0"/>
              <w:snapToGrid w:val="0"/>
              <w:jc w:val="left"/>
              <w:rPr>
                <w:rFonts w:hint="default" w:ascii="Times New Roman" w:hAnsi="Times New Roman" w:eastAsia="仿宋_GB2312" w:cs="Times New Roman"/>
                <w:color w:val="auto"/>
                <w:kern w:val="0"/>
                <w:sz w:val="24"/>
                <w:szCs w:val="24"/>
              </w:rPr>
            </w:pPr>
          </w:p>
        </w:tc>
      </w:tr>
      <w:tr w14:paraId="4E8FCF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69" w:hRule="atLeast"/>
          <w:jc w:val="center"/>
        </w:trPr>
        <w:tc>
          <w:tcPr>
            <w:tcW w:w="800" w:type="dxa"/>
            <w:noWrap w:val="0"/>
            <w:vAlign w:val="center"/>
          </w:tcPr>
          <w:p w14:paraId="02EF2403">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环境</w:t>
            </w:r>
          </w:p>
          <w:p w14:paraId="1B2AAA5F">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保护</w:t>
            </w:r>
          </w:p>
          <w:p w14:paraId="52974160">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目标</w:t>
            </w:r>
          </w:p>
        </w:tc>
        <w:tc>
          <w:tcPr>
            <w:tcW w:w="8190" w:type="dxa"/>
            <w:noWrap w:val="0"/>
            <w:vAlign w:val="center"/>
          </w:tcPr>
          <w:p w14:paraId="1FD65733">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default" w:ascii="Times New Roman" w:hAnsi="Times New Roman" w:eastAsia="仿宋_GB2312" w:cs="Times New Roman"/>
                <w:b w:val="0"/>
                <w:bCs w:val="0"/>
                <w:i w:val="0"/>
                <w:iCs w:val="0"/>
                <w:color w:val="auto"/>
                <w:kern w:val="2"/>
                <w:sz w:val="24"/>
                <w:szCs w:val="24"/>
                <w:lang w:val="en-US" w:eastAsia="zh-CN" w:bidi="ar-SA"/>
              </w:rPr>
              <w:t>本项目位于安徽省东至县尧渡镇毛田村G206国道东侧，评价范围内无自然保护区、风景旅游点和文物古迹等需要特殊保护的环境敏感对象，其他需要保护的环境保护目标总体上不因本项目的实施而改变区域环境现有功能。</w:t>
            </w:r>
          </w:p>
          <w:p w14:paraId="2C6DCE1D">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highlight w:val="none"/>
                <w:lang w:eastAsia="zh-CN"/>
              </w:rPr>
            </w:pPr>
            <w:r>
              <w:rPr>
                <w:rStyle w:val="54"/>
                <w:rFonts w:hint="default" w:ascii="Times New Roman" w:hAnsi="Times New Roman" w:eastAsia="仿宋_GB2312" w:cs="Times New Roman"/>
                <w:b w:val="0"/>
                <w:bCs w:val="0"/>
                <w:i w:val="0"/>
                <w:iCs w:val="0"/>
                <w:color w:val="auto"/>
                <w:kern w:val="2"/>
                <w:sz w:val="24"/>
                <w:szCs w:val="24"/>
                <w:lang w:val="en-US" w:eastAsia="zh-CN" w:bidi="ar-SA"/>
              </w:rPr>
              <w:t>项目具体环境保护目标见下表3-</w:t>
            </w:r>
            <w:r>
              <w:rPr>
                <w:rStyle w:val="54"/>
                <w:rFonts w:hint="default" w:ascii="Times New Roman" w:hAnsi="Times New Roman" w:eastAsia="仿宋_GB2312" w:cs="Times New Roman"/>
                <w:b w:val="0"/>
                <w:bCs w:val="0"/>
                <w:i w:val="0"/>
                <w:iCs w:val="0"/>
                <w:color w:val="auto"/>
                <w:kern w:val="2"/>
                <w:sz w:val="24"/>
                <w:szCs w:val="24"/>
                <w:highlight w:val="none"/>
                <w:lang w:val="en-US" w:eastAsia="zh-CN" w:bidi="ar-SA"/>
              </w:rPr>
              <w:t>3，敏感目标分布图见附图3</w:t>
            </w:r>
            <w:r>
              <w:rPr>
                <w:rStyle w:val="54"/>
                <w:rFonts w:hint="default" w:ascii="Times New Roman" w:hAnsi="Times New Roman" w:eastAsia="仿宋_GB2312" w:cs="Times New Roman"/>
                <w:b w:val="0"/>
                <w:bCs w:val="0"/>
                <w:i w:val="0"/>
                <w:iCs w:val="0"/>
                <w:color w:val="auto"/>
                <w:kern w:val="2"/>
                <w:sz w:val="24"/>
                <w:szCs w:val="24"/>
                <w:lang w:val="en-US" w:eastAsia="zh-CN" w:bidi="ar-SA"/>
              </w:rPr>
              <w:t>。</w:t>
            </w:r>
          </w:p>
          <w:p w14:paraId="28439DAA">
            <w:pPr>
              <w:pStyle w:val="57"/>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表3-</w:t>
            </w:r>
            <w:r>
              <w:rPr>
                <w:rFonts w:hint="default" w:ascii="Times New Roman" w:hAnsi="Times New Roman" w:eastAsia="仿宋_GB2312" w:cs="Times New Roman"/>
                <w:color w:val="auto"/>
                <w:sz w:val="24"/>
                <w:szCs w:val="24"/>
                <w:highlight w:val="none"/>
                <w:lang w:val="en-US" w:eastAsia="zh-CN"/>
              </w:rPr>
              <w:t>3</w:t>
            </w:r>
            <w:r>
              <w:rPr>
                <w:rFonts w:hint="default" w:ascii="Times New Roman" w:hAnsi="Times New Roman" w:eastAsia="仿宋_GB2312" w:cs="Times New Roman"/>
                <w:color w:val="auto"/>
                <w:sz w:val="24"/>
                <w:szCs w:val="24"/>
                <w:highlight w:val="none"/>
              </w:rPr>
              <w:t xml:space="preserve"> 项目主要环境保护目标表</w:t>
            </w:r>
          </w:p>
          <w:tbl>
            <w:tblPr>
              <w:tblStyle w:val="19"/>
              <w:tblW w:w="4996"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28" w:type="dxa"/>
                <w:bottom w:w="0" w:type="dxa"/>
                <w:right w:w="28" w:type="dxa"/>
              </w:tblCellMar>
            </w:tblPr>
            <w:tblGrid>
              <w:gridCol w:w="626"/>
              <w:gridCol w:w="825"/>
              <w:gridCol w:w="1316"/>
              <w:gridCol w:w="1204"/>
              <w:gridCol w:w="724"/>
              <w:gridCol w:w="623"/>
              <w:gridCol w:w="520"/>
              <w:gridCol w:w="796"/>
              <w:gridCol w:w="1335"/>
            </w:tblGrid>
            <w:tr w14:paraId="037F7ED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92" w:type="pct"/>
                  <w:vMerge w:val="restart"/>
                  <w:tcBorders>
                    <w:tl2br w:val="nil"/>
                    <w:tr2bl w:val="nil"/>
                  </w:tcBorders>
                  <w:noWrap w:val="0"/>
                  <w:vAlign w:val="center"/>
                </w:tcPr>
                <w:p w14:paraId="018E2F49">
                  <w:pPr>
                    <w:pStyle w:val="9"/>
                    <w:jc w:val="center"/>
                    <w:rPr>
                      <w:rFonts w:hint="default" w:ascii="Times New Roman" w:hAnsi="Times New Roman" w:eastAsia="仿宋_GB2312" w:cs="Times New Roman"/>
                      <w:b/>
                      <w:bCs/>
                      <w:color w:val="auto"/>
                      <w:sz w:val="21"/>
                      <w:szCs w:val="21"/>
                      <w:highlight w:val="none"/>
                      <w:lang w:val="en-US" w:eastAsia="zh-CN"/>
                    </w:rPr>
                  </w:pPr>
                  <w:r>
                    <w:rPr>
                      <w:rFonts w:hint="default" w:ascii="Times New Roman" w:hAnsi="Times New Roman" w:eastAsia="仿宋_GB2312" w:cs="Times New Roman"/>
                      <w:b/>
                      <w:bCs/>
                      <w:color w:val="auto"/>
                      <w:sz w:val="21"/>
                      <w:szCs w:val="21"/>
                      <w:highlight w:val="none"/>
                      <w:lang w:val="en-US" w:eastAsia="zh-CN"/>
                    </w:rPr>
                    <w:t>环境要素</w:t>
                  </w:r>
                </w:p>
              </w:tc>
              <w:tc>
                <w:tcPr>
                  <w:tcW w:w="517" w:type="pct"/>
                  <w:vMerge w:val="restart"/>
                  <w:tcBorders>
                    <w:tl2br w:val="nil"/>
                    <w:tr2bl w:val="nil"/>
                  </w:tcBorders>
                  <w:noWrap w:val="0"/>
                  <w:vAlign w:val="center"/>
                </w:tcPr>
                <w:p w14:paraId="5D1A5B7A">
                  <w:pPr>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名称</w:t>
                  </w:r>
                </w:p>
              </w:tc>
              <w:tc>
                <w:tcPr>
                  <w:tcW w:w="1581" w:type="pct"/>
                  <w:gridSpan w:val="2"/>
                  <w:tcBorders>
                    <w:tl2br w:val="nil"/>
                    <w:tr2bl w:val="nil"/>
                  </w:tcBorders>
                  <w:noWrap w:val="0"/>
                  <w:vAlign w:val="center"/>
                </w:tcPr>
                <w:p w14:paraId="024E569A">
                  <w:pPr>
                    <w:jc w:val="center"/>
                    <w:rPr>
                      <w:rFonts w:hint="default" w:ascii="Times New Roman" w:hAnsi="Times New Roman" w:eastAsia="仿宋_GB2312" w:cs="Times New Roman"/>
                      <w:b/>
                      <w:bCs/>
                      <w:color w:val="auto"/>
                      <w:sz w:val="21"/>
                      <w:szCs w:val="21"/>
                      <w:highlight w:val="none"/>
                      <w:lang w:eastAsia="zh-CN"/>
                    </w:rPr>
                  </w:pPr>
                  <w:r>
                    <w:rPr>
                      <w:rFonts w:hint="default" w:ascii="Times New Roman" w:hAnsi="Times New Roman" w:eastAsia="仿宋_GB2312" w:cs="Times New Roman"/>
                      <w:b/>
                      <w:bCs/>
                      <w:color w:val="auto"/>
                      <w:sz w:val="21"/>
                      <w:szCs w:val="21"/>
                      <w:highlight w:val="none"/>
                    </w:rPr>
                    <w:t>坐标</w:t>
                  </w:r>
                  <w:r>
                    <w:rPr>
                      <w:rFonts w:hint="default" w:ascii="Times New Roman" w:hAnsi="Times New Roman" w:eastAsia="仿宋_GB2312" w:cs="Times New Roman"/>
                      <w:b/>
                      <w:bCs/>
                      <w:color w:val="auto"/>
                      <w:sz w:val="21"/>
                      <w:szCs w:val="21"/>
                      <w:highlight w:val="none"/>
                      <w:lang w:eastAsia="zh-CN"/>
                    </w:rPr>
                    <w:t>（</w:t>
                  </w:r>
                  <w:r>
                    <w:rPr>
                      <w:rFonts w:hint="default" w:ascii="Times New Roman" w:hAnsi="Times New Roman" w:eastAsia="仿宋_GB2312" w:cs="Times New Roman"/>
                      <w:b/>
                      <w:bCs/>
                      <w:color w:val="auto"/>
                      <w:sz w:val="21"/>
                      <w:szCs w:val="21"/>
                      <w:highlight w:val="none"/>
                      <w:lang w:val="en-US" w:eastAsia="zh-CN"/>
                    </w:rPr>
                    <w:t>m</w:t>
                  </w:r>
                  <w:r>
                    <w:rPr>
                      <w:rFonts w:hint="default" w:ascii="Times New Roman" w:hAnsi="Times New Roman" w:eastAsia="仿宋_GB2312" w:cs="Times New Roman"/>
                      <w:b/>
                      <w:bCs/>
                      <w:color w:val="auto"/>
                      <w:sz w:val="21"/>
                      <w:szCs w:val="21"/>
                      <w:highlight w:val="none"/>
                      <w:lang w:eastAsia="zh-CN"/>
                    </w:rPr>
                    <w:t>）</w:t>
                  </w:r>
                </w:p>
              </w:tc>
              <w:tc>
                <w:tcPr>
                  <w:tcW w:w="454" w:type="pct"/>
                  <w:vMerge w:val="restart"/>
                  <w:tcBorders>
                    <w:tl2br w:val="nil"/>
                    <w:tr2bl w:val="nil"/>
                  </w:tcBorders>
                  <w:noWrap w:val="0"/>
                  <w:vAlign w:val="center"/>
                </w:tcPr>
                <w:p w14:paraId="273C1C99">
                  <w:pPr>
                    <w:widowControl/>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kern w:val="0"/>
                      <w:sz w:val="21"/>
                      <w:szCs w:val="21"/>
                      <w:highlight w:val="none"/>
                      <w:lang w:bidi="ar"/>
                    </w:rPr>
                    <w:t>保护</w:t>
                  </w:r>
                </w:p>
                <w:p w14:paraId="2B3B1939">
                  <w:pPr>
                    <w:widowControl/>
                    <w:jc w:val="center"/>
                    <w:rPr>
                      <w:rFonts w:hint="default" w:ascii="Times New Roman" w:hAnsi="Times New Roman" w:eastAsia="仿宋_GB2312" w:cs="Times New Roman"/>
                      <w:b/>
                      <w:bCs/>
                      <w:color w:val="auto"/>
                      <w:sz w:val="21"/>
                      <w:szCs w:val="21"/>
                      <w:highlight w:val="none"/>
                      <w:lang w:eastAsia="zh-CN"/>
                    </w:rPr>
                  </w:pPr>
                  <w:r>
                    <w:rPr>
                      <w:rFonts w:hint="default" w:ascii="Times New Roman" w:hAnsi="Times New Roman" w:eastAsia="仿宋_GB2312" w:cs="Times New Roman"/>
                      <w:b/>
                      <w:bCs/>
                      <w:color w:val="auto"/>
                      <w:sz w:val="21"/>
                      <w:szCs w:val="21"/>
                      <w:highlight w:val="none"/>
                      <w:lang w:eastAsia="zh-CN"/>
                    </w:rPr>
                    <w:t>对象</w:t>
                  </w:r>
                </w:p>
              </w:tc>
              <w:tc>
                <w:tcPr>
                  <w:tcW w:w="390" w:type="pct"/>
                  <w:vMerge w:val="restart"/>
                  <w:tcBorders>
                    <w:tl2br w:val="nil"/>
                    <w:tr2bl w:val="nil"/>
                  </w:tcBorders>
                  <w:noWrap w:val="0"/>
                  <w:vAlign w:val="center"/>
                </w:tcPr>
                <w:p w14:paraId="46E5944D">
                  <w:pPr>
                    <w:widowControl/>
                    <w:jc w:val="center"/>
                    <w:rPr>
                      <w:rFonts w:hint="eastAsia" w:eastAsia="仿宋_GB2312"/>
                      <w:color w:val="auto"/>
                      <w:lang w:val="en-US" w:eastAsia="zh-CN"/>
                    </w:rPr>
                  </w:pPr>
                  <w:r>
                    <w:rPr>
                      <w:rFonts w:hint="default" w:ascii="Times New Roman" w:hAnsi="Times New Roman" w:eastAsia="仿宋_GB2312" w:cs="Times New Roman"/>
                      <w:b/>
                      <w:bCs/>
                      <w:color w:val="auto"/>
                      <w:kern w:val="0"/>
                      <w:sz w:val="21"/>
                      <w:szCs w:val="21"/>
                      <w:highlight w:val="none"/>
                      <w:lang w:bidi="ar"/>
                    </w:rPr>
                    <w:t>规模</w:t>
                  </w:r>
                  <w:r>
                    <w:rPr>
                      <w:rFonts w:hint="eastAsia" w:eastAsia="仿宋_GB2312" w:cs="Times New Roman"/>
                      <w:b/>
                      <w:bCs/>
                      <w:color w:val="auto"/>
                      <w:kern w:val="0"/>
                      <w:sz w:val="21"/>
                      <w:szCs w:val="21"/>
                      <w:highlight w:val="none"/>
                      <w:lang w:eastAsia="zh-CN" w:bidi="ar"/>
                    </w:rPr>
                    <w:t>（人）</w:t>
                  </w:r>
                </w:p>
              </w:tc>
              <w:tc>
                <w:tcPr>
                  <w:tcW w:w="326" w:type="pct"/>
                  <w:vMerge w:val="restart"/>
                  <w:tcBorders>
                    <w:tl2br w:val="nil"/>
                    <w:tr2bl w:val="nil"/>
                  </w:tcBorders>
                  <w:noWrap w:val="0"/>
                  <w:vAlign w:val="center"/>
                </w:tcPr>
                <w:p w14:paraId="5A8C916B">
                  <w:pPr>
                    <w:widowControl/>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kern w:val="0"/>
                      <w:sz w:val="21"/>
                      <w:szCs w:val="21"/>
                      <w:highlight w:val="none"/>
                      <w:lang w:bidi="ar"/>
                    </w:rPr>
                    <w:t>方向</w:t>
                  </w:r>
                </w:p>
              </w:tc>
              <w:tc>
                <w:tcPr>
                  <w:tcW w:w="499" w:type="pct"/>
                  <w:vMerge w:val="restart"/>
                  <w:tcBorders>
                    <w:tl2br w:val="nil"/>
                    <w:tr2bl w:val="nil"/>
                  </w:tcBorders>
                  <w:noWrap w:val="0"/>
                  <w:vAlign w:val="center"/>
                </w:tcPr>
                <w:p w14:paraId="1891AFD0">
                  <w:pPr>
                    <w:widowControl/>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kern w:val="0"/>
                      <w:sz w:val="21"/>
                      <w:szCs w:val="21"/>
                      <w:highlight w:val="none"/>
                      <w:lang w:bidi="ar"/>
                    </w:rPr>
                    <w:t>相对厂界距离</w:t>
                  </w:r>
                </w:p>
              </w:tc>
              <w:tc>
                <w:tcPr>
                  <w:tcW w:w="837" w:type="pct"/>
                  <w:vMerge w:val="restart"/>
                  <w:tcBorders>
                    <w:tl2br w:val="nil"/>
                    <w:tr2bl w:val="nil"/>
                  </w:tcBorders>
                  <w:noWrap w:val="0"/>
                  <w:vAlign w:val="center"/>
                </w:tcPr>
                <w:p w14:paraId="191E8813">
                  <w:pPr>
                    <w:pStyle w:val="9"/>
                    <w:jc w:val="center"/>
                    <w:rPr>
                      <w:rFonts w:hint="default" w:ascii="Times New Roman" w:hAnsi="Times New Roman" w:eastAsia="仿宋_GB2312" w:cs="Times New Roman"/>
                      <w:b/>
                      <w:bCs/>
                      <w:color w:val="auto"/>
                      <w:sz w:val="21"/>
                      <w:szCs w:val="21"/>
                      <w:highlight w:val="none"/>
                      <w:lang w:val="en-US" w:eastAsia="zh-CN"/>
                    </w:rPr>
                  </w:pPr>
                  <w:r>
                    <w:rPr>
                      <w:rFonts w:hint="default" w:ascii="Times New Roman" w:hAnsi="Times New Roman" w:eastAsia="仿宋_GB2312" w:cs="Times New Roman"/>
                      <w:b/>
                      <w:bCs/>
                      <w:color w:val="auto"/>
                      <w:sz w:val="21"/>
                      <w:szCs w:val="21"/>
                      <w:highlight w:val="none"/>
                      <w:lang w:val="en-US" w:eastAsia="zh-CN"/>
                    </w:rPr>
                    <w:t>环境功能</w:t>
                  </w:r>
                </w:p>
              </w:tc>
            </w:tr>
            <w:tr w14:paraId="2336482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92" w:type="pct"/>
                  <w:vMerge w:val="continue"/>
                  <w:tcBorders>
                    <w:tl2br w:val="nil"/>
                    <w:tr2bl w:val="nil"/>
                  </w:tcBorders>
                  <w:noWrap w:val="0"/>
                  <w:vAlign w:val="center"/>
                </w:tcPr>
                <w:p w14:paraId="20EA925A">
                  <w:pPr>
                    <w:jc w:val="center"/>
                    <w:rPr>
                      <w:rFonts w:hint="default" w:ascii="Times New Roman" w:hAnsi="Times New Roman" w:eastAsia="仿宋_GB2312" w:cs="Times New Roman"/>
                      <w:color w:val="auto"/>
                      <w:sz w:val="21"/>
                      <w:szCs w:val="21"/>
                      <w:highlight w:val="none"/>
                    </w:rPr>
                  </w:pPr>
                </w:p>
              </w:tc>
              <w:tc>
                <w:tcPr>
                  <w:tcW w:w="517" w:type="pct"/>
                  <w:vMerge w:val="continue"/>
                  <w:tcBorders>
                    <w:tl2br w:val="nil"/>
                    <w:tr2bl w:val="nil"/>
                  </w:tcBorders>
                  <w:noWrap w:val="0"/>
                  <w:vAlign w:val="center"/>
                </w:tcPr>
                <w:p w14:paraId="02F9830B">
                  <w:pPr>
                    <w:jc w:val="center"/>
                    <w:rPr>
                      <w:rFonts w:hint="default" w:ascii="Times New Roman" w:hAnsi="Times New Roman" w:eastAsia="仿宋_GB2312" w:cs="Times New Roman"/>
                      <w:color w:val="auto"/>
                      <w:sz w:val="21"/>
                      <w:szCs w:val="21"/>
                      <w:highlight w:val="none"/>
                    </w:rPr>
                  </w:pPr>
                </w:p>
              </w:tc>
              <w:tc>
                <w:tcPr>
                  <w:tcW w:w="825" w:type="pct"/>
                  <w:tcBorders>
                    <w:tl2br w:val="nil"/>
                    <w:tr2bl w:val="nil"/>
                  </w:tcBorders>
                  <w:noWrap w:val="0"/>
                  <w:vAlign w:val="center"/>
                </w:tcPr>
                <w:p w14:paraId="01F2F921">
                  <w:pPr>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X</w:t>
                  </w:r>
                </w:p>
              </w:tc>
              <w:tc>
                <w:tcPr>
                  <w:tcW w:w="755" w:type="pct"/>
                  <w:tcBorders>
                    <w:tl2br w:val="nil"/>
                    <w:tr2bl w:val="nil"/>
                  </w:tcBorders>
                  <w:noWrap w:val="0"/>
                  <w:vAlign w:val="center"/>
                </w:tcPr>
                <w:p w14:paraId="6C53F9FB">
                  <w:pPr>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Y</w:t>
                  </w:r>
                </w:p>
              </w:tc>
              <w:tc>
                <w:tcPr>
                  <w:tcW w:w="454" w:type="pct"/>
                  <w:vMerge w:val="continue"/>
                  <w:tcBorders>
                    <w:tl2br w:val="nil"/>
                    <w:tr2bl w:val="nil"/>
                  </w:tcBorders>
                  <w:noWrap w:val="0"/>
                  <w:vAlign w:val="center"/>
                </w:tcPr>
                <w:p w14:paraId="7C456D64">
                  <w:pPr>
                    <w:jc w:val="center"/>
                    <w:rPr>
                      <w:rFonts w:hint="default" w:ascii="Times New Roman" w:hAnsi="Times New Roman" w:eastAsia="仿宋_GB2312" w:cs="Times New Roman"/>
                      <w:color w:val="auto"/>
                      <w:sz w:val="21"/>
                      <w:szCs w:val="21"/>
                      <w:highlight w:val="none"/>
                    </w:rPr>
                  </w:pPr>
                </w:p>
              </w:tc>
              <w:tc>
                <w:tcPr>
                  <w:tcW w:w="390" w:type="pct"/>
                  <w:vMerge w:val="continue"/>
                  <w:tcBorders>
                    <w:tl2br w:val="nil"/>
                    <w:tr2bl w:val="nil"/>
                  </w:tcBorders>
                  <w:noWrap w:val="0"/>
                  <w:vAlign w:val="center"/>
                </w:tcPr>
                <w:p w14:paraId="43E40CD9">
                  <w:pPr>
                    <w:jc w:val="center"/>
                    <w:rPr>
                      <w:rFonts w:hint="default" w:ascii="Times New Roman" w:hAnsi="Times New Roman" w:eastAsia="仿宋_GB2312" w:cs="Times New Roman"/>
                      <w:color w:val="auto"/>
                      <w:sz w:val="21"/>
                      <w:szCs w:val="21"/>
                      <w:highlight w:val="none"/>
                    </w:rPr>
                  </w:pPr>
                </w:p>
              </w:tc>
              <w:tc>
                <w:tcPr>
                  <w:tcW w:w="326" w:type="pct"/>
                  <w:vMerge w:val="continue"/>
                  <w:tcBorders>
                    <w:tl2br w:val="nil"/>
                    <w:tr2bl w:val="nil"/>
                  </w:tcBorders>
                  <w:noWrap w:val="0"/>
                  <w:vAlign w:val="center"/>
                </w:tcPr>
                <w:p w14:paraId="2EA0628A">
                  <w:pPr>
                    <w:jc w:val="center"/>
                    <w:rPr>
                      <w:rFonts w:hint="default" w:ascii="Times New Roman" w:hAnsi="Times New Roman" w:eastAsia="仿宋_GB2312" w:cs="Times New Roman"/>
                      <w:color w:val="auto"/>
                      <w:sz w:val="21"/>
                      <w:szCs w:val="21"/>
                      <w:highlight w:val="none"/>
                    </w:rPr>
                  </w:pPr>
                </w:p>
              </w:tc>
              <w:tc>
                <w:tcPr>
                  <w:tcW w:w="499" w:type="pct"/>
                  <w:vMerge w:val="continue"/>
                  <w:tcBorders>
                    <w:tl2br w:val="nil"/>
                    <w:tr2bl w:val="nil"/>
                  </w:tcBorders>
                  <w:noWrap w:val="0"/>
                  <w:vAlign w:val="center"/>
                </w:tcPr>
                <w:p w14:paraId="29AA79A5">
                  <w:pPr>
                    <w:jc w:val="center"/>
                    <w:rPr>
                      <w:rFonts w:hint="default" w:ascii="Times New Roman" w:hAnsi="Times New Roman" w:eastAsia="仿宋_GB2312" w:cs="Times New Roman"/>
                      <w:color w:val="auto"/>
                      <w:sz w:val="21"/>
                      <w:szCs w:val="21"/>
                      <w:highlight w:val="none"/>
                    </w:rPr>
                  </w:pPr>
                </w:p>
              </w:tc>
              <w:tc>
                <w:tcPr>
                  <w:tcW w:w="837" w:type="pct"/>
                  <w:vMerge w:val="continue"/>
                  <w:tcBorders>
                    <w:tl2br w:val="nil"/>
                    <w:tr2bl w:val="nil"/>
                  </w:tcBorders>
                  <w:noWrap w:val="0"/>
                  <w:vAlign w:val="center"/>
                </w:tcPr>
                <w:p w14:paraId="76995948">
                  <w:pPr>
                    <w:jc w:val="center"/>
                    <w:rPr>
                      <w:rFonts w:hint="default" w:ascii="Times New Roman" w:hAnsi="Times New Roman" w:eastAsia="仿宋_GB2312" w:cs="Times New Roman"/>
                      <w:color w:val="auto"/>
                      <w:sz w:val="21"/>
                      <w:szCs w:val="21"/>
                      <w:highlight w:val="none"/>
                    </w:rPr>
                  </w:pPr>
                </w:p>
              </w:tc>
            </w:tr>
            <w:tr w14:paraId="091CA12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55" w:hRule="atLeast"/>
                <w:jc w:val="center"/>
              </w:trPr>
              <w:tc>
                <w:tcPr>
                  <w:tcW w:w="392" w:type="pct"/>
                  <w:vMerge w:val="restart"/>
                  <w:tcBorders>
                    <w:tl2br w:val="nil"/>
                    <w:tr2bl w:val="nil"/>
                  </w:tcBorders>
                  <w:noWrap w:val="0"/>
                  <w:vAlign w:val="center"/>
                </w:tcPr>
                <w:p w14:paraId="5590056D">
                  <w:pPr>
                    <w:pStyle w:val="9"/>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大气环境</w:t>
                  </w:r>
                </w:p>
              </w:tc>
              <w:tc>
                <w:tcPr>
                  <w:tcW w:w="517" w:type="pct"/>
                  <w:tcBorders>
                    <w:tl2br w:val="nil"/>
                    <w:tr2bl w:val="nil"/>
                  </w:tcBorders>
                  <w:noWrap w:val="0"/>
                  <w:vAlign w:val="center"/>
                </w:tcPr>
                <w:p w14:paraId="243F96EB">
                  <w:pPr>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跳儿口</w:t>
                  </w:r>
                  <w:r>
                    <w:rPr>
                      <w:rFonts w:hint="eastAsia" w:eastAsia="仿宋_GB2312" w:cs="Times New Roman"/>
                      <w:color w:val="auto"/>
                      <w:sz w:val="21"/>
                      <w:szCs w:val="21"/>
                      <w:highlight w:val="none"/>
                      <w:lang w:val="en-US" w:eastAsia="zh-CN"/>
                    </w:rPr>
                    <w:t>1</w:t>
                  </w:r>
                </w:p>
              </w:tc>
              <w:tc>
                <w:tcPr>
                  <w:tcW w:w="825" w:type="pct"/>
                  <w:tcBorders>
                    <w:tl2br w:val="nil"/>
                    <w:tr2bl w:val="nil"/>
                  </w:tcBorders>
                  <w:noWrap w:val="0"/>
                  <w:vAlign w:val="center"/>
                </w:tcPr>
                <w:p w14:paraId="160517DC">
                  <w:pPr>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117°0′1.7</w:t>
                  </w:r>
                  <w:r>
                    <w:rPr>
                      <w:rFonts w:hint="eastAsia" w:ascii="Times New Roman" w:hAnsi="Times New Roman" w:eastAsia="仿宋_GB2312" w:cs="Times New Roman"/>
                      <w:color w:val="auto"/>
                      <w:sz w:val="21"/>
                      <w:szCs w:val="21"/>
                      <w:highlight w:val="none"/>
                      <w:lang w:val="en-US" w:eastAsia="zh-CN"/>
                    </w:rPr>
                    <w:t>01</w:t>
                  </w:r>
                  <w:r>
                    <w:rPr>
                      <w:rFonts w:hint="default" w:ascii="Times New Roman" w:hAnsi="Times New Roman" w:eastAsia="仿宋_GB2312" w:cs="Times New Roman"/>
                      <w:color w:val="auto"/>
                      <w:sz w:val="21"/>
                      <w:szCs w:val="21"/>
                      <w:highlight w:val="none"/>
                      <w:lang w:val="en-US" w:eastAsia="zh-CN"/>
                    </w:rPr>
                    <w:t>″</w:t>
                  </w:r>
                </w:p>
              </w:tc>
              <w:tc>
                <w:tcPr>
                  <w:tcW w:w="755" w:type="pct"/>
                  <w:tcBorders>
                    <w:tl2br w:val="nil"/>
                    <w:tr2bl w:val="nil"/>
                  </w:tcBorders>
                  <w:noWrap w:val="0"/>
                  <w:vAlign w:val="center"/>
                </w:tcPr>
                <w:p w14:paraId="7DF29360">
                  <w:pPr>
                    <w:jc w:val="center"/>
                    <w:rPr>
                      <w:rFonts w:hint="default"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30</w:t>
                  </w:r>
                  <w:r>
                    <w:rPr>
                      <w:rFonts w:hint="default" w:ascii="Times New Roman" w:hAnsi="Times New Roman" w:eastAsia="仿宋_GB2312" w:cs="Times New Roman"/>
                      <w:color w:val="auto"/>
                      <w:sz w:val="21"/>
                      <w:szCs w:val="21"/>
                      <w:highlight w:val="none"/>
                      <w:lang w:val="en-US" w:eastAsia="zh-CN"/>
                    </w:rPr>
                    <w:t>°</w:t>
                  </w:r>
                  <w:r>
                    <w:rPr>
                      <w:rFonts w:hint="eastAsia" w:ascii="Times New Roman" w:hAnsi="Times New Roman" w:eastAsia="仿宋_GB2312" w:cs="Times New Roman"/>
                      <w:color w:val="auto"/>
                      <w:sz w:val="21"/>
                      <w:szCs w:val="21"/>
                      <w:highlight w:val="none"/>
                      <w:lang w:val="en-US" w:eastAsia="zh-CN"/>
                    </w:rPr>
                    <w:t>9</w:t>
                  </w:r>
                  <w:r>
                    <w:rPr>
                      <w:rFonts w:hint="default" w:ascii="Times New Roman" w:hAnsi="Times New Roman" w:eastAsia="仿宋_GB2312" w:cs="Times New Roman"/>
                      <w:color w:val="auto"/>
                      <w:sz w:val="21"/>
                      <w:szCs w:val="21"/>
                      <w:highlight w:val="none"/>
                      <w:lang w:val="en-US" w:eastAsia="zh-CN"/>
                    </w:rPr>
                    <w:t>′</w:t>
                  </w:r>
                  <w:r>
                    <w:rPr>
                      <w:rFonts w:hint="eastAsia" w:ascii="Times New Roman" w:hAnsi="Times New Roman" w:eastAsia="仿宋_GB2312" w:cs="Times New Roman"/>
                      <w:color w:val="auto"/>
                      <w:sz w:val="21"/>
                      <w:szCs w:val="21"/>
                      <w:highlight w:val="none"/>
                      <w:lang w:val="en-US" w:eastAsia="zh-CN"/>
                    </w:rPr>
                    <w:t>12.244</w:t>
                  </w:r>
                  <w:r>
                    <w:rPr>
                      <w:rFonts w:hint="default" w:ascii="Times New Roman" w:hAnsi="Times New Roman" w:eastAsia="仿宋_GB2312" w:cs="Times New Roman"/>
                      <w:color w:val="auto"/>
                      <w:sz w:val="21"/>
                      <w:szCs w:val="21"/>
                      <w:highlight w:val="none"/>
                      <w:lang w:val="en-US" w:eastAsia="zh-CN"/>
                    </w:rPr>
                    <w:t>″</w:t>
                  </w:r>
                </w:p>
              </w:tc>
              <w:tc>
                <w:tcPr>
                  <w:tcW w:w="454" w:type="pct"/>
                  <w:tcBorders>
                    <w:tl2br w:val="nil"/>
                    <w:tr2bl w:val="nil"/>
                  </w:tcBorders>
                  <w:noWrap w:val="0"/>
                  <w:vAlign w:val="center"/>
                </w:tcPr>
                <w:p w14:paraId="0E7B29D8">
                  <w:pPr>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居住区</w:t>
                  </w:r>
                </w:p>
              </w:tc>
              <w:tc>
                <w:tcPr>
                  <w:tcW w:w="390" w:type="pct"/>
                  <w:tcBorders>
                    <w:tl2br w:val="nil"/>
                    <w:tr2bl w:val="nil"/>
                  </w:tcBorders>
                  <w:noWrap w:val="0"/>
                  <w:vAlign w:val="center"/>
                </w:tcPr>
                <w:p w14:paraId="024A1FBF">
                  <w:pPr>
                    <w:jc w:val="center"/>
                    <w:rPr>
                      <w:rFonts w:hint="default" w:ascii="Times New Roman" w:hAnsi="Times New Roman" w:eastAsia="仿宋_GB2312" w:cs="Times New Roman"/>
                      <w:color w:val="auto"/>
                      <w:sz w:val="21"/>
                      <w:szCs w:val="21"/>
                      <w:highlight w:val="none"/>
                      <w:lang w:val="en-US" w:eastAsia="zh-CN"/>
                    </w:rPr>
                  </w:pPr>
                  <w:r>
                    <w:rPr>
                      <w:rFonts w:hint="eastAsia" w:eastAsia="仿宋_GB2312" w:cs="Times New Roman"/>
                      <w:color w:val="auto"/>
                      <w:sz w:val="21"/>
                      <w:szCs w:val="21"/>
                      <w:highlight w:val="none"/>
                      <w:lang w:val="en-US" w:eastAsia="zh-CN"/>
                    </w:rPr>
                    <w:t>2</w:t>
                  </w:r>
                  <w:r>
                    <w:rPr>
                      <w:rFonts w:hint="default" w:ascii="Times New Roman" w:hAnsi="Times New Roman" w:eastAsia="仿宋_GB2312" w:cs="Times New Roman"/>
                      <w:color w:val="auto"/>
                      <w:sz w:val="21"/>
                      <w:szCs w:val="21"/>
                      <w:highlight w:val="none"/>
                      <w:lang w:val="en-US" w:eastAsia="zh-CN"/>
                    </w:rPr>
                    <w:t>0</w:t>
                  </w:r>
                </w:p>
              </w:tc>
              <w:tc>
                <w:tcPr>
                  <w:tcW w:w="326" w:type="pct"/>
                  <w:tcBorders>
                    <w:tl2br w:val="nil"/>
                    <w:tr2bl w:val="nil"/>
                  </w:tcBorders>
                  <w:noWrap w:val="0"/>
                  <w:vAlign w:val="center"/>
                </w:tcPr>
                <w:p w14:paraId="5A278787">
                  <w:pPr>
                    <w:jc w:val="center"/>
                    <w:rPr>
                      <w:rFonts w:hint="default" w:ascii="Times New Roman" w:hAnsi="Times New Roman" w:eastAsia="仿宋_GB2312" w:cs="Times New Roman"/>
                      <w:color w:val="auto"/>
                      <w:sz w:val="21"/>
                      <w:szCs w:val="21"/>
                      <w:highlight w:val="none"/>
                      <w:lang w:val="en-US" w:eastAsia="zh-CN"/>
                    </w:rPr>
                  </w:pPr>
                  <w:r>
                    <w:rPr>
                      <w:rFonts w:hint="eastAsia" w:eastAsia="仿宋_GB2312" w:cs="Times New Roman"/>
                      <w:color w:val="auto"/>
                      <w:sz w:val="21"/>
                      <w:szCs w:val="21"/>
                      <w:highlight w:val="none"/>
                      <w:lang w:val="en-US" w:eastAsia="zh-CN"/>
                    </w:rPr>
                    <w:t>ES</w:t>
                  </w:r>
                </w:p>
              </w:tc>
              <w:tc>
                <w:tcPr>
                  <w:tcW w:w="499" w:type="pct"/>
                  <w:tcBorders>
                    <w:tl2br w:val="nil"/>
                    <w:tr2bl w:val="nil"/>
                  </w:tcBorders>
                  <w:noWrap w:val="0"/>
                  <w:vAlign w:val="center"/>
                </w:tcPr>
                <w:p w14:paraId="0BB3A020">
                  <w:pPr>
                    <w:jc w:val="center"/>
                    <w:rPr>
                      <w:rFonts w:hint="default" w:ascii="Times New Roman" w:hAnsi="Times New Roman" w:eastAsia="仿宋_GB2312" w:cs="Times New Roman"/>
                      <w:color w:val="auto"/>
                      <w:sz w:val="21"/>
                      <w:szCs w:val="21"/>
                      <w:highlight w:val="none"/>
                      <w:lang w:val="en-US" w:eastAsia="zh-CN"/>
                    </w:rPr>
                  </w:pPr>
                  <w:r>
                    <w:rPr>
                      <w:rFonts w:hint="eastAsia" w:eastAsia="仿宋_GB2312" w:cs="Times New Roman"/>
                      <w:color w:val="auto"/>
                      <w:sz w:val="21"/>
                      <w:szCs w:val="21"/>
                      <w:highlight w:val="none"/>
                      <w:lang w:val="en-US" w:eastAsia="zh-CN"/>
                    </w:rPr>
                    <w:t>140m</w:t>
                  </w:r>
                </w:p>
              </w:tc>
              <w:tc>
                <w:tcPr>
                  <w:tcW w:w="837" w:type="pct"/>
                  <w:vMerge w:val="restart"/>
                  <w:tcBorders>
                    <w:tl2br w:val="nil"/>
                    <w:tr2bl w:val="nil"/>
                  </w:tcBorders>
                  <w:noWrap w:val="0"/>
                  <w:vAlign w:val="center"/>
                </w:tcPr>
                <w:p w14:paraId="72F1AA57">
                  <w:pPr>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《环境空气质量标准》（GB 3095-20</w:t>
                  </w:r>
                  <w:r>
                    <w:rPr>
                      <w:rFonts w:hint="eastAsia" w:eastAsia="仿宋_GB2312" w:cs="Times New Roman"/>
                      <w:color w:val="auto"/>
                      <w:sz w:val="21"/>
                      <w:szCs w:val="21"/>
                      <w:highlight w:val="none"/>
                      <w:lang w:val="en-US" w:eastAsia="zh-CN"/>
                    </w:rPr>
                    <w:t>26</w:t>
                  </w:r>
                  <w:r>
                    <w:rPr>
                      <w:rFonts w:hint="default" w:ascii="Times New Roman" w:hAnsi="Times New Roman" w:eastAsia="仿宋_GB2312" w:cs="Times New Roman"/>
                      <w:color w:val="auto"/>
                      <w:sz w:val="21"/>
                      <w:szCs w:val="21"/>
                      <w:highlight w:val="none"/>
                      <w:lang w:val="en-US" w:eastAsia="zh-CN"/>
                    </w:rPr>
                    <w:t>）二级标准</w:t>
                  </w:r>
                </w:p>
              </w:tc>
            </w:tr>
            <w:tr w14:paraId="583C52C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655" w:hRule="atLeast"/>
                <w:jc w:val="center"/>
              </w:trPr>
              <w:tc>
                <w:tcPr>
                  <w:tcW w:w="392" w:type="pct"/>
                  <w:vMerge w:val="continue"/>
                  <w:tcBorders>
                    <w:tl2br w:val="nil"/>
                    <w:tr2bl w:val="nil"/>
                  </w:tcBorders>
                  <w:noWrap w:val="0"/>
                  <w:vAlign w:val="center"/>
                </w:tcPr>
                <w:p w14:paraId="1A83233B">
                  <w:pPr>
                    <w:pStyle w:val="9"/>
                    <w:jc w:val="center"/>
                    <w:rPr>
                      <w:rFonts w:hint="default" w:ascii="Times New Roman" w:hAnsi="Times New Roman" w:eastAsia="仿宋_GB2312" w:cs="Times New Roman"/>
                      <w:color w:val="auto"/>
                      <w:sz w:val="21"/>
                      <w:szCs w:val="21"/>
                      <w:highlight w:val="none"/>
                      <w:lang w:val="en-US" w:eastAsia="zh-CN"/>
                    </w:rPr>
                  </w:pPr>
                </w:p>
              </w:tc>
              <w:tc>
                <w:tcPr>
                  <w:tcW w:w="517" w:type="pct"/>
                  <w:tcBorders>
                    <w:tl2br w:val="nil"/>
                    <w:tr2bl w:val="nil"/>
                  </w:tcBorders>
                  <w:noWrap w:val="0"/>
                  <w:vAlign w:val="center"/>
                </w:tcPr>
                <w:p w14:paraId="35315BDA">
                  <w:pPr>
                    <w:jc w:val="center"/>
                    <w:rPr>
                      <w:rFonts w:hint="default" w:ascii="Times New Roman" w:hAnsi="Times New Roman" w:eastAsia="仿宋_GB2312" w:cs="Times New Roman"/>
                      <w:color w:val="auto"/>
                      <w:sz w:val="21"/>
                      <w:szCs w:val="21"/>
                      <w:highlight w:val="none"/>
                      <w:lang w:val="en-US" w:eastAsia="zh-CN"/>
                    </w:rPr>
                  </w:pPr>
                  <w:r>
                    <w:rPr>
                      <w:rFonts w:hint="eastAsia" w:eastAsia="仿宋_GB2312" w:cs="Times New Roman"/>
                      <w:color w:val="auto"/>
                      <w:sz w:val="21"/>
                      <w:szCs w:val="21"/>
                      <w:highlight w:val="none"/>
                      <w:lang w:val="en-US" w:eastAsia="zh-CN"/>
                    </w:rPr>
                    <w:t>跳儿口2</w:t>
                  </w:r>
                </w:p>
              </w:tc>
              <w:tc>
                <w:tcPr>
                  <w:tcW w:w="825" w:type="pct"/>
                  <w:tcBorders>
                    <w:tl2br w:val="nil"/>
                    <w:tr2bl w:val="nil"/>
                  </w:tcBorders>
                  <w:noWrap w:val="0"/>
                  <w:vAlign w:val="center"/>
                </w:tcPr>
                <w:p w14:paraId="72B93122">
                  <w:pPr>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117°0′</w:t>
                  </w:r>
                  <w:r>
                    <w:rPr>
                      <w:rFonts w:hint="eastAsia" w:ascii="Times New Roman" w:hAnsi="Times New Roman" w:eastAsia="仿宋_GB2312" w:cs="Times New Roman"/>
                      <w:color w:val="auto"/>
                      <w:sz w:val="21"/>
                      <w:szCs w:val="21"/>
                      <w:highlight w:val="none"/>
                      <w:lang w:val="en-US" w:eastAsia="zh-CN"/>
                    </w:rPr>
                    <w:t>16.474</w:t>
                  </w:r>
                  <w:r>
                    <w:rPr>
                      <w:rFonts w:hint="default" w:ascii="Times New Roman" w:hAnsi="Times New Roman" w:eastAsia="仿宋_GB2312" w:cs="Times New Roman"/>
                      <w:color w:val="auto"/>
                      <w:sz w:val="21"/>
                      <w:szCs w:val="21"/>
                      <w:highlight w:val="none"/>
                      <w:lang w:val="en-US" w:eastAsia="zh-CN"/>
                    </w:rPr>
                    <w:t>″</w:t>
                  </w:r>
                </w:p>
              </w:tc>
              <w:tc>
                <w:tcPr>
                  <w:tcW w:w="755" w:type="pct"/>
                  <w:tcBorders>
                    <w:tl2br w:val="nil"/>
                    <w:tr2bl w:val="nil"/>
                  </w:tcBorders>
                  <w:noWrap w:val="0"/>
                  <w:vAlign w:val="center"/>
                </w:tcPr>
                <w:p w14:paraId="3F7E4F18">
                  <w:pPr>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30°9′1</w:t>
                  </w:r>
                  <w:r>
                    <w:rPr>
                      <w:rFonts w:hint="eastAsia" w:ascii="Times New Roman" w:hAnsi="Times New Roman" w:eastAsia="仿宋_GB2312" w:cs="Times New Roman"/>
                      <w:color w:val="auto"/>
                      <w:sz w:val="21"/>
                      <w:szCs w:val="21"/>
                      <w:highlight w:val="none"/>
                      <w:lang w:val="en-US" w:eastAsia="zh-CN"/>
                    </w:rPr>
                    <w:t>9.235</w:t>
                  </w:r>
                  <w:r>
                    <w:rPr>
                      <w:rFonts w:hint="default" w:ascii="Times New Roman" w:hAnsi="Times New Roman" w:eastAsia="仿宋_GB2312" w:cs="Times New Roman"/>
                      <w:color w:val="auto"/>
                      <w:sz w:val="21"/>
                      <w:szCs w:val="21"/>
                      <w:highlight w:val="none"/>
                      <w:lang w:val="en-US" w:eastAsia="zh-CN"/>
                    </w:rPr>
                    <w:t>″</w:t>
                  </w:r>
                </w:p>
              </w:tc>
              <w:tc>
                <w:tcPr>
                  <w:tcW w:w="454" w:type="pct"/>
                  <w:tcBorders>
                    <w:tl2br w:val="nil"/>
                    <w:tr2bl w:val="nil"/>
                  </w:tcBorders>
                  <w:noWrap w:val="0"/>
                  <w:vAlign w:val="center"/>
                </w:tcPr>
                <w:p w14:paraId="68752910">
                  <w:pPr>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居住区</w:t>
                  </w:r>
                </w:p>
              </w:tc>
              <w:tc>
                <w:tcPr>
                  <w:tcW w:w="390" w:type="pct"/>
                  <w:tcBorders>
                    <w:tl2br w:val="nil"/>
                    <w:tr2bl w:val="nil"/>
                  </w:tcBorders>
                  <w:noWrap w:val="0"/>
                  <w:vAlign w:val="center"/>
                </w:tcPr>
                <w:p w14:paraId="7BED5947">
                  <w:pPr>
                    <w:jc w:val="center"/>
                    <w:rPr>
                      <w:rFonts w:hint="default" w:ascii="Times New Roman" w:hAnsi="Times New Roman" w:eastAsia="仿宋_GB2312" w:cs="Times New Roman"/>
                      <w:color w:val="auto"/>
                      <w:sz w:val="21"/>
                      <w:szCs w:val="21"/>
                      <w:highlight w:val="none"/>
                      <w:lang w:val="en-US" w:eastAsia="zh-CN"/>
                    </w:rPr>
                  </w:pPr>
                  <w:r>
                    <w:rPr>
                      <w:rFonts w:hint="eastAsia" w:eastAsia="仿宋_GB2312" w:cs="Times New Roman"/>
                      <w:color w:val="auto"/>
                      <w:sz w:val="21"/>
                      <w:szCs w:val="21"/>
                      <w:highlight w:val="none"/>
                      <w:lang w:val="en-US" w:eastAsia="zh-CN"/>
                    </w:rPr>
                    <w:t>20</w:t>
                  </w:r>
                </w:p>
              </w:tc>
              <w:tc>
                <w:tcPr>
                  <w:tcW w:w="326" w:type="pct"/>
                  <w:tcBorders>
                    <w:tl2br w:val="nil"/>
                    <w:tr2bl w:val="nil"/>
                  </w:tcBorders>
                  <w:noWrap w:val="0"/>
                  <w:vAlign w:val="center"/>
                </w:tcPr>
                <w:p w14:paraId="6ECE91C8">
                  <w:pPr>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E</w:t>
                  </w:r>
                </w:p>
              </w:tc>
              <w:tc>
                <w:tcPr>
                  <w:tcW w:w="499" w:type="pct"/>
                  <w:tcBorders>
                    <w:tl2br w:val="nil"/>
                    <w:tr2bl w:val="nil"/>
                  </w:tcBorders>
                  <w:noWrap w:val="0"/>
                  <w:vAlign w:val="center"/>
                </w:tcPr>
                <w:p w14:paraId="57D0D487">
                  <w:pPr>
                    <w:jc w:val="center"/>
                    <w:rPr>
                      <w:rFonts w:hint="default" w:ascii="Times New Roman" w:hAnsi="Times New Roman" w:eastAsia="仿宋_GB2312" w:cs="Times New Roman"/>
                      <w:color w:val="auto"/>
                      <w:sz w:val="21"/>
                      <w:szCs w:val="21"/>
                      <w:highlight w:val="none"/>
                      <w:lang w:val="en-US" w:eastAsia="zh-CN"/>
                    </w:rPr>
                  </w:pPr>
                  <w:r>
                    <w:rPr>
                      <w:rFonts w:hint="eastAsia" w:eastAsia="仿宋_GB2312" w:cs="Times New Roman"/>
                      <w:color w:val="auto"/>
                      <w:sz w:val="21"/>
                      <w:szCs w:val="21"/>
                      <w:highlight w:val="none"/>
                      <w:lang w:val="en-US" w:eastAsia="zh-CN"/>
                    </w:rPr>
                    <w:t>440m</w:t>
                  </w:r>
                </w:p>
              </w:tc>
              <w:tc>
                <w:tcPr>
                  <w:tcW w:w="837" w:type="pct"/>
                  <w:vMerge w:val="continue"/>
                  <w:tcBorders>
                    <w:tl2br w:val="nil"/>
                    <w:tr2bl w:val="nil"/>
                  </w:tcBorders>
                  <w:noWrap w:val="0"/>
                  <w:vAlign w:val="center"/>
                </w:tcPr>
                <w:p w14:paraId="06322C15">
                  <w:pPr>
                    <w:jc w:val="center"/>
                    <w:rPr>
                      <w:rFonts w:hint="default" w:ascii="Times New Roman" w:hAnsi="Times New Roman" w:eastAsia="仿宋_GB2312" w:cs="Times New Roman"/>
                      <w:color w:val="auto"/>
                      <w:sz w:val="21"/>
                      <w:szCs w:val="21"/>
                      <w:highlight w:val="none"/>
                      <w:lang w:val="en-US" w:eastAsia="zh-CN"/>
                    </w:rPr>
                  </w:pPr>
                </w:p>
              </w:tc>
            </w:tr>
            <w:tr w14:paraId="7DA80B5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44" w:hRule="exact"/>
                <w:jc w:val="center"/>
              </w:trPr>
              <w:tc>
                <w:tcPr>
                  <w:tcW w:w="392" w:type="pct"/>
                  <w:tcBorders>
                    <w:tl2br w:val="nil"/>
                    <w:tr2bl w:val="nil"/>
                  </w:tcBorders>
                  <w:noWrap w:val="0"/>
                  <w:vAlign w:val="center"/>
                </w:tcPr>
                <w:p w14:paraId="09D57CB8">
                  <w:pPr>
                    <w:pStyle w:val="9"/>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声环境</w:t>
                  </w:r>
                </w:p>
              </w:tc>
              <w:tc>
                <w:tcPr>
                  <w:tcW w:w="4607" w:type="pct"/>
                  <w:gridSpan w:val="8"/>
                  <w:tcBorders>
                    <w:tl2br w:val="nil"/>
                    <w:tr2bl w:val="nil"/>
                  </w:tcBorders>
                  <w:noWrap w:val="0"/>
                  <w:vAlign w:val="center"/>
                </w:tcPr>
                <w:p w14:paraId="508A9D10">
                  <w:pPr>
                    <w:jc w:val="both"/>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eastAsia="zh-CN"/>
                    </w:rPr>
                    <w:t>项目厂界外</w:t>
                  </w:r>
                  <w:r>
                    <w:rPr>
                      <w:rFonts w:hint="default" w:ascii="Times New Roman" w:hAnsi="Times New Roman" w:eastAsia="仿宋_GB2312" w:cs="Times New Roman"/>
                      <w:color w:val="auto"/>
                      <w:sz w:val="21"/>
                      <w:szCs w:val="21"/>
                      <w:lang w:val="en-US" w:eastAsia="zh-CN"/>
                    </w:rPr>
                    <w:t>50米范围内无声环境保护目标。</w:t>
                  </w:r>
                </w:p>
              </w:tc>
            </w:tr>
            <w:tr w14:paraId="5C2B877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838" w:hRule="exact"/>
                <w:jc w:val="center"/>
              </w:trPr>
              <w:tc>
                <w:tcPr>
                  <w:tcW w:w="392" w:type="pct"/>
                  <w:tcBorders>
                    <w:tl2br w:val="nil"/>
                    <w:tr2bl w:val="nil"/>
                  </w:tcBorders>
                  <w:noWrap w:val="0"/>
                  <w:vAlign w:val="center"/>
                </w:tcPr>
                <w:p w14:paraId="4FA0F767">
                  <w:pPr>
                    <w:pStyle w:val="9"/>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地下水环境</w:t>
                  </w:r>
                </w:p>
              </w:tc>
              <w:tc>
                <w:tcPr>
                  <w:tcW w:w="4607" w:type="pct"/>
                  <w:gridSpan w:val="8"/>
                  <w:tcBorders>
                    <w:tl2br w:val="nil"/>
                    <w:tr2bl w:val="nil"/>
                  </w:tcBorders>
                  <w:noWrap w:val="0"/>
                  <w:vAlign w:val="center"/>
                </w:tcPr>
                <w:p w14:paraId="3A3726CB">
                  <w:pPr>
                    <w:jc w:val="both"/>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经现场调查，厂界外500</w:t>
                  </w:r>
                  <w:r>
                    <w:rPr>
                      <w:rFonts w:hint="default" w:ascii="Times New Roman" w:hAnsi="Times New Roman" w:eastAsia="仿宋_GB2312" w:cs="Times New Roman"/>
                      <w:color w:val="auto"/>
                      <w:sz w:val="21"/>
                      <w:szCs w:val="21"/>
                      <w:lang w:val="en-US" w:eastAsia="zh-CN"/>
                    </w:rPr>
                    <w:t>米</w:t>
                  </w:r>
                  <w:r>
                    <w:rPr>
                      <w:rFonts w:hint="default" w:ascii="Times New Roman" w:hAnsi="Times New Roman" w:eastAsia="仿宋_GB2312" w:cs="Times New Roman"/>
                      <w:color w:val="auto"/>
                      <w:sz w:val="21"/>
                      <w:szCs w:val="21"/>
                    </w:rPr>
                    <w:t>范围内无地下水集中式饮用水水源和热水、矿泉水、温泉等特殊地下水资源</w:t>
                  </w:r>
                  <w:r>
                    <w:rPr>
                      <w:rFonts w:hint="default" w:ascii="Times New Roman" w:hAnsi="Times New Roman" w:eastAsia="仿宋_GB2312" w:cs="Times New Roman"/>
                      <w:color w:val="auto"/>
                      <w:sz w:val="21"/>
                      <w:szCs w:val="21"/>
                      <w:lang w:eastAsia="zh-CN"/>
                    </w:rPr>
                    <w:t>。</w:t>
                  </w:r>
                </w:p>
              </w:tc>
            </w:tr>
            <w:tr w14:paraId="569AE8E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542" w:hRule="exact"/>
                <w:jc w:val="center"/>
              </w:trPr>
              <w:tc>
                <w:tcPr>
                  <w:tcW w:w="392" w:type="pct"/>
                  <w:tcBorders>
                    <w:tl2br w:val="nil"/>
                    <w:tr2bl w:val="nil"/>
                  </w:tcBorders>
                  <w:noWrap w:val="0"/>
                  <w:vAlign w:val="center"/>
                </w:tcPr>
                <w:p w14:paraId="6BFDE803">
                  <w:pPr>
                    <w:pStyle w:val="9"/>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生态环境</w:t>
                  </w:r>
                </w:p>
              </w:tc>
              <w:tc>
                <w:tcPr>
                  <w:tcW w:w="4607" w:type="pct"/>
                  <w:gridSpan w:val="8"/>
                  <w:tcBorders>
                    <w:tl2br w:val="nil"/>
                    <w:tr2bl w:val="nil"/>
                  </w:tcBorders>
                  <w:noWrap w:val="0"/>
                  <w:vAlign w:val="center"/>
                </w:tcPr>
                <w:p w14:paraId="58CE4021">
                  <w:pPr>
                    <w:jc w:val="both"/>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rPr>
                    <w:t>项目新增</w:t>
                  </w:r>
                  <w:r>
                    <w:rPr>
                      <w:rFonts w:hint="default" w:ascii="Times New Roman" w:hAnsi="Times New Roman" w:eastAsia="仿宋_GB2312" w:cs="Times New Roman"/>
                      <w:color w:val="auto"/>
                      <w:sz w:val="21"/>
                      <w:szCs w:val="21"/>
                      <w:lang w:eastAsia="zh-CN"/>
                    </w:rPr>
                    <w:t>用地范围内</w:t>
                  </w:r>
                  <w:r>
                    <w:rPr>
                      <w:rFonts w:hint="default" w:ascii="Times New Roman" w:hAnsi="Times New Roman" w:eastAsia="仿宋_GB2312" w:cs="Times New Roman"/>
                      <w:color w:val="auto"/>
                      <w:sz w:val="21"/>
                      <w:szCs w:val="21"/>
                    </w:rPr>
                    <w:t>，</w:t>
                  </w:r>
                  <w:r>
                    <w:rPr>
                      <w:rFonts w:hint="default" w:ascii="Times New Roman" w:hAnsi="Times New Roman" w:eastAsia="仿宋_GB2312" w:cs="Times New Roman"/>
                      <w:color w:val="auto"/>
                      <w:sz w:val="21"/>
                      <w:szCs w:val="21"/>
                      <w:lang w:eastAsia="zh-CN"/>
                    </w:rPr>
                    <w:t>不涉及</w:t>
                  </w:r>
                  <w:r>
                    <w:rPr>
                      <w:rFonts w:hint="default" w:ascii="Times New Roman" w:hAnsi="Times New Roman" w:eastAsia="仿宋_GB2312" w:cs="Times New Roman"/>
                      <w:color w:val="auto"/>
                      <w:sz w:val="21"/>
                      <w:szCs w:val="21"/>
                    </w:rPr>
                    <w:t>生态环境保护目标</w:t>
                  </w:r>
                  <w:r>
                    <w:rPr>
                      <w:rFonts w:hint="default" w:ascii="Times New Roman" w:hAnsi="Times New Roman" w:eastAsia="仿宋_GB2312" w:cs="Times New Roman"/>
                      <w:color w:val="auto"/>
                      <w:sz w:val="21"/>
                      <w:szCs w:val="21"/>
                      <w:lang w:eastAsia="zh-CN"/>
                    </w:rPr>
                    <w:t>。</w:t>
                  </w:r>
                </w:p>
              </w:tc>
            </w:tr>
          </w:tbl>
          <w:p w14:paraId="18A4406B">
            <w:pPr>
              <w:adjustRightInd w:val="0"/>
              <w:snapToGrid w:val="0"/>
              <w:jc w:val="center"/>
              <w:rPr>
                <w:rFonts w:hint="default" w:ascii="Times New Roman" w:hAnsi="Times New Roman" w:eastAsia="仿宋_GB2312" w:cs="Times New Roman"/>
                <w:color w:val="auto"/>
                <w:kern w:val="0"/>
                <w:sz w:val="24"/>
                <w:szCs w:val="24"/>
              </w:rPr>
            </w:pPr>
          </w:p>
        </w:tc>
      </w:tr>
      <w:tr w14:paraId="16C884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94" w:hRule="atLeast"/>
          <w:jc w:val="center"/>
        </w:trPr>
        <w:tc>
          <w:tcPr>
            <w:tcW w:w="800" w:type="dxa"/>
            <w:noWrap w:val="0"/>
            <w:tcMar>
              <w:left w:w="28" w:type="dxa"/>
              <w:right w:w="28" w:type="dxa"/>
            </w:tcMar>
            <w:vAlign w:val="center"/>
          </w:tcPr>
          <w:p w14:paraId="7A1206C6">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污染</w:t>
            </w:r>
          </w:p>
          <w:p w14:paraId="0ADBD81A">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物排</w:t>
            </w:r>
          </w:p>
          <w:p w14:paraId="4B86F78B">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放控</w:t>
            </w:r>
          </w:p>
          <w:p w14:paraId="36E0F76C">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制标</w:t>
            </w:r>
          </w:p>
          <w:p w14:paraId="73F07E30">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准</w:t>
            </w:r>
          </w:p>
        </w:tc>
        <w:tc>
          <w:tcPr>
            <w:tcW w:w="8190" w:type="dxa"/>
            <w:noWrap w:val="0"/>
            <w:vAlign w:val="center"/>
          </w:tcPr>
          <w:p w14:paraId="013C957A">
            <w:pPr>
              <w:keepNext w:val="0"/>
              <w:keepLines w:val="0"/>
              <w:pageBreakBefore w:val="0"/>
              <w:widowControl w:val="0"/>
              <w:kinsoku/>
              <w:wordWrap/>
              <w:overflowPunct/>
              <w:topLinePunct w:val="0"/>
              <w:autoSpaceDE/>
              <w:autoSpaceDN/>
              <w:bidi w:val="0"/>
              <w:adjustRightInd/>
              <w:snapToGrid/>
              <w:spacing w:before="157" w:beforeLines="50" w:line="360" w:lineRule="auto"/>
              <w:ind w:firstLine="478" w:firstLineChars="200"/>
              <w:textAlignment w:val="auto"/>
              <w:rPr>
                <w:rFonts w:hint="default" w:ascii="Times New Roman" w:hAnsi="Times New Roman" w:eastAsia="仿宋_GB2312" w:cs="Times New Roman"/>
                <w:color w:val="auto"/>
                <w:spacing w:val="-1"/>
                <w:sz w:val="24"/>
                <w:szCs w:val="24"/>
                <w:highlight w:val="none"/>
              </w:rPr>
            </w:pPr>
            <w:r>
              <w:rPr>
                <w:rFonts w:hint="default" w:ascii="Times New Roman" w:hAnsi="Times New Roman" w:eastAsia="仿宋_GB2312" w:cs="Times New Roman"/>
                <w:b/>
                <w:bCs/>
                <w:color w:val="auto"/>
                <w:spacing w:val="-1"/>
                <w:sz w:val="24"/>
                <w:szCs w:val="24"/>
                <w:highlight w:val="none"/>
              </w:rPr>
              <w:t>1</w:t>
            </w:r>
            <w:r>
              <w:rPr>
                <w:rFonts w:hint="default" w:ascii="Times New Roman" w:hAnsi="Times New Roman" w:eastAsia="仿宋_GB2312" w:cs="Times New Roman"/>
                <w:b/>
                <w:bCs/>
                <w:color w:val="auto"/>
                <w:spacing w:val="-34"/>
                <w:sz w:val="24"/>
                <w:szCs w:val="24"/>
                <w:highlight w:val="none"/>
                <w:lang w:eastAsia="zh-CN"/>
              </w:rPr>
              <w:t>、</w:t>
            </w:r>
            <w:r>
              <w:rPr>
                <w:rFonts w:hint="default" w:ascii="Times New Roman" w:hAnsi="Times New Roman" w:eastAsia="仿宋_GB2312" w:cs="Times New Roman"/>
                <w:b/>
                <w:bCs/>
                <w:color w:val="auto"/>
                <w:sz w:val="24"/>
                <w:szCs w:val="24"/>
                <w:highlight w:val="none"/>
                <w:lang w:val="en-US" w:eastAsia="zh-CN"/>
              </w:rPr>
              <w:t>大气污染物排放标准</w:t>
            </w:r>
          </w:p>
          <w:p w14:paraId="539867D8">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default" w:ascii="Times New Roman" w:hAnsi="Times New Roman" w:eastAsia="仿宋_GB2312" w:cs="Times New Roman"/>
                <w:b w:val="0"/>
                <w:bCs w:val="0"/>
                <w:i w:val="0"/>
                <w:iCs w:val="0"/>
                <w:color w:val="auto"/>
                <w:kern w:val="2"/>
                <w:sz w:val="24"/>
                <w:szCs w:val="24"/>
                <w:lang w:val="en-US" w:eastAsia="zh-CN" w:bidi="ar-SA"/>
              </w:rPr>
              <w:t>项目加油站废气执行《加油站大气污染物排放标准》（GB 20952-2020）中表3油气浓度无组织排放限值要求；加油站卸油、储油和加油时产生的油气以油气回收系统进行回收和处理，需满足《加油站大气污染物排放标准》（GB 20952-2020）中相关控制要求，油气处理装置的油气排放浓度1小时平均浓度值应不大于25</w:t>
            </w:r>
            <w:r>
              <w:rPr>
                <w:rFonts w:hint="default" w:ascii="Times New Roman" w:hAnsi="Times New Roman" w:eastAsia="仿宋_GB2312" w:cs="Times New Roman"/>
                <w:color w:val="auto"/>
                <w:sz w:val="24"/>
                <w:szCs w:val="24"/>
                <w:vertAlign w:val="baseline"/>
                <w:lang w:val="en-US" w:eastAsia="zh-CN"/>
              </w:rPr>
              <w:t>g/m</w:t>
            </w:r>
            <w:r>
              <w:rPr>
                <w:rFonts w:hint="default" w:ascii="Times New Roman" w:hAnsi="Times New Roman" w:eastAsia="仿宋_GB2312" w:cs="Times New Roman"/>
                <w:color w:val="auto"/>
                <w:sz w:val="24"/>
                <w:szCs w:val="24"/>
                <w:vertAlign w:val="superscript"/>
                <w:lang w:val="en-US" w:eastAsia="zh-CN"/>
              </w:rPr>
              <w:t>3</w:t>
            </w:r>
            <w:r>
              <w:rPr>
                <w:rStyle w:val="54"/>
                <w:rFonts w:hint="default" w:ascii="Times New Roman" w:hAnsi="Times New Roman" w:eastAsia="仿宋_GB2312" w:cs="Times New Roman"/>
                <w:b w:val="0"/>
                <w:bCs w:val="0"/>
                <w:i w:val="0"/>
                <w:iCs w:val="0"/>
                <w:color w:val="auto"/>
                <w:kern w:val="2"/>
                <w:sz w:val="24"/>
                <w:szCs w:val="24"/>
                <w:lang w:val="en-US" w:eastAsia="zh-CN" w:bidi="ar-SA"/>
              </w:rPr>
              <w:t>；此外，项目无组织有机废气的控制执行《挥发性有机物无组织排放控制标准》（GB 37822-2019）附录A中NMHC监控浓度限值要求。</w:t>
            </w:r>
          </w:p>
          <w:p w14:paraId="3C331F38">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lang w:eastAsia="zh-CN"/>
              </w:rPr>
              <w:t>具体项目及标准限值见下</w:t>
            </w:r>
            <w:r>
              <w:rPr>
                <w:rStyle w:val="54"/>
                <w:rFonts w:hint="default" w:ascii="Times New Roman" w:hAnsi="Times New Roman" w:eastAsia="仿宋_GB2312" w:cs="Times New Roman"/>
                <w:b w:val="0"/>
                <w:bCs w:val="0"/>
                <w:i w:val="0"/>
                <w:iCs w:val="0"/>
                <w:color w:val="auto"/>
                <w:kern w:val="2"/>
                <w:sz w:val="24"/>
                <w:szCs w:val="24"/>
                <w:lang w:val="en-US" w:eastAsia="zh-CN" w:bidi="ar-SA"/>
              </w:rPr>
              <w:t>表。</w:t>
            </w:r>
          </w:p>
          <w:p w14:paraId="21321091">
            <w:pPr>
              <w:pStyle w:val="57"/>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表3-4 加油站大气污染物排放标准</w:t>
            </w:r>
          </w:p>
          <w:tbl>
            <w:tblPr>
              <w:tblStyle w:val="52"/>
              <w:tblW w:w="7950" w:type="dxa"/>
              <w:tblInd w:w="6"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1046"/>
              <w:gridCol w:w="1408"/>
              <w:gridCol w:w="1482"/>
              <w:gridCol w:w="95"/>
              <w:gridCol w:w="1388"/>
              <w:gridCol w:w="2531"/>
            </w:tblGrid>
            <w:tr w14:paraId="210614F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046" w:type="dxa"/>
                  <w:tcBorders>
                    <w:tl2br w:val="nil"/>
                    <w:tr2bl w:val="nil"/>
                  </w:tcBorders>
                  <w:noWrap w:val="0"/>
                  <w:vAlign w:val="center"/>
                </w:tcPr>
                <w:p w14:paraId="3EB50F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类别</w:t>
                  </w:r>
                </w:p>
              </w:tc>
              <w:tc>
                <w:tcPr>
                  <w:tcW w:w="1408" w:type="dxa"/>
                  <w:tcBorders>
                    <w:tl2br w:val="nil"/>
                    <w:tr2bl w:val="nil"/>
                  </w:tcBorders>
                  <w:noWrap w:val="0"/>
                  <w:vAlign w:val="center"/>
                </w:tcPr>
                <w:p w14:paraId="6D1567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检测项目</w:t>
                  </w:r>
                </w:p>
              </w:tc>
              <w:tc>
                <w:tcPr>
                  <w:tcW w:w="2965" w:type="dxa"/>
                  <w:gridSpan w:val="3"/>
                  <w:tcBorders>
                    <w:tl2br w:val="nil"/>
                    <w:tr2bl w:val="nil"/>
                  </w:tcBorders>
                  <w:noWrap w:val="0"/>
                  <w:vAlign w:val="center"/>
                </w:tcPr>
                <w:p w14:paraId="7F92DA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排放限值</w:t>
                  </w:r>
                </w:p>
              </w:tc>
              <w:tc>
                <w:tcPr>
                  <w:tcW w:w="2531" w:type="dxa"/>
                  <w:tcBorders>
                    <w:tl2br w:val="nil"/>
                    <w:tr2bl w:val="nil"/>
                  </w:tcBorders>
                  <w:noWrap w:val="0"/>
                  <w:vAlign w:val="center"/>
                </w:tcPr>
                <w:p w14:paraId="6AE102BE">
                  <w:pPr>
                    <w:pStyle w:val="51"/>
                    <w:spacing w:before="36" w:line="228" w:lineRule="auto"/>
                    <w:jc w:val="center"/>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pacing w:val="7"/>
                      <w:sz w:val="21"/>
                      <w:szCs w:val="21"/>
                    </w:rPr>
                    <w:t>标准来源</w:t>
                  </w:r>
                </w:p>
              </w:tc>
            </w:tr>
            <w:tr w14:paraId="3F6BAA5B">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1046" w:type="dxa"/>
                  <w:vMerge w:val="restart"/>
                  <w:tcBorders>
                    <w:tl2br w:val="nil"/>
                    <w:tr2bl w:val="nil"/>
                  </w:tcBorders>
                  <w:noWrap w:val="0"/>
                  <w:vAlign w:val="center"/>
                </w:tcPr>
                <w:p w14:paraId="5D9AD4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油气回收</w:t>
                  </w:r>
                </w:p>
              </w:tc>
              <w:tc>
                <w:tcPr>
                  <w:tcW w:w="1408" w:type="dxa"/>
                  <w:vMerge w:val="restart"/>
                  <w:tcBorders>
                    <w:tl2br w:val="nil"/>
                    <w:tr2bl w:val="nil"/>
                  </w:tcBorders>
                  <w:noWrap w:val="0"/>
                  <w:vAlign w:val="center"/>
                </w:tcPr>
                <w:p w14:paraId="1186E5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液阻</w:t>
                  </w:r>
                </w:p>
              </w:tc>
              <w:tc>
                <w:tcPr>
                  <w:tcW w:w="1577" w:type="dxa"/>
                  <w:gridSpan w:val="2"/>
                  <w:tcBorders>
                    <w:tl2br w:val="nil"/>
                    <w:tr2bl w:val="nil"/>
                  </w:tcBorders>
                  <w:noWrap w:val="0"/>
                  <w:vAlign w:val="center"/>
                </w:tcPr>
                <w:p w14:paraId="7B561D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氮气流量</w:t>
                  </w:r>
                </w:p>
                <w:p w14:paraId="17D1F69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L/min</w:t>
                  </w:r>
                </w:p>
              </w:tc>
              <w:tc>
                <w:tcPr>
                  <w:tcW w:w="1388" w:type="dxa"/>
                  <w:tcBorders>
                    <w:tl2br w:val="nil"/>
                    <w:tr2bl w:val="nil"/>
                  </w:tcBorders>
                  <w:noWrap w:val="0"/>
                  <w:vAlign w:val="center"/>
                </w:tcPr>
                <w:p w14:paraId="30B235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最大压力</w:t>
                  </w:r>
                </w:p>
                <w:p w14:paraId="59820C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Pa</w:t>
                  </w:r>
                </w:p>
              </w:tc>
              <w:tc>
                <w:tcPr>
                  <w:tcW w:w="2531" w:type="dxa"/>
                  <w:vMerge w:val="restart"/>
                  <w:tcBorders>
                    <w:tl2br w:val="nil"/>
                    <w:tr2bl w:val="nil"/>
                  </w:tcBorders>
                  <w:noWrap w:val="0"/>
                  <w:vAlign w:val="center"/>
                </w:tcPr>
                <w:p w14:paraId="5A9B1084">
                  <w:pPr>
                    <w:pStyle w:val="51"/>
                    <w:spacing w:before="65" w:line="246" w:lineRule="auto"/>
                    <w:ind w:left="151" w:right="144"/>
                    <w:jc w:val="center"/>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pacing w:val="8"/>
                      <w:sz w:val="21"/>
                      <w:szCs w:val="21"/>
                    </w:rPr>
                    <w:t>油气回收系统的液阻、密闭性、气液比、油气浓度、密闭点位及边界无组织排放执行《加油站大气污染物排放</w:t>
                  </w:r>
                  <w:r>
                    <w:rPr>
                      <w:rFonts w:hint="default" w:ascii="Times New Roman" w:hAnsi="Times New Roman" w:eastAsia="仿宋_GB2312" w:cs="Times New Roman"/>
                      <w:color w:val="auto"/>
                      <w:spacing w:val="6"/>
                      <w:sz w:val="21"/>
                      <w:szCs w:val="21"/>
                    </w:rPr>
                    <w:t>标准》（</w:t>
                  </w:r>
                  <w:r>
                    <w:rPr>
                      <w:rFonts w:hint="default" w:ascii="Times New Roman" w:hAnsi="Times New Roman" w:eastAsia="仿宋_GB2312" w:cs="Times New Roman"/>
                      <w:color w:val="auto"/>
                      <w:sz w:val="21"/>
                      <w:szCs w:val="21"/>
                    </w:rPr>
                    <w:t>GB</w:t>
                  </w:r>
                  <w:r>
                    <w:rPr>
                      <w:rFonts w:hint="default" w:ascii="Times New Roman" w:hAnsi="Times New Roman" w:eastAsia="仿宋_GB2312" w:cs="Times New Roman"/>
                      <w:color w:val="auto"/>
                      <w:sz w:val="21"/>
                      <w:szCs w:val="21"/>
                      <w:lang w:val="en-US" w:eastAsia="zh-CN"/>
                    </w:rPr>
                    <w:t xml:space="preserve"> </w:t>
                  </w:r>
                  <w:r>
                    <w:rPr>
                      <w:rFonts w:hint="default" w:ascii="Times New Roman" w:hAnsi="Times New Roman" w:eastAsia="仿宋_GB2312" w:cs="Times New Roman"/>
                      <w:color w:val="auto"/>
                      <w:spacing w:val="6"/>
                      <w:sz w:val="21"/>
                      <w:szCs w:val="21"/>
                    </w:rPr>
                    <w:t>20952</w:t>
                  </w:r>
                  <w:r>
                    <w:rPr>
                      <w:rFonts w:hint="default" w:ascii="Times New Roman" w:hAnsi="Times New Roman" w:eastAsia="仿宋_GB2312" w:cs="Times New Roman"/>
                      <w:color w:val="auto"/>
                      <w:spacing w:val="6"/>
                      <w:sz w:val="21"/>
                      <w:szCs w:val="21"/>
                      <w:lang w:val="en-US" w:eastAsia="zh-CN"/>
                    </w:rPr>
                    <w:t>-</w:t>
                  </w:r>
                  <w:r>
                    <w:rPr>
                      <w:rFonts w:hint="default" w:ascii="Times New Roman" w:hAnsi="Times New Roman" w:eastAsia="仿宋_GB2312" w:cs="Times New Roman"/>
                      <w:color w:val="auto"/>
                      <w:spacing w:val="6"/>
                      <w:sz w:val="21"/>
                      <w:szCs w:val="21"/>
                    </w:rPr>
                    <w:t>2020）</w:t>
                  </w:r>
                  <w:r>
                    <w:rPr>
                      <w:rFonts w:hint="default" w:ascii="Times New Roman" w:hAnsi="Times New Roman" w:eastAsia="仿宋_GB2312" w:cs="Times New Roman"/>
                      <w:color w:val="auto"/>
                      <w:spacing w:val="5"/>
                      <w:sz w:val="21"/>
                      <w:szCs w:val="21"/>
                    </w:rPr>
                    <w:t>中相关标准要求。</w:t>
                  </w:r>
                </w:p>
              </w:tc>
            </w:tr>
            <w:tr w14:paraId="0A49E1C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046" w:type="dxa"/>
                  <w:vMerge w:val="continue"/>
                  <w:tcBorders>
                    <w:tl2br w:val="nil"/>
                    <w:tr2bl w:val="nil"/>
                  </w:tcBorders>
                  <w:noWrap w:val="0"/>
                  <w:vAlign w:val="center"/>
                </w:tcPr>
                <w:p w14:paraId="2A6BA2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08" w:type="dxa"/>
                  <w:vMerge w:val="continue"/>
                  <w:tcBorders>
                    <w:tl2br w:val="nil"/>
                    <w:tr2bl w:val="nil"/>
                  </w:tcBorders>
                  <w:noWrap w:val="0"/>
                  <w:vAlign w:val="center"/>
                </w:tcPr>
                <w:p w14:paraId="1C639C8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577" w:type="dxa"/>
                  <w:gridSpan w:val="2"/>
                  <w:tcBorders>
                    <w:tl2br w:val="nil"/>
                    <w:tr2bl w:val="nil"/>
                  </w:tcBorders>
                  <w:noWrap w:val="0"/>
                  <w:vAlign w:val="center"/>
                </w:tcPr>
                <w:p w14:paraId="086721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18.0</w:t>
                  </w:r>
                </w:p>
              </w:tc>
              <w:tc>
                <w:tcPr>
                  <w:tcW w:w="1388" w:type="dxa"/>
                  <w:tcBorders>
                    <w:tl2br w:val="nil"/>
                    <w:tr2bl w:val="nil"/>
                  </w:tcBorders>
                  <w:noWrap w:val="0"/>
                  <w:vAlign w:val="center"/>
                </w:tcPr>
                <w:p w14:paraId="4C7566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40</w:t>
                  </w:r>
                </w:p>
              </w:tc>
              <w:tc>
                <w:tcPr>
                  <w:tcW w:w="2531" w:type="dxa"/>
                  <w:vMerge w:val="continue"/>
                  <w:tcBorders>
                    <w:tl2br w:val="nil"/>
                    <w:tr2bl w:val="nil"/>
                  </w:tcBorders>
                  <w:noWrap w:val="0"/>
                  <w:vAlign w:val="center"/>
                </w:tcPr>
                <w:p w14:paraId="3EFBC7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00231FF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046" w:type="dxa"/>
                  <w:vMerge w:val="continue"/>
                  <w:tcBorders>
                    <w:tl2br w:val="nil"/>
                    <w:tr2bl w:val="nil"/>
                  </w:tcBorders>
                  <w:noWrap w:val="0"/>
                  <w:vAlign w:val="center"/>
                </w:tcPr>
                <w:p w14:paraId="028910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08" w:type="dxa"/>
                  <w:vMerge w:val="continue"/>
                  <w:tcBorders>
                    <w:tl2br w:val="nil"/>
                    <w:tr2bl w:val="nil"/>
                  </w:tcBorders>
                  <w:noWrap w:val="0"/>
                  <w:vAlign w:val="center"/>
                </w:tcPr>
                <w:p w14:paraId="06C5D3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577" w:type="dxa"/>
                  <w:gridSpan w:val="2"/>
                  <w:tcBorders>
                    <w:tl2br w:val="nil"/>
                    <w:tr2bl w:val="nil"/>
                  </w:tcBorders>
                  <w:noWrap w:val="0"/>
                  <w:vAlign w:val="center"/>
                </w:tcPr>
                <w:p w14:paraId="7362872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28.0</w:t>
                  </w:r>
                </w:p>
              </w:tc>
              <w:tc>
                <w:tcPr>
                  <w:tcW w:w="1388" w:type="dxa"/>
                  <w:tcBorders>
                    <w:tl2br w:val="nil"/>
                    <w:tr2bl w:val="nil"/>
                  </w:tcBorders>
                  <w:noWrap w:val="0"/>
                  <w:vAlign w:val="center"/>
                </w:tcPr>
                <w:p w14:paraId="347DC7D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90</w:t>
                  </w:r>
                </w:p>
              </w:tc>
              <w:tc>
                <w:tcPr>
                  <w:tcW w:w="2531" w:type="dxa"/>
                  <w:vMerge w:val="continue"/>
                  <w:tcBorders>
                    <w:tl2br w:val="nil"/>
                    <w:tr2bl w:val="nil"/>
                  </w:tcBorders>
                  <w:noWrap w:val="0"/>
                  <w:vAlign w:val="center"/>
                </w:tcPr>
                <w:p w14:paraId="55CC63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354CCB0A">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046" w:type="dxa"/>
                  <w:vMerge w:val="continue"/>
                  <w:tcBorders>
                    <w:tl2br w:val="nil"/>
                    <w:tr2bl w:val="nil"/>
                  </w:tcBorders>
                  <w:noWrap w:val="0"/>
                  <w:vAlign w:val="center"/>
                </w:tcPr>
                <w:p w14:paraId="679295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08" w:type="dxa"/>
                  <w:vMerge w:val="continue"/>
                  <w:tcBorders>
                    <w:tl2br w:val="nil"/>
                    <w:tr2bl w:val="nil"/>
                  </w:tcBorders>
                  <w:noWrap w:val="0"/>
                  <w:vAlign w:val="center"/>
                </w:tcPr>
                <w:p w14:paraId="4A7DFD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577" w:type="dxa"/>
                  <w:gridSpan w:val="2"/>
                  <w:tcBorders>
                    <w:tl2br w:val="nil"/>
                    <w:tr2bl w:val="nil"/>
                  </w:tcBorders>
                  <w:noWrap w:val="0"/>
                  <w:vAlign w:val="center"/>
                </w:tcPr>
                <w:p w14:paraId="020B411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38.0</w:t>
                  </w:r>
                </w:p>
              </w:tc>
              <w:tc>
                <w:tcPr>
                  <w:tcW w:w="1388" w:type="dxa"/>
                  <w:tcBorders>
                    <w:tl2br w:val="nil"/>
                    <w:tr2bl w:val="nil"/>
                  </w:tcBorders>
                  <w:noWrap w:val="0"/>
                  <w:vAlign w:val="center"/>
                </w:tcPr>
                <w:p w14:paraId="079BB2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155</w:t>
                  </w:r>
                </w:p>
              </w:tc>
              <w:tc>
                <w:tcPr>
                  <w:tcW w:w="2531" w:type="dxa"/>
                  <w:vMerge w:val="continue"/>
                  <w:tcBorders>
                    <w:tl2br w:val="nil"/>
                    <w:tr2bl w:val="nil"/>
                  </w:tcBorders>
                  <w:noWrap w:val="0"/>
                  <w:vAlign w:val="center"/>
                </w:tcPr>
                <w:p w14:paraId="365B75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3E6B3740">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046" w:type="dxa"/>
                  <w:vMerge w:val="continue"/>
                  <w:tcBorders>
                    <w:tl2br w:val="nil"/>
                    <w:tr2bl w:val="nil"/>
                  </w:tcBorders>
                  <w:noWrap w:val="0"/>
                  <w:vAlign w:val="center"/>
                </w:tcPr>
                <w:p w14:paraId="31FF05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08" w:type="dxa"/>
                  <w:vMerge w:val="restart"/>
                  <w:tcBorders>
                    <w:tl2br w:val="nil"/>
                    <w:tr2bl w:val="nil"/>
                  </w:tcBorders>
                  <w:noWrap w:val="0"/>
                  <w:vAlign w:val="center"/>
                </w:tcPr>
                <w:p w14:paraId="70EE8F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密闭性</w:t>
                  </w:r>
                </w:p>
              </w:tc>
              <w:tc>
                <w:tcPr>
                  <w:tcW w:w="2965" w:type="dxa"/>
                  <w:gridSpan w:val="3"/>
                  <w:tcBorders>
                    <w:tl2br w:val="nil"/>
                    <w:tr2bl w:val="nil"/>
                  </w:tcBorders>
                  <w:noWrap w:val="0"/>
                  <w:vAlign w:val="center"/>
                </w:tcPr>
                <w:p w14:paraId="270DA0E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充氮至500Pa，5min后剩余压力检测值Pa</w:t>
                  </w:r>
                </w:p>
              </w:tc>
              <w:tc>
                <w:tcPr>
                  <w:tcW w:w="2531" w:type="dxa"/>
                  <w:vMerge w:val="continue"/>
                  <w:tcBorders>
                    <w:tl2br w:val="nil"/>
                    <w:tr2bl w:val="nil"/>
                  </w:tcBorders>
                  <w:noWrap w:val="0"/>
                  <w:vAlign w:val="center"/>
                </w:tcPr>
                <w:p w14:paraId="557299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1702C888">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046" w:type="dxa"/>
                  <w:vMerge w:val="continue"/>
                  <w:tcBorders>
                    <w:tl2br w:val="nil"/>
                    <w:tr2bl w:val="nil"/>
                  </w:tcBorders>
                  <w:noWrap w:val="0"/>
                  <w:vAlign w:val="center"/>
                </w:tcPr>
                <w:p w14:paraId="4D3A36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08" w:type="dxa"/>
                  <w:vMerge w:val="continue"/>
                  <w:tcBorders>
                    <w:tl2br w:val="nil"/>
                    <w:tr2bl w:val="nil"/>
                  </w:tcBorders>
                  <w:noWrap w:val="0"/>
                  <w:vAlign w:val="center"/>
                </w:tcPr>
                <w:p w14:paraId="730E3D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2965" w:type="dxa"/>
                  <w:gridSpan w:val="3"/>
                  <w:tcBorders>
                    <w:tl2br w:val="nil"/>
                    <w:tr2bl w:val="nil"/>
                  </w:tcBorders>
                  <w:noWrap w:val="0"/>
                  <w:vAlign w:val="center"/>
                </w:tcPr>
                <w:p w14:paraId="41B6BB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满足表2</w:t>
                  </w:r>
                </w:p>
              </w:tc>
              <w:tc>
                <w:tcPr>
                  <w:tcW w:w="2531" w:type="dxa"/>
                  <w:vMerge w:val="continue"/>
                  <w:tcBorders>
                    <w:tl2br w:val="nil"/>
                    <w:tr2bl w:val="nil"/>
                  </w:tcBorders>
                  <w:noWrap w:val="0"/>
                  <w:vAlign w:val="center"/>
                </w:tcPr>
                <w:p w14:paraId="59B883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718C7D1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046" w:type="dxa"/>
                  <w:vMerge w:val="continue"/>
                  <w:tcBorders>
                    <w:tl2br w:val="nil"/>
                    <w:tr2bl w:val="nil"/>
                  </w:tcBorders>
                  <w:noWrap w:val="0"/>
                  <w:vAlign w:val="center"/>
                </w:tcPr>
                <w:p w14:paraId="416FCF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08" w:type="dxa"/>
                  <w:vMerge w:val="restart"/>
                  <w:tcBorders>
                    <w:tl2br w:val="nil"/>
                    <w:tr2bl w:val="nil"/>
                  </w:tcBorders>
                  <w:noWrap w:val="0"/>
                  <w:vAlign w:val="center"/>
                </w:tcPr>
                <w:p w14:paraId="146C14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气液比</w:t>
                  </w:r>
                </w:p>
              </w:tc>
              <w:tc>
                <w:tcPr>
                  <w:tcW w:w="2965" w:type="dxa"/>
                  <w:gridSpan w:val="3"/>
                  <w:tcBorders>
                    <w:tl2br w:val="nil"/>
                    <w:tr2bl w:val="nil"/>
                  </w:tcBorders>
                  <w:noWrap w:val="0"/>
                  <w:vAlign w:val="center"/>
                </w:tcPr>
                <w:p w14:paraId="6A84BB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1.0≤气液比≤1.2</w:t>
                  </w:r>
                </w:p>
              </w:tc>
              <w:tc>
                <w:tcPr>
                  <w:tcW w:w="2531" w:type="dxa"/>
                  <w:vMerge w:val="continue"/>
                  <w:tcBorders>
                    <w:tl2br w:val="nil"/>
                    <w:tr2bl w:val="nil"/>
                  </w:tcBorders>
                  <w:noWrap w:val="0"/>
                  <w:vAlign w:val="center"/>
                </w:tcPr>
                <w:p w14:paraId="6503D8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29637157">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046" w:type="dxa"/>
                  <w:vMerge w:val="continue"/>
                  <w:tcBorders>
                    <w:tl2br w:val="nil"/>
                    <w:tr2bl w:val="nil"/>
                  </w:tcBorders>
                  <w:noWrap w:val="0"/>
                  <w:vAlign w:val="center"/>
                </w:tcPr>
                <w:p w14:paraId="29B552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08" w:type="dxa"/>
                  <w:vMerge w:val="continue"/>
                  <w:tcBorders>
                    <w:tl2br w:val="nil"/>
                    <w:tr2bl w:val="nil"/>
                  </w:tcBorders>
                  <w:noWrap w:val="0"/>
                  <w:vAlign w:val="center"/>
                </w:tcPr>
                <w:p w14:paraId="4B4AED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82" w:type="dxa"/>
                  <w:tcBorders>
                    <w:tl2br w:val="nil"/>
                    <w:tr2bl w:val="nil"/>
                  </w:tcBorders>
                  <w:noWrap w:val="0"/>
                  <w:vAlign w:val="center"/>
                </w:tcPr>
                <w:p w14:paraId="16DF2F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抽测10条</w:t>
                  </w:r>
                </w:p>
              </w:tc>
              <w:tc>
                <w:tcPr>
                  <w:tcW w:w="1483" w:type="dxa"/>
                  <w:gridSpan w:val="2"/>
                  <w:tcBorders>
                    <w:tl2br w:val="nil"/>
                    <w:tr2bl w:val="nil"/>
                  </w:tcBorders>
                  <w:noWrap w:val="0"/>
                  <w:vAlign w:val="center"/>
                </w:tcPr>
                <w:p w14:paraId="751777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不合格≤1条</w:t>
                  </w:r>
                </w:p>
              </w:tc>
              <w:tc>
                <w:tcPr>
                  <w:tcW w:w="2531" w:type="dxa"/>
                  <w:vMerge w:val="continue"/>
                  <w:tcBorders>
                    <w:tl2br w:val="nil"/>
                    <w:tr2bl w:val="nil"/>
                  </w:tcBorders>
                  <w:noWrap w:val="0"/>
                  <w:vAlign w:val="center"/>
                </w:tcPr>
                <w:p w14:paraId="1DA4AF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0527B3FB">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046" w:type="dxa"/>
                  <w:vMerge w:val="continue"/>
                  <w:tcBorders>
                    <w:tl2br w:val="nil"/>
                    <w:tr2bl w:val="nil"/>
                  </w:tcBorders>
                  <w:noWrap w:val="0"/>
                  <w:vAlign w:val="center"/>
                </w:tcPr>
                <w:p w14:paraId="67BE2D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08" w:type="dxa"/>
                  <w:tcBorders>
                    <w:tl2br w:val="nil"/>
                    <w:tr2bl w:val="nil"/>
                  </w:tcBorders>
                  <w:noWrap w:val="0"/>
                  <w:vAlign w:val="center"/>
                </w:tcPr>
                <w:p w14:paraId="1C1ACA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油气浓度</w:t>
                  </w:r>
                </w:p>
              </w:tc>
              <w:tc>
                <w:tcPr>
                  <w:tcW w:w="2965" w:type="dxa"/>
                  <w:gridSpan w:val="3"/>
                  <w:tcBorders>
                    <w:tl2br w:val="nil"/>
                    <w:tr2bl w:val="nil"/>
                  </w:tcBorders>
                  <w:noWrap w:val="0"/>
                  <w:vAlign w:val="center"/>
                </w:tcPr>
                <w:p w14:paraId="3E3F66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≤25g/m</w:t>
                  </w:r>
                  <w:r>
                    <w:rPr>
                      <w:rFonts w:hint="default" w:ascii="Times New Roman" w:hAnsi="Times New Roman" w:eastAsia="仿宋_GB2312" w:cs="Times New Roman"/>
                      <w:color w:val="auto"/>
                      <w:sz w:val="21"/>
                      <w:szCs w:val="21"/>
                      <w:vertAlign w:val="superscript"/>
                      <w:lang w:val="en-US" w:eastAsia="zh-CN"/>
                    </w:rPr>
                    <w:t>3</w:t>
                  </w:r>
                </w:p>
              </w:tc>
              <w:tc>
                <w:tcPr>
                  <w:tcW w:w="2531" w:type="dxa"/>
                  <w:vMerge w:val="continue"/>
                  <w:tcBorders>
                    <w:tl2br w:val="nil"/>
                    <w:tr2bl w:val="nil"/>
                  </w:tcBorders>
                  <w:noWrap w:val="0"/>
                  <w:vAlign w:val="center"/>
                </w:tcPr>
                <w:p w14:paraId="0CDD3E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56EF436A">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046" w:type="dxa"/>
                  <w:vMerge w:val="continue"/>
                  <w:tcBorders>
                    <w:tl2br w:val="nil"/>
                    <w:tr2bl w:val="nil"/>
                  </w:tcBorders>
                  <w:noWrap w:val="0"/>
                  <w:vAlign w:val="center"/>
                </w:tcPr>
                <w:p w14:paraId="3B69ED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08" w:type="dxa"/>
                  <w:tcBorders>
                    <w:tl2br w:val="nil"/>
                    <w:tr2bl w:val="nil"/>
                  </w:tcBorders>
                  <w:noWrap w:val="0"/>
                  <w:vAlign w:val="center"/>
                </w:tcPr>
                <w:p w14:paraId="3A0B6E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密闭点位</w:t>
                  </w:r>
                </w:p>
              </w:tc>
              <w:tc>
                <w:tcPr>
                  <w:tcW w:w="2965" w:type="dxa"/>
                  <w:gridSpan w:val="3"/>
                  <w:tcBorders>
                    <w:tl2br w:val="nil"/>
                    <w:tr2bl w:val="nil"/>
                  </w:tcBorders>
                  <w:noWrap w:val="0"/>
                  <w:vAlign w:val="center"/>
                </w:tcPr>
                <w:p w14:paraId="65522E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≤500µmol/mol</w:t>
                  </w:r>
                </w:p>
              </w:tc>
              <w:tc>
                <w:tcPr>
                  <w:tcW w:w="2531" w:type="dxa"/>
                  <w:vMerge w:val="continue"/>
                  <w:tcBorders>
                    <w:tl2br w:val="nil"/>
                    <w:tr2bl w:val="nil"/>
                  </w:tcBorders>
                  <w:noWrap w:val="0"/>
                  <w:vAlign w:val="center"/>
                </w:tcPr>
                <w:p w14:paraId="3451ED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r w14:paraId="7E4E695A">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046" w:type="dxa"/>
                  <w:tcBorders>
                    <w:tl2br w:val="nil"/>
                    <w:tr2bl w:val="nil"/>
                  </w:tcBorders>
                  <w:noWrap w:val="0"/>
                  <w:vAlign w:val="center"/>
                </w:tcPr>
                <w:p w14:paraId="6ABB05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企业边界</w:t>
                  </w:r>
                </w:p>
                <w:p w14:paraId="71708E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无组织</w:t>
                  </w:r>
                </w:p>
              </w:tc>
              <w:tc>
                <w:tcPr>
                  <w:tcW w:w="1408" w:type="dxa"/>
                  <w:tcBorders>
                    <w:tl2br w:val="nil"/>
                    <w:tr2bl w:val="nil"/>
                  </w:tcBorders>
                  <w:noWrap w:val="0"/>
                  <w:vAlign w:val="center"/>
                </w:tcPr>
                <w:p w14:paraId="1F8058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非甲烷总烃</w:t>
                  </w:r>
                </w:p>
              </w:tc>
              <w:tc>
                <w:tcPr>
                  <w:tcW w:w="2965" w:type="dxa"/>
                  <w:gridSpan w:val="3"/>
                  <w:tcBorders>
                    <w:tl2br w:val="nil"/>
                    <w:tr2bl w:val="nil"/>
                  </w:tcBorders>
                  <w:noWrap w:val="0"/>
                  <w:vAlign w:val="center"/>
                </w:tcPr>
                <w:p w14:paraId="65C662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4.0mg/m</w:t>
                  </w:r>
                  <w:r>
                    <w:rPr>
                      <w:rFonts w:hint="default" w:ascii="Times New Roman" w:hAnsi="Times New Roman" w:eastAsia="仿宋_GB2312" w:cs="Times New Roman"/>
                      <w:color w:val="auto"/>
                      <w:sz w:val="21"/>
                      <w:szCs w:val="21"/>
                      <w:vertAlign w:val="superscript"/>
                      <w:lang w:val="en-US" w:eastAsia="zh-CN"/>
                    </w:rPr>
                    <w:t>3</w:t>
                  </w:r>
                  <w:r>
                    <w:rPr>
                      <w:rFonts w:hint="default" w:ascii="Times New Roman" w:hAnsi="Times New Roman" w:eastAsia="仿宋_GB2312" w:cs="Times New Roman"/>
                      <w:color w:val="auto"/>
                      <w:sz w:val="21"/>
                      <w:szCs w:val="21"/>
                      <w:vertAlign w:val="baseline"/>
                      <w:lang w:val="en-US" w:eastAsia="zh-CN"/>
                    </w:rPr>
                    <w:t>（1小时平均浓度）</w:t>
                  </w:r>
                </w:p>
              </w:tc>
              <w:tc>
                <w:tcPr>
                  <w:tcW w:w="2531" w:type="dxa"/>
                  <w:vMerge w:val="continue"/>
                  <w:tcBorders>
                    <w:tl2br w:val="nil"/>
                    <w:tr2bl w:val="nil"/>
                  </w:tcBorders>
                  <w:noWrap w:val="0"/>
                  <w:vAlign w:val="center"/>
                </w:tcPr>
                <w:p w14:paraId="1BCA86E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r>
          </w:tbl>
          <w:p w14:paraId="38B2F9D6">
            <w:pPr>
              <w:keepNext w:val="0"/>
              <w:keepLines w:val="0"/>
              <w:pageBreakBefore w:val="0"/>
              <w:widowControl w:val="0"/>
              <w:kinsoku/>
              <w:wordWrap/>
              <w:overflowPunct/>
              <w:topLinePunct w:val="0"/>
              <w:autoSpaceDE/>
              <w:autoSpaceDN/>
              <w:bidi w:val="0"/>
              <w:adjustRightInd/>
              <w:snapToGrid/>
              <w:spacing w:before="157" w:beforeLines="50" w:afterLines="0" w:line="240" w:lineRule="auto"/>
              <w:jc w:val="center"/>
              <w:textAlignment w:val="auto"/>
              <w:rPr>
                <w:rFonts w:hint="default" w:ascii="Times New Roman" w:hAnsi="Times New Roman" w:eastAsia="仿宋_GB2312" w:cs="Times New Roman"/>
                <w:b/>
                <w:color w:val="auto"/>
                <w:kern w:val="2"/>
                <w:sz w:val="24"/>
                <w:szCs w:val="24"/>
                <w:highlight w:val="none"/>
                <w:lang w:val="en-US" w:eastAsia="zh-CN" w:bidi="ar-SA"/>
              </w:rPr>
            </w:pPr>
            <w:r>
              <w:rPr>
                <w:rFonts w:hint="default" w:ascii="Times New Roman" w:hAnsi="Times New Roman" w:eastAsia="仿宋_GB2312" w:cs="Times New Roman"/>
                <w:b/>
                <w:color w:val="auto"/>
                <w:kern w:val="2"/>
                <w:sz w:val="24"/>
                <w:szCs w:val="24"/>
                <w:highlight w:val="none"/>
                <w:lang w:val="en-US" w:eastAsia="zh-CN" w:bidi="ar-SA"/>
              </w:rPr>
              <w:t>表3-5 站区内有机废气无组织排放限值</w:t>
            </w:r>
          </w:p>
          <w:tbl>
            <w:tblPr>
              <w:tblStyle w:val="52"/>
              <w:tblW w:w="7950" w:type="dxa"/>
              <w:tblInd w:w="6"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1097"/>
              <w:gridCol w:w="1415"/>
              <w:gridCol w:w="1503"/>
              <w:gridCol w:w="1330"/>
              <w:gridCol w:w="2605"/>
            </w:tblGrid>
            <w:tr w14:paraId="7E689459">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097" w:type="dxa"/>
                  <w:tcBorders>
                    <w:tl2br w:val="nil"/>
                    <w:tr2bl w:val="nil"/>
                  </w:tcBorders>
                  <w:noWrap w:val="0"/>
                  <w:vAlign w:val="center"/>
                </w:tcPr>
                <w:p w14:paraId="490AAA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污染物</w:t>
                  </w:r>
                </w:p>
                <w:p w14:paraId="7CC9E17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项目</w:t>
                  </w:r>
                </w:p>
              </w:tc>
              <w:tc>
                <w:tcPr>
                  <w:tcW w:w="1415" w:type="dxa"/>
                  <w:tcBorders>
                    <w:tl2br w:val="nil"/>
                    <w:tr2bl w:val="nil"/>
                  </w:tcBorders>
                  <w:noWrap w:val="0"/>
                  <w:vAlign w:val="center"/>
                </w:tcPr>
                <w:p w14:paraId="3C03BD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特别排放限值（mg/m</w:t>
                  </w:r>
                  <w:r>
                    <w:rPr>
                      <w:rFonts w:hint="default" w:ascii="Times New Roman" w:hAnsi="Times New Roman" w:eastAsia="仿宋_GB2312" w:cs="Times New Roman"/>
                      <w:b/>
                      <w:bCs/>
                      <w:color w:val="auto"/>
                      <w:sz w:val="21"/>
                      <w:szCs w:val="21"/>
                      <w:vertAlign w:val="superscript"/>
                      <w:lang w:val="en-US" w:eastAsia="zh-CN"/>
                    </w:rPr>
                    <w:t>3</w:t>
                  </w:r>
                  <w:r>
                    <w:rPr>
                      <w:rFonts w:hint="default" w:ascii="Times New Roman" w:hAnsi="Times New Roman" w:eastAsia="仿宋_GB2312" w:cs="Times New Roman"/>
                      <w:b/>
                      <w:bCs/>
                      <w:color w:val="auto"/>
                      <w:sz w:val="21"/>
                      <w:szCs w:val="21"/>
                      <w:vertAlign w:val="baseline"/>
                      <w:lang w:val="en-US" w:eastAsia="zh-CN"/>
                    </w:rPr>
                    <w:t>）</w:t>
                  </w:r>
                </w:p>
              </w:tc>
              <w:tc>
                <w:tcPr>
                  <w:tcW w:w="1503" w:type="dxa"/>
                  <w:tcBorders>
                    <w:tl2br w:val="nil"/>
                    <w:tr2bl w:val="nil"/>
                  </w:tcBorders>
                  <w:noWrap w:val="0"/>
                  <w:vAlign w:val="center"/>
                </w:tcPr>
                <w:p w14:paraId="23429C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限值含义</w:t>
                  </w:r>
                </w:p>
              </w:tc>
              <w:tc>
                <w:tcPr>
                  <w:tcW w:w="1330" w:type="dxa"/>
                  <w:tcBorders>
                    <w:tl2br w:val="nil"/>
                    <w:tr2bl w:val="nil"/>
                  </w:tcBorders>
                  <w:noWrap w:val="0"/>
                  <w:vAlign w:val="center"/>
                </w:tcPr>
                <w:p w14:paraId="16965A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无组织排放 监控位置</w:t>
                  </w:r>
                </w:p>
              </w:tc>
              <w:tc>
                <w:tcPr>
                  <w:tcW w:w="2605" w:type="dxa"/>
                  <w:tcBorders>
                    <w:tl2br w:val="nil"/>
                    <w:tr2bl w:val="nil"/>
                  </w:tcBorders>
                  <w:noWrap w:val="0"/>
                  <w:vAlign w:val="center"/>
                </w:tcPr>
                <w:p w14:paraId="4D02C5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标准来源</w:t>
                  </w:r>
                </w:p>
              </w:tc>
            </w:tr>
            <w:tr w14:paraId="747D9847">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1097" w:type="dxa"/>
                  <w:vMerge w:val="restart"/>
                  <w:tcBorders>
                    <w:tl2br w:val="nil"/>
                    <w:tr2bl w:val="nil"/>
                  </w:tcBorders>
                  <w:noWrap w:val="0"/>
                  <w:vAlign w:val="center"/>
                </w:tcPr>
                <w:p w14:paraId="2D1CE2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非甲烷</w:t>
                  </w:r>
                </w:p>
                <w:p w14:paraId="610747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总烃（NMHC）</w:t>
                  </w:r>
                </w:p>
              </w:tc>
              <w:tc>
                <w:tcPr>
                  <w:tcW w:w="1415" w:type="dxa"/>
                  <w:tcBorders>
                    <w:tl2br w:val="nil"/>
                    <w:tr2bl w:val="nil"/>
                  </w:tcBorders>
                  <w:noWrap w:val="0"/>
                  <w:vAlign w:val="center"/>
                </w:tcPr>
                <w:p w14:paraId="7073BCB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w:t>
                  </w:r>
                </w:p>
              </w:tc>
              <w:tc>
                <w:tcPr>
                  <w:tcW w:w="1503" w:type="dxa"/>
                  <w:tcBorders>
                    <w:tl2br w:val="nil"/>
                    <w:tr2bl w:val="nil"/>
                  </w:tcBorders>
                  <w:noWrap w:val="0"/>
                  <w:vAlign w:val="center"/>
                </w:tcPr>
                <w:p w14:paraId="0AA903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监控点处1h平均浓度值</w:t>
                  </w:r>
                </w:p>
              </w:tc>
              <w:tc>
                <w:tcPr>
                  <w:tcW w:w="1330" w:type="dxa"/>
                  <w:vMerge w:val="restart"/>
                  <w:tcBorders>
                    <w:tl2br w:val="nil"/>
                    <w:tr2bl w:val="nil"/>
                  </w:tcBorders>
                  <w:noWrap w:val="0"/>
                  <w:vAlign w:val="center"/>
                </w:tcPr>
                <w:p w14:paraId="1D82AE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在厂房外设置监控点</w:t>
                  </w:r>
                </w:p>
              </w:tc>
              <w:tc>
                <w:tcPr>
                  <w:tcW w:w="2605" w:type="dxa"/>
                  <w:vMerge w:val="restart"/>
                  <w:tcBorders>
                    <w:tl2br w:val="nil"/>
                    <w:tr2bl w:val="nil"/>
                  </w:tcBorders>
                  <w:noWrap w:val="0"/>
                  <w:vAlign w:val="center"/>
                </w:tcPr>
                <w:p w14:paraId="3309E975">
                  <w:pPr>
                    <w:widowControl w:val="0"/>
                    <w:spacing w:before="65" w:line="246" w:lineRule="auto"/>
                    <w:ind w:left="151" w:right="144"/>
                    <w:jc w:val="center"/>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kern w:val="2"/>
                      <w:sz w:val="21"/>
                      <w:szCs w:val="21"/>
                      <w:vertAlign w:val="baseline"/>
                      <w:lang w:val="en-US" w:eastAsia="zh-CN" w:bidi="ar-SA"/>
                    </w:rPr>
                    <w:t>《挥发性有机物无组织排放控制标准》（GB 37822-2019）及其附录A特别排放限值</w:t>
                  </w:r>
                </w:p>
              </w:tc>
            </w:tr>
            <w:tr w14:paraId="63D12D6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1097" w:type="dxa"/>
                  <w:vMerge w:val="continue"/>
                  <w:tcBorders>
                    <w:tl2br w:val="nil"/>
                    <w:tr2bl w:val="nil"/>
                  </w:tcBorders>
                  <w:noWrap w:val="0"/>
                  <w:vAlign w:val="center"/>
                </w:tcPr>
                <w:p w14:paraId="1D1321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415" w:type="dxa"/>
                  <w:tcBorders>
                    <w:tl2br w:val="nil"/>
                    <w:tr2bl w:val="nil"/>
                  </w:tcBorders>
                  <w:noWrap w:val="0"/>
                  <w:vAlign w:val="center"/>
                </w:tcPr>
                <w:p w14:paraId="25BA0E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w:t>
                  </w:r>
                </w:p>
              </w:tc>
              <w:tc>
                <w:tcPr>
                  <w:tcW w:w="1503" w:type="dxa"/>
                  <w:tcBorders>
                    <w:tl2br w:val="nil"/>
                    <w:tr2bl w:val="nil"/>
                  </w:tcBorders>
                  <w:shd w:val="clear" w:color="auto" w:fill="auto"/>
                  <w:noWrap w:val="0"/>
                  <w:vAlign w:val="center"/>
                </w:tcPr>
                <w:p w14:paraId="17D405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监控点处任意一次浓度值</w:t>
                  </w:r>
                </w:p>
              </w:tc>
              <w:tc>
                <w:tcPr>
                  <w:tcW w:w="1330" w:type="dxa"/>
                  <w:vMerge w:val="continue"/>
                  <w:tcBorders>
                    <w:tl2br w:val="nil"/>
                    <w:tr2bl w:val="nil"/>
                  </w:tcBorders>
                  <w:shd w:val="clear" w:color="auto" w:fill="auto"/>
                  <w:noWrap w:val="0"/>
                  <w:vAlign w:val="center"/>
                </w:tcPr>
                <w:p w14:paraId="295A1A95">
                  <w:pPr>
                    <w:pStyle w:val="51"/>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center"/>
                    <w:textAlignment w:val="auto"/>
                    <w:rPr>
                      <w:rFonts w:hint="default" w:ascii="Times New Roman" w:hAnsi="Times New Roman" w:eastAsia="仿宋_GB2312" w:cs="Times New Roman"/>
                      <w:color w:val="auto"/>
                      <w:kern w:val="2"/>
                      <w:sz w:val="21"/>
                      <w:szCs w:val="21"/>
                      <w:vertAlign w:val="baseline"/>
                      <w:lang w:val="en-US" w:eastAsia="zh-CN" w:bidi="ar-SA"/>
                    </w:rPr>
                  </w:pPr>
                </w:p>
              </w:tc>
              <w:tc>
                <w:tcPr>
                  <w:tcW w:w="2605" w:type="dxa"/>
                  <w:vMerge w:val="continue"/>
                  <w:tcBorders>
                    <w:tl2br w:val="nil"/>
                    <w:tr2bl w:val="nil"/>
                  </w:tcBorders>
                  <w:noWrap w:val="0"/>
                  <w:vAlign w:val="center"/>
                </w:tcPr>
                <w:p w14:paraId="028F85A3">
                  <w:pPr>
                    <w:widowControl w:val="0"/>
                    <w:spacing w:before="65" w:line="246" w:lineRule="auto"/>
                    <w:ind w:left="151" w:right="144"/>
                    <w:jc w:val="center"/>
                    <w:rPr>
                      <w:rFonts w:hint="default" w:ascii="Times New Roman" w:hAnsi="Times New Roman" w:eastAsia="仿宋_GB2312" w:cs="Times New Roman"/>
                      <w:color w:val="auto"/>
                      <w:kern w:val="2"/>
                      <w:sz w:val="21"/>
                      <w:szCs w:val="21"/>
                      <w:vertAlign w:val="baseline"/>
                      <w:lang w:val="en-US" w:eastAsia="zh-CN" w:bidi="ar-SA"/>
                    </w:rPr>
                  </w:pPr>
                </w:p>
              </w:tc>
            </w:tr>
          </w:tbl>
          <w:p w14:paraId="5658E541">
            <w:pPr>
              <w:pStyle w:val="57"/>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default" w:ascii="Times New Roman" w:hAnsi="Times New Roman" w:eastAsia="仿宋_GB2312" w:cs="Times New Roman"/>
                <w:color w:val="auto"/>
                <w:sz w:val="24"/>
                <w:szCs w:val="24"/>
                <w:highlight w:val="none"/>
              </w:rPr>
            </w:pPr>
          </w:p>
          <w:p w14:paraId="4AE7CFCC">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2、水污染物排放标准</w:t>
            </w:r>
          </w:p>
          <w:p w14:paraId="6958C65E">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default" w:ascii="Times New Roman" w:hAnsi="Times New Roman" w:eastAsia="仿宋_GB2312" w:cs="Times New Roman"/>
                <w:b w:val="0"/>
                <w:bCs w:val="0"/>
                <w:i w:val="0"/>
                <w:iCs w:val="0"/>
                <w:color w:val="auto"/>
                <w:kern w:val="2"/>
                <w:sz w:val="24"/>
                <w:szCs w:val="24"/>
                <w:lang w:val="en-US" w:eastAsia="zh-CN" w:bidi="ar-SA"/>
              </w:rPr>
              <w:t>项目废水主要为生活污水和洗车废水，经预处理达到</w:t>
            </w:r>
            <w:r>
              <w:rPr>
                <w:rFonts w:hint="default" w:ascii="Times New Roman" w:hAnsi="Times New Roman" w:eastAsia="仿宋_GB2312" w:cs="Times New Roman"/>
                <w:color w:val="auto"/>
                <w:spacing w:val="-2"/>
                <w:sz w:val="24"/>
                <w:szCs w:val="24"/>
              </w:rPr>
              <w:t>《污水综合排放标</w:t>
            </w:r>
            <w:r>
              <w:rPr>
                <w:rFonts w:hint="default" w:ascii="Times New Roman" w:hAnsi="Times New Roman" w:eastAsia="仿宋_GB2312" w:cs="Times New Roman"/>
                <w:color w:val="auto"/>
                <w:spacing w:val="-3"/>
                <w:sz w:val="24"/>
                <w:szCs w:val="24"/>
              </w:rPr>
              <w:t>准》（GB</w:t>
            </w:r>
            <w:r>
              <w:rPr>
                <w:rFonts w:hint="default" w:ascii="Times New Roman" w:hAnsi="Times New Roman" w:eastAsia="仿宋_GB2312" w:cs="Times New Roman"/>
                <w:color w:val="auto"/>
                <w:spacing w:val="-3"/>
                <w:sz w:val="24"/>
                <w:szCs w:val="24"/>
                <w:lang w:val="en-US" w:eastAsia="zh-CN"/>
              </w:rPr>
              <w:t xml:space="preserve"> </w:t>
            </w:r>
            <w:r>
              <w:rPr>
                <w:rFonts w:hint="default" w:ascii="Times New Roman" w:hAnsi="Times New Roman" w:eastAsia="仿宋_GB2312" w:cs="Times New Roman"/>
                <w:color w:val="auto"/>
                <w:spacing w:val="-3"/>
                <w:sz w:val="24"/>
                <w:szCs w:val="24"/>
              </w:rPr>
              <w:t>8978-1996）表4</w:t>
            </w:r>
            <w:r>
              <w:rPr>
                <w:rFonts w:hint="default" w:ascii="Times New Roman" w:hAnsi="Times New Roman" w:eastAsia="仿宋_GB2312" w:cs="Times New Roman"/>
                <w:color w:val="auto"/>
                <w:spacing w:val="-4"/>
                <w:sz w:val="24"/>
                <w:szCs w:val="24"/>
              </w:rPr>
              <w:t>三级排放标准</w:t>
            </w:r>
            <w:r>
              <w:rPr>
                <w:rFonts w:hint="default" w:ascii="Times New Roman" w:hAnsi="Times New Roman" w:eastAsia="仿宋_GB2312" w:cs="Times New Roman"/>
                <w:color w:val="auto"/>
                <w:spacing w:val="-4"/>
                <w:sz w:val="24"/>
                <w:szCs w:val="24"/>
                <w:lang w:eastAsia="zh-CN"/>
              </w:rPr>
              <w:t>和</w:t>
            </w:r>
            <w:r>
              <w:rPr>
                <w:rStyle w:val="54"/>
                <w:rFonts w:hint="default" w:ascii="Times New Roman" w:hAnsi="Times New Roman" w:eastAsia="仿宋_GB2312" w:cs="Times New Roman"/>
                <w:b w:val="0"/>
                <w:bCs w:val="0"/>
                <w:i w:val="0"/>
                <w:iCs w:val="0"/>
                <w:color w:val="auto"/>
                <w:kern w:val="2"/>
                <w:sz w:val="24"/>
                <w:szCs w:val="24"/>
                <w:lang w:val="en-US" w:eastAsia="zh-CN" w:bidi="ar-SA"/>
              </w:rPr>
              <w:t>东至国祯水处理有限公司接管标准后经市政污水管网，进入东至国祯水处理有限公司处理达标后排放。</w:t>
            </w:r>
          </w:p>
          <w:p w14:paraId="3C37170F">
            <w:pPr>
              <w:pStyle w:val="57"/>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表3-</w:t>
            </w:r>
            <w:r>
              <w:rPr>
                <w:rFonts w:hint="default" w:ascii="Times New Roman" w:hAnsi="Times New Roman" w:eastAsia="仿宋_GB2312" w:cs="Times New Roman"/>
                <w:color w:val="auto"/>
                <w:sz w:val="24"/>
                <w:szCs w:val="24"/>
                <w:highlight w:val="none"/>
                <w:lang w:val="en-US" w:eastAsia="zh-CN"/>
              </w:rPr>
              <w:t>6</w:t>
            </w:r>
            <w:r>
              <w:rPr>
                <w:rFonts w:hint="default" w:ascii="Times New Roman" w:hAnsi="Times New Roman" w:eastAsia="仿宋_GB2312" w:cs="Times New Roman"/>
                <w:color w:val="auto"/>
                <w:sz w:val="24"/>
                <w:szCs w:val="24"/>
                <w:highlight w:val="none"/>
              </w:rPr>
              <w:t xml:space="preserve"> 废水排放执行标准</w:t>
            </w:r>
          </w:p>
          <w:tbl>
            <w:tblPr>
              <w:tblStyle w:val="52"/>
              <w:tblW w:w="7950" w:type="dxa"/>
              <w:tblInd w:w="3"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1453"/>
              <w:gridCol w:w="806"/>
              <w:gridCol w:w="1753"/>
              <w:gridCol w:w="1312"/>
              <w:gridCol w:w="1312"/>
              <w:gridCol w:w="1314"/>
            </w:tblGrid>
            <w:tr w14:paraId="44A10C2B">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259" w:type="dxa"/>
                  <w:gridSpan w:val="2"/>
                  <w:vMerge w:val="restart"/>
                  <w:tcBorders>
                    <w:tl2br w:val="nil"/>
                    <w:tr2bl w:val="nil"/>
                  </w:tcBorders>
                  <w:noWrap w:val="0"/>
                  <w:vAlign w:val="center"/>
                </w:tcPr>
                <w:p w14:paraId="5DE75C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污染物</w:t>
                  </w:r>
                </w:p>
              </w:tc>
              <w:tc>
                <w:tcPr>
                  <w:tcW w:w="1753" w:type="dxa"/>
                  <w:vMerge w:val="restart"/>
                  <w:tcBorders>
                    <w:tl2br w:val="nil"/>
                    <w:tr2bl w:val="nil"/>
                  </w:tcBorders>
                  <w:noWrap w:val="0"/>
                  <w:vAlign w:val="center"/>
                </w:tcPr>
                <w:p w14:paraId="58C60D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GB8978-1996表4三级排放标准</w:t>
                  </w:r>
                </w:p>
              </w:tc>
              <w:tc>
                <w:tcPr>
                  <w:tcW w:w="2624" w:type="dxa"/>
                  <w:gridSpan w:val="2"/>
                  <w:tcBorders>
                    <w:tl2br w:val="nil"/>
                    <w:tr2bl w:val="nil"/>
                  </w:tcBorders>
                  <w:noWrap w:val="0"/>
                  <w:vAlign w:val="center"/>
                </w:tcPr>
                <w:p w14:paraId="4CF0CA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bCs/>
                      <w:i w:val="0"/>
                      <w:iCs w:val="0"/>
                      <w:color w:val="auto"/>
                      <w:kern w:val="2"/>
                      <w:sz w:val="21"/>
                      <w:szCs w:val="21"/>
                      <w:lang w:val="en-US" w:eastAsia="zh-CN" w:bidi="ar-SA"/>
                    </w:rPr>
                  </w:pPr>
                  <w:r>
                    <w:rPr>
                      <w:rStyle w:val="54"/>
                      <w:rFonts w:hint="default" w:ascii="Times New Roman" w:hAnsi="Times New Roman" w:eastAsia="仿宋_GB2312" w:cs="Times New Roman"/>
                      <w:b/>
                      <w:bCs/>
                      <w:i w:val="0"/>
                      <w:iCs w:val="0"/>
                      <w:color w:val="auto"/>
                      <w:kern w:val="2"/>
                      <w:sz w:val="21"/>
                      <w:szCs w:val="21"/>
                      <w:lang w:val="en-US" w:eastAsia="zh-CN" w:bidi="ar-SA"/>
                    </w:rPr>
                    <w:t>东至国祯水处理有限公司</w:t>
                  </w:r>
                </w:p>
              </w:tc>
              <w:tc>
                <w:tcPr>
                  <w:tcW w:w="1314" w:type="dxa"/>
                  <w:vMerge w:val="restart"/>
                  <w:tcBorders>
                    <w:tl2br w:val="nil"/>
                    <w:tr2bl w:val="nil"/>
                  </w:tcBorders>
                  <w:noWrap w:val="0"/>
                  <w:vAlign w:val="center"/>
                </w:tcPr>
                <w:p w14:paraId="3D074B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bCs/>
                      <w:i w:val="0"/>
                      <w:iCs w:val="0"/>
                      <w:color w:val="auto"/>
                      <w:kern w:val="2"/>
                      <w:sz w:val="21"/>
                      <w:szCs w:val="21"/>
                      <w:lang w:val="en-US" w:eastAsia="zh-CN" w:bidi="ar-SA"/>
                    </w:rPr>
                  </w:pPr>
                  <w:r>
                    <w:rPr>
                      <w:rStyle w:val="54"/>
                      <w:rFonts w:hint="default" w:ascii="Times New Roman" w:hAnsi="Times New Roman" w:eastAsia="仿宋_GB2312" w:cs="Times New Roman"/>
                      <w:b/>
                      <w:bCs/>
                      <w:i w:val="0"/>
                      <w:iCs w:val="0"/>
                      <w:color w:val="auto"/>
                      <w:kern w:val="2"/>
                      <w:sz w:val="21"/>
                      <w:szCs w:val="21"/>
                      <w:lang w:val="en-US" w:eastAsia="zh-CN" w:bidi="ar-SA"/>
                    </w:rPr>
                    <w:t>项目排口</w:t>
                  </w:r>
                </w:p>
                <w:p w14:paraId="4E1326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bCs/>
                      <w:i w:val="0"/>
                      <w:iCs w:val="0"/>
                      <w:color w:val="auto"/>
                      <w:kern w:val="2"/>
                      <w:sz w:val="21"/>
                      <w:szCs w:val="21"/>
                      <w:lang w:val="en-US" w:eastAsia="zh-CN" w:bidi="ar-SA"/>
                    </w:rPr>
                  </w:pPr>
                  <w:r>
                    <w:rPr>
                      <w:rStyle w:val="54"/>
                      <w:rFonts w:hint="default" w:ascii="Times New Roman" w:hAnsi="Times New Roman" w:eastAsia="仿宋_GB2312" w:cs="Times New Roman"/>
                      <w:b/>
                      <w:bCs/>
                      <w:i w:val="0"/>
                      <w:iCs w:val="0"/>
                      <w:color w:val="auto"/>
                      <w:kern w:val="2"/>
                      <w:sz w:val="21"/>
                      <w:szCs w:val="21"/>
                      <w:lang w:val="en-US" w:eastAsia="zh-CN" w:bidi="ar-SA"/>
                    </w:rPr>
                    <w:t>执行标准</w:t>
                  </w:r>
                </w:p>
              </w:tc>
            </w:tr>
            <w:tr w14:paraId="3BE5F7BD">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259" w:type="dxa"/>
                  <w:gridSpan w:val="2"/>
                  <w:vMerge w:val="continue"/>
                  <w:tcBorders>
                    <w:tl2br w:val="nil"/>
                    <w:tr2bl w:val="nil"/>
                  </w:tcBorders>
                  <w:noWrap w:val="0"/>
                  <w:vAlign w:val="center"/>
                </w:tcPr>
                <w:p w14:paraId="4B3572D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p>
              </w:tc>
              <w:tc>
                <w:tcPr>
                  <w:tcW w:w="1753" w:type="dxa"/>
                  <w:vMerge w:val="continue"/>
                  <w:tcBorders>
                    <w:tl2br w:val="nil"/>
                    <w:tr2bl w:val="nil"/>
                  </w:tcBorders>
                  <w:noWrap w:val="0"/>
                  <w:vAlign w:val="center"/>
                </w:tcPr>
                <w:p w14:paraId="6EEC94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p>
              </w:tc>
              <w:tc>
                <w:tcPr>
                  <w:tcW w:w="1312" w:type="dxa"/>
                  <w:tcBorders>
                    <w:tl2br w:val="nil"/>
                    <w:tr2bl w:val="nil"/>
                  </w:tcBorders>
                  <w:noWrap w:val="0"/>
                  <w:vAlign w:val="center"/>
                </w:tcPr>
                <w:p w14:paraId="2F0137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Style w:val="54"/>
                      <w:rFonts w:hint="default" w:ascii="Times New Roman" w:hAnsi="Times New Roman" w:eastAsia="仿宋_GB2312" w:cs="Times New Roman"/>
                      <w:b/>
                      <w:bCs/>
                      <w:i w:val="0"/>
                      <w:iCs w:val="0"/>
                      <w:color w:val="auto"/>
                      <w:kern w:val="2"/>
                      <w:sz w:val="21"/>
                      <w:szCs w:val="21"/>
                      <w:lang w:val="en-US" w:eastAsia="zh-CN" w:bidi="ar-SA"/>
                    </w:rPr>
                    <w:t>接管标准</w:t>
                  </w:r>
                </w:p>
              </w:tc>
              <w:tc>
                <w:tcPr>
                  <w:tcW w:w="1312" w:type="dxa"/>
                  <w:tcBorders>
                    <w:tl2br w:val="nil"/>
                    <w:tr2bl w:val="nil"/>
                  </w:tcBorders>
                  <w:noWrap w:val="0"/>
                  <w:vAlign w:val="center"/>
                </w:tcPr>
                <w:p w14:paraId="4A099D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lang w:val="en-US" w:eastAsia="zh-CN"/>
                    </w:rPr>
                    <w:t>排放标准</w:t>
                  </w:r>
                </w:p>
              </w:tc>
              <w:tc>
                <w:tcPr>
                  <w:tcW w:w="1314" w:type="dxa"/>
                  <w:vMerge w:val="continue"/>
                  <w:tcBorders>
                    <w:tl2br w:val="nil"/>
                    <w:tr2bl w:val="nil"/>
                  </w:tcBorders>
                  <w:noWrap w:val="0"/>
                  <w:vAlign w:val="center"/>
                </w:tcPr>
                <w:p w14:paraId="63C2A0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lang w:val="en-US" w:eastAsia="zh-CN"/>
                    </w:rPr>
                  </w:pPr>
                </w:p>
              </w:tc>
            </w:tr>
            <w:tr w14:paraId="25C25EC3">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53" w:type="dxa"/>
                  <w:tcBorders>
                    <w:tl2br w:val="nil"/>
                    <w:tr2bl w:val="nil"/>
                  </w:tcBorders>
                  <w:noWrap w:val="0"/>
                  <w:vAlign w:val="center"/>
                </w:tcPr>
                <w:p w14:paraId="6992B8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pH</w:t>
                  </w:r>
                </w:p>
              </w:tc>
              <w:tc>
                <w:tcPr>
                  <w:tcW w:w="806" w:type="dxa"/>
                  <w:tcBorders>
                    <w:tl2br w:val="nil"/>
                    <w:tr2bl w:val="nil"/>
                  </w:tcBorders>
                  <w:noWrap w:val="0"/>
                  <w:vAlign w:val="center"/>
                </w:tcPr>
                <w:p w14:paraId="4940C7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1753" w:type="dxa"/>
                  <w:tcBorders>
                    <w:tl2br w:val="nil"/>
                    <w:tr2bl w:val="nil"/>
                  </w:tcBorders>
                  <w:noWrap w:val="0"/>
                  <w:vAlign w:val="center"/>
                </w:tcPr>
                <w:p w14:paraId="7C3AB9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6～9</w:t>
                  </w:r>
                </w:p>
              </w:tc>
              <w:tc>
                <w:tcPr>
                  <w:tcW w:w="1312" w:type="dxa"/>
                  <w:tcBorders>
                    <w:tl2br w:val="nil"/>
                    <w:tr2bl w:val="nil"/>
                  </w:tcBorders>
                  <w:noWrap w:val="0"/>
                  <w:vAlign w:val="center"/>
                </w:tcPr>
                <w:p w14:paraId="16FCF0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6～9</w:t>
                  </w:r>
                </w:p>
              </w:tc>
              <w:tc>
                <w:tcPr>
                  <w:tcW w:w="1312" w:type="dxa"/>
                  <w:tcBorders>
                    <w:tl2br w:val="nil"/>
                    <w:tr2bl w:val="nil"/>
                  </w:tcBorders>
                  <w:noWrap w:val="0"/>
                  <w:vAlign w:val="center"/>
                </w:tcPr>
                <w:p w14:paraId="3B06CA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6～9</w:t>
                  </w:r>
                </w:p>
              </w:tc>
              <w:tc>
                <w:tcPr>
                  <w:tcW w:w="1314" w:type="dxa"/>
                  <w:tcBorders>
                    <w:tl2br w:val="nil"/>
                    <w:tr2bl w:val="nil"/>
                  </w:tcBorders>
                  <w:shd w:val="clear" w:color="auto" w:fill="auto"/>
                  <w:noWrap w:val="0"/>
                  <w:vAlign w:val="center"/>
                </w:tcPr>
                <w:p w14:paraId="36064C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6～9</w:t>
                  </w:r>
                </w:p>
              </w:tc>
            </w:tr>
            <w:tr w14:paraId="5E1EE1CD">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53" w:type="dxa"/>
                  <w:tcBorders>
                    <w:tl2br w:val="nil"/>
                    <w:tr2bl w:val="nil"/>
                  </w:tcBorders>
                  <w:noWrap w:val="0"/>
                  <w:vAlign w:val="center"/>
                </w:tcPr>
                <w:p w14:paraId="7969D3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COD</w:t>
                  </w:r>
                </w:p>
              </w:tc>
              <w:tc>
                <w:tcPr>
                  <w:tcW w:w="806" w:type="dxa"/>
                  <w:tcBorders>
                    <w:tl2br w:val="nil"/>
                    <w:tr2bl w:val="nil"/>
                  </w:tcBorders>
                  <w:noWrap w:val="0"/>
                  <w:vAlign w:val="center"/>
                </w:tcPr>
                <w:p w14:paraId="28EDD6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mg/L</w:t>
                  </w:r>
                </w:p>
              </w:tc>
              <w:tc>
                <w:tcPr>
                  <w:tcW w:w="1753" w:type="dxa"/>
                  <w:tcBorders>
                    <w:tl2br w:val="nil"/>
                    <w:tr2bl w:val="nil"/>
                  </w:tcBorders>
                  <w:noWrap w:val="0"/>
                  <w:vAlign w:val="center"/>
                </w:tcPr>
                <w:p w14:paraId="38984F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500</w:t>
                  </w:r>
                </w:p>
              </w:tc>
              <w:tc>
                <w:tcPr>
                  <w:tcW w:w="1312" w:type="dxa"/>
                  <w:tcBorders>
                    <w:tl2br w:val="nil"/>
                    <w:tr2bl w:val="nil"/>
                  </w:tcBorders>
                  <w:noWrap w:val="0"/>
                  <w:vAlign w:val="center"/>
                </w:tcPr>
                <w:p w14:paraId="364537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300</w:t>
                  </w:r>
                </w:p>
              </w:tc>
              <w:tc>
                <w:tcPr>
                  <w:tcW w:w="1312" w:type="dxa"/>
                  <w:tcBorders>
                    <w:tl2br w:val="nil"/>
                    <w:tr2bl w:val="nil"/>
                  </w:tcBorders>
                  <w:noWrap w:val="0"/>
                  <w:vAlign w:val="center"/>
                </w:tcPr>
                <w:p w14:paraId="247C2F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w:t>
                  </w:r>
                </w:p>
              </w:tc>
              <w:tc>
                <w:tcPr>
                  <w:tcW w:w="1314" w:type="dxa"/>
                  <w:tcBorders>
                    <w:tl2br w:val="nil"/>
                    <w:tr2bl w:val="nil"/>
                  </w:tcBorders>
                  <w:shd w:val="clear" w:color="auto" w:fill="auto"/>
                  <w:noWrap w:val="0"/>
                  <w:vAlign w:val="center"/>
                </w:tcPr>
                <w:p w14:paraId="3B5267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300</w:t>
                  </w:r>
                </w:p>
              </w:tc>
            </w:tr>
            <w:tr w14:paraId="2BBE57CF">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53" w:type="dxa"/>
                  <w:tcBorders>
                    <w:tl2br w:val="nil"/>
                    <w:tr2bl w:val="nil"/>
                  </w:tcBorders>
                  <w:noWrap w:val="0"/>
                  <w:vAlign w:val="center"/>
                </w:tcPr>
                <w:p w14:paraId="1189E2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BOD</w:t>
                  </w:r>
                  <w:r>
                    <w:rPr>
                      <w:rFonts w:hint="default" w:ascii="Times New Roman" w:hAnsi="Times New Roman" w:eastAsia="仿宋_GB2312" w:cs="Times New Roman"/>
                      <w:color w:val="auto"/>
                      <w:sz w:val="21"/>
                      <w:szCs w:val="21"/>
                      <w:vertAlign w:val="subscript"/>
                      <w:lang w:val="en-US" w:eastAsia="zh-CN"/>
                    </w:rPr>
                    <w:t>5</w:t>
                  </w:r>
                </w:p>
              </w:tc>
              <w:tc>
                <w:tcPr>
                  <w:tcW w:w="806" w:type="dxa"/>
                  <w:tcBorders>
                    <w:tl2br w:val="nil"/>
                    <w:tr2bl w:val="nil"/>
                  </w:tcBorders>
                  <w:noWrap w:val="0"/>
                  <w:vAlign w:val="center"/>
                </w:tcPr>
                <w:p w14:paraId="2AE029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mg/L</w:t>
                  </w:r>
                </w:p>
              </w:tc>
              <w:tc>
                <w:tcPr>
                  <w:tcW w:w="1753" w:type="dxa"/>
                  <w:tcBorders>
                    <w:tl2br w:val="nil"/>
                    <w:tr2bl w:val="nil"/>
                  </w:tcBorders>
                  <w:noWrap w:val="0"/>
                  <w:vAlign w:val="center"/>
                </w:tcPr>
                <w:p w14:paraId="1F8E9D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300</w:t>
                  </w:r>
                </w:p>
              </w:tc>
              <w:tc>
                <w:tcPr>
                  <w:tcW w:w="1312" w:type="dxa"/>
                  <w:tcBorders>
                    <w:tl2br w:val="nil"/>
                    <w:tr2bl w:val="nil"/>
                  </w:tcBorders>
                  <w:noWrap w:val="0"/>
                  <w:vAlign w:val="center"/>
                </w:tcPr>
                <w:p w14:paraId="617DB3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150</w:t>
                  </w:r>
                </w:p>
              </w:tc>
              <w:tc>
                <w:tcPr>
                  <w:tcW w:w="1312" w:type="dxa"/>
                  <w:tcBorders>
                    <w:tl2br w:val="nil"/>
                    <w:tr2bl w:val="nil"/>
                  </w:tcBorders>
                  <w:noWrap w:val="0"/>
                  <w:vAlign w:val="center"/>
                </w:tcPr>
                <w:p w14:paraId="2B8DCD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w:t>
                  </w:r>
                </w:p>
              </w:tc>
              <w:tc>
                <w:tcPr>
                  <w:tcW w:w="1314" w:type="dxa"/>
                  <w:tcBorders>
                    <w:tl2br w:val="nil"/>
                    <w:tr2bl w:val="nil"/>
                  </w:tcBorders>
                  <w:shd w:val="clear" w:color="auto" w:fill="auto"/>
                  <w:noWrap w:val="0"/>
                  <w:vAlign w:val="center"/>
                </w:tcPr>
                <w:p w14:paraId="6C5A1B6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150</w:t>
                  </w:r>
                </w:p>
              </w:tc>
            </w:tr>
            <w:tr w14:paraId="5DD4AF6F">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53" w:type="dxa"/>
                  <w:tcBorders>
                    <w:tl2br w:val="nil"/>
                    <w:tr2bl w:val="nil"/>
                  </w:tcBorders>
                  <w:noWrap w:val="0"/>
                  <w:vAlign w:val="center"/>
                </w:tcPr>
                <w:p w14:paraId="011497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NH</w:t>
                  </w:r>
                  <w:r>
                    <w:rPr>
                      <w:rFonts w:hint="default" w:ascii="Times New Roman" w:hAnsi="Times New Roman" w:eastAsia="仿宋_GB2312" w:cs="Times New Roman"/>
                      <w:color w:val="auto"/>
                      <w:sz w:val="21"/>
                      <w:szCs w:val="21"/>
                      <w:vertAlign w:val="subscript"/>
                      <w:lang w:val="en-US" w:eastAsia="zh-CN"/>
                    </w:rPr>
                    <w:t>3</w:t>
                  </w:r>
                  <w:r>
                    <w:rPr>
                      <w:rFonts w:hint="default" w:ascii="Times New Roman" w:hAnsi="Times New Roman" w:eastAsia="仿宋_GB2312" w:cs="Times New Roman"/>
                      <w:color w:val="auto"/>
                      <w:sz w:val="21"/>
                      <w:szCs w:val="21"/>
                      <w:vertAlign w:val="baseline"/>
                      <w:lang w:val="en-US" w:eastAsia="zh-CN"/>
                    </w:rPr>
                    <w:t>-N</w:t>
                  </w:r>
                </w:p>
              </w:tc>
              <w:tc>
                <w:tcPr>
                  <w:tcW w:w="806" w:type="dxa"/>
                  <w:tcBorders>
                    <w:tl2br w:val="nil"/>
                    <w:tr2bl w:val="nil"/>
                  </w:tcBorders>
                  <w:noWrap w:val="0"/>
                  <w:vAlign w:val="center"/>
                </w:tcPr>
                <w:p w14:paraId="4078D6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mg/L</w:t>
                  </w:r>
                </w:p>
              </w:tc>
              <w:tc>
                <w:tcPr>
                  <w:tcW w:w="1753" w:type="dxa"/>
                  <w:tcBorders>
                    <w:tl2br w:val="nil"/>
                    <w:tr2bl w:val="nil"/>
                  </w:tcBorders>
                  <w:noWrap w:val="0"/>
                  <w:vAlign w:val="center"/>
                </w:tcPr>
                <w:p w14:paraId="72128C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1312" w:type="dxa"/>
                  <w:tcBorders>
                    <w:tl2br w:val="nil"/>
                    <w:tr2bl w:val="nil"/>
                  </w:tcBorders>
                  <w:noWrap w:val="0"/>
                  <w:vAlign w:val="center"/>
                </w:tcPr>
                <w:p w14:paraId="47112B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25</w:t>
                  </w:r>
                </w:p>
              </w:tc>
              <w:tc>
                <w:tcPr>
                  <w:tcW w:w="1312" w:type="dxa"/>
                  <w:tcBorders>
                    <w:tl2br w:val="nil"/>
                    <w:tr2bl w:val="nil"/>
                  </w:tcBorders>
                  <w:noWrap w:val="0"/>
                  <w:vAlign w:val="center"/>
                </w:tcPr>
                <w:p w14:paraId="2BB0E8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5（8）</w:t>
                  </w:r>
                </w:p>
              </w:tc>
              <w:tc>
                <w:tcPr>
                  <w:tcW w:w="1314" w:type="dxa"/>
                  <w:tcBorders>
                    <w:tl2br w:val="nil"/>
                    <w:tr2bl w:val="nil"/>
                  </w:tcBorders>
                  <w:shd w:val="clear" w:color="auto" w:fill="auto"/>
                  <w:noWrap w:val="0"/>
                  <w:vAlign w:val="center"/>
                </w:tcPr>
                <w:p w14:paraId="01C845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25</w:t>
                  </w:r>
                </w:p>
              </w:tc>
            </w:tr>
            <w:tr w14:paraId="32DC7DD2">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53" w:type="dxa"/>
                  <w:tcBorders>
                    <w:tl2br w:val="nil"/>
                    <w:tr2bl w:val="nil"/>
                  </w:tcBorders>
                  <w:noWrap w:val="0"/>
                  <w:vAlign w:val="center"/>
                </w:tcPr>
                <w:p w14:paraId="6FAE93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总磷</w:t>
                  </w:r>
                </w:p>
              </w:tc>
              <w:tc>
                <w:tcPr>
                  <w:tcW w:w="806" w:type="dxa"/>
                  <w:tcBorders>
                    <w:tl2br w:val="nil"/>
                    <w:tr2bl w:val="nil"/>
                  </w:tcBorders>
                  <w:shd w:val="clear" w:color="auto" w:fill="auto"/>
                  <w:noWrap w:val="0"/>
                  <w:vAlign w:val="center"/>
                </w:tcPr>
                <w:p w14:paraId="72BFDE5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mg/L</w:t>
                  </w:r>
                </w:p>
              </w:tc>
              <w:tc>
                <w:tcPr>
                  <w:tcW w:w="1753" w:type="dxa"/>
                  <w:tcBorders>
                    <w:tl2br w:val="nil"/>
                    <w:tr2bl w:val="nil"/>
                  </w:tcBorders>
                  <w:noWrap w:val="0"/>
                  <w:vAlign w:val="center"/>
                </w:tcPr>
                <w:p w14:paraId="62A964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w:t>
                  </w:r>
                </w:p>
              </w:tc>
              <w:tc>
                <w:tcPr>
                  <w:tcW w:w="1312" w:type="dxa"/>
                  <w:tcBorders>
                    <w:tl2br w:val="nil"/>
                    <w:tr2bl w:val="nil"/>
                  </w:tcBorders>
                  <w:noWrap w:val="0"/>
                  <w:vAlign w:val="center"/>
                </w:tcPr>
                <w:p w14:paraId="6E5E86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3</w:t>
                  </w:r>
                </w:p>
              </w:tc>
              <w:tc>
                <w:tcPr>
                  <w:tcW w:w="1312" w:type="dxa"/>
                  <w:tcBorders>
                    <w:tl2br w:val="nil"/>
                    <w:tr2bl w:val="nil"/>
                  </w:tcBorders>
                  <w:noWrap w:val="0"/>
                  <w:vAlign w:val="center"/>
                </w:tcPr>
                <w:p w14:paraId="6CC46A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0.5</w:t>
                  </w:r>
                </w:p>
              </w:tc>
              <w:tc>
                <w:tcPr>
                  <w:tcW w:w="1314" w:type="dxa"/>
                  <w:tcBorders>
                    <w:tl2br w:val="nil"/>
                    <w:tr2bl w:val="nil"/>
                  </w:tcBorders>
                  <w:shd w:val="clear" w:color="auto" w:fill="auto"/>
                  <w:noWrap w:val="0"/>
                  <w:vAlign w:val="center"/>
                </w:tcPr>
                <w:p w14:paraId="5062A5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3</w:t>
                  </w:r>
                </w:p>
              </w:tc>
            </w:tr>
            <w:tr w14:paraId="4FFB5848">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53" w:type="dxa"/>
                  <w:tcBorders>
                    <w:tl2br w:val="nil"/>
                    <w:tr2bl w:val="nil"/>
                  </w:tcBorders>
                  <w:noWrap w:val="0"/>
                  <w:vAlign w:val="center"/>
                </w:tcPr>
                <w:p w14:paraId="66659E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总氮</w:t>
                  </w:r>
                </w:p>
              </w:tc>
              <w:tc>
                <w:tcPr>
                  <w:tcW w:w="806" w:type="dxa"/>
                  <w:tcBorders>
                    <w:tl2br w:val="nil"/>
                    <w:tr2bl w:val="nil"/>
                  </w:tcBorders>
                  <w:shd w:val="clear" w:color="auto" w:fill="auto"/>
                  <w:noWrap w:val="0"/>
                  <w:vAlign w:val="center"/>
                </w:tcPr>
                <w:p w14:paraId="63A52C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z w:val="21"/>
                      <w:szCs w:val="21"/>
                      <w:highlight w:val="none"/>
                      <w:vertAlign w:val="baseline"/>
                      <w:lang w:val="en-US" w:eastAsia="zh-CN"/>
                    </w:rPr>
                    <w:t>mg/L</w:t>
                  </w:r>
                </w:p>
              </w:tc>
              <w:tc>
                <w:tcPr>
                  <w:tcW w:w="1753" w:type="dxa"/>
                  <w:tcBorders>
                    <w:tl2br w:val="nil"/>
                    <w:tr2bl w:val="nil"/>
                  </w:tcBorders>
                  <w:noWrap w:val="0"/>
                  <w:vAlign w:val="center"/>
                </w:tcPr>
                <w:p w14:paraId="7C9AF1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w:t>
                  </w:r>
                </w:p>
              </w:tc>
              <w:tc>
                <w:tcPr>
                  <w:tcW w:w="1312" w:type="dxa"/>
                  <w:tcBorders>
                    <w:tl2br w:val="nil"/>
                    <w:tr2bl w:val="nil"/>
                  </w:tcBorders>
                  <w:noWrap w:val="0"/>
                  <w:vAlign w:val="center"/>
                </w:tcPr>
                <w:p w14:paraId="2A96E6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40</w:t>
                  </w:r>
                </w:p>
              </w:tc>
              <w:tc>
                <w:tcPr>
                  <w:tcW w:w="1312" w:type="dxa"/>
                  <w:tcBorders>
                    <w:tl2br w:val="nil"/>
                    <w:tr2bl w:val="nil"/>
                  </w:tcBorders>
                  <w:noWrap w:val="0"/>
                  <w:vAlign w:val="center"/>
                </w:tcPr>
                <w:p w14:paraId="47B27FC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15</w:t>
                  </w:r>
                </w:p>
              </w:tc>
              <w:tc>
                <w:tcPr>
                  <w:tcW w:w="1314" w:type="dxa"/>
                  <w:tcBorders>
                    <w:tl2br w:val="nil"/>
                    <w:tr2bl w:val="nil"/>
                  </w:tcBorders>
                  <w:shd w:val="clear" w:color="auto" w:fill="auto"/>
                  <w:noWrap w:val="0"/>
                  <w:vAlign w:val="center"/>
                </w:tcPr>
                <w:p w14:paraId="40635E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40</w:t>
                  </w:r>
                </w:p>
              </w:tc>
            </w:tr>
            <w:tr w14:paraId="64C7849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53" w:type="dxa"/>
                  <w:tcBorders>
                    <w:tl2br w:val="nil"/>
                    <w:tr2bl w:val="nil"/>
                  </w:tcBorders>
                  <w:noWrap w:val="0"/>
                  <w:vAlign w:val="center"/>
                </w:tcPr>
                <w:p w14:paraId="4AE6BF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SS</w:t>
                  </w:r>
                </w:p>
              </w:tc>
              <w:tc>
                <w:tcPr>
                  <w:tcW w:w="806" w:type="dxa"/>
                  <w:tcBorders>
                    <w:tl2br w:val="nil"/>
                    <w:tr2bl w:val="nil"/>
                  </w:tcBorders>
                  <w:noWrap w:val="0"/>
                  <w:vAlign w:val="center"/>
                </w:tcPr>
                <w:p w14:paraId="208FC2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mg/L</w:t>
                  </w:r>
                </w:p>
              </w:tc>
              <w:tc>
                <w:tcPr>
                  <w:tcW w:w="1753" w:type="dxa"/>
                  <w:tcBorders>
                    <w:tl2br w:val="nil"/>
                    <w:tr2bl w:val="nil"/>
                  </w:tcBorders>
                  <w:noWrap w:val="0"/>
                  <w:vAlign w:val="center"/>
                </w:tcPr>
                <w:p w14:paraId="4F455C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400</w:t>
                  </w:r>
                </w:p>
              </w:tc>
              <w:tc>
                <w:tcPr>
                  <w:tcW w:w="1312" w:type="dxa"/>
                  <w:tcBorders>
                    <w:tl2br w:val="nil"/>
                    <w:tr2bl w:val="nil"/>
                  </w:tcBorders>
                  <w:noWrap w:val="0"/>
                  <w:vAlign w:val="center"/>
                </w:tcPr>
                <w:p w14:paraId="256700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150</w:t>
                  </w:r>
                </w:p>
              </w:tc>
              <w:tc>
                <w:tcPr>
                  <w:tcW w:w="1312" w:type="dxa"/>
                  <w:tcBorders>
                    <w:tl2br w:val="nil"/>
                    <w:tr2bl w:val="nil"/>
                  </w:tcBorders>
                  <w:noWrap w:val="0"/>
                  <w:vAlign w:val="center"/>
                </w:tcPr>
                <w:p w14:paraId="5763CC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w:t>
                  </w:r>
                </w:p>
              </w:tc>
              <w:tc>
                <w:tcPr>
                  <w:tcW w:w="1314" w:type="dxa"/>
                  <w:tcBorders>
                    <w:tl2br w:val="nil"/>
                    <w:tr2bl w:val="nil"/>
                  </w:tcBorders>
                  <w:shd w:val="clear" w:color="auto" w:fill="auto"/>
                  <w:noWrap w:val="0"/>
                  <w:vAlign w:val="center"/>
                </w:tcPr>
                <w:p w14:paraId="5BF9F6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150</w:t>
                  </w:r>
                </w:p>
              </w:tc>
            </w:tr>
            <w:tr w14:paraId="71A98BA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53" w:type="dxa"/>
                  <w:tcBorders>
                    <w:tl2br w:val="nil"/>
                    <w:tr2bl w:val="nil"/>
                  </w:tcBorders>
                  <w:noWrap w:val="0"/>
                  <w:vAlign w:val="center"/>
                </w:tcPr>
                <w:p w14:paraId="6391CE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石油类</w:t>
                  </w:r>
                </w:p>
              </w:tc>
              <w:tc>
                <w:tcPr>
                  <w:tcW w:w="806" w:type="dxa"/>
                  <w:tcBorders>
                    <w:tl2br w:val="nil"/>
                    <w:tr2bl w:val="nil"/>
                  </w:tcBorders>
                  <w:noWrap w:val="0"/>
                  <w:vAlign w:val="center"/>
                </w:tcPr>
                <w:p w14:paraId="6455E7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mg/L</w:t>
                  </w:r>
                </w:p>
              </w:tc>
              <w:tc>
                <w:tcPr>
                  <w:tcW w:w="1753" w:type="dxa"/>
                  <w:tcBorders>
                    <w:tl2br w:val="nil"/>
                    <w:tr2bl w:val="nil"/>
                  </w:tcBorders>
                  <w:noWrap w:val="0"/>
                  <w:vAlign w:val="center"/>
                </w:tcPr>
                <w:p w14:paraId="75A92F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20</w:t>
                  </w:r>
                </w:p>
              </w:tc>
              <w:tc>
                <w:tcPr>
                  <w:tcW w:w="1312" w:type="dxa"/>
                  <w:tcBorders>
                    <w:tl2br w:val="nil"/>
                    <w:tr2bl w:val="nil"/>
                  </w:tcBorders>
                  <w:noWrap w:val="0"/>
                  <w:vAlign w:val="center"/>
                </w:tcPr>
                <w:p w14:paraId="7BD6DE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1312" w:type="dxa"/>
                  <w:tcBorders>
                    <w:tl2br w:val="nil"/>
                    <w:tr2bl w:val="nil"/>
                  </w:tcBorders>
                  <w:noWrap w:val="0"/>
                  <w:vAlign w:val="center"/>
                </w:tcPr>
                <w:p w14:paraId="5CBCF0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w:t>
                  </w:r>
                </w:p>
              </w:tc>
              <w:tc>
                <w:tcPr>
                  <w:tcW w:w="1314" w:type="dxa"/>
                  <w:tcBorders>
                    <w:tl2br w:val="nil"/>
                    <w:tr2bl w:val="nil"/>
                  </w:tcBorders>
                  <w:noWrap w:val="0"/>
                  <w:vAlign w:val="center"/>
                </w:tcPr>
                <w:p w14:paraId="5B9F4B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w:t>
                  </w:r>
                </w:p>
              </w:tc>
            </w:tr>
            <w:tr w14:paraId="45AAC7B9">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453" w:type="dxa"/>
                  <w:tcBorders>
                    <w:tl2br w:val="nil"/>
                    <w:tr2bl w:val="nil"/>
                  </w:tcBorders>
                  <w:noWrap w:val="0"/>
                  <w:vAlign w:val="center"/>
                </w:tcPr>
                <w:p w14:paraId="4C1D10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阴离子表面活性剂（LAS）</w:t>
                  </w:r>
                </w:p>
              </w:tc>
              <w:tc>
                <w:tcPr>
                  <w:tcW w:w="806" w:type="dxa"/>
                  <w:tcBorders>
                    <w:tl2br w:val="nil"/>
                    <w:tr2bl w:val="nil"/>
                  </w:tcBorders>
                  <w:noWrap w:val="0"/>
                  <w:vAlign w:val="center"/>
                </w:tcPr>
                <w:p w14:paraId="523993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mg/L</w:t>
                  </w:r>
                </w:p>
              </w:tc>
              <w:tc>
                <w:tcPr>
                  <w:tcW w:w="1753" w:type="dxa"/>
                  <w:tcBorders>
                    <w:tl2br w:val="nil"/>
                    <w:tr2bl w:val="nil"/>
                  </w:tcBorders>
                  <w:noWrap w:val="0"/>
                  <w:vAlign w:val="center"/>
                </w:tcPr>
                <w:p w14:paraId="5478BA7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20</w:t>
                  </w:r>
                </w:p>
              </w:tc>
              <w:tc>
                <w:tcPr>
                  <w:tcW w:w="1312" w:type="dxa"/>
                  <w:tcBorders>
                    <w:tl2br w:val="nil"/>
                    <w:tr2bl w:val="nil"/>
                  </w:tcBorders>
                  <w:noWrap w:val="0"/>
                  <w:vAlign w:val="center"/>
                </w:tcPr>
                <w:p w14:paraId="569336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1312" w:type="dxa"/>
                  <w:tcBorders>
                    <w:tl2br w:val="nil"/>
                    <w:tr2bl w:val="nil"/>
                  </w:tcBorders>
                  <w:noWrap w:val="0"/>
                  <w:vAlign w:val="center"/>
                </w:tcPr>
                <w:p w14:paraId="0C67D7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0.5</w:t>
                  </w:r>
                </w:p>
              </w:tc>
              <w:tc>
                <w:tcPr>
                  <w:tcW w:w="1314" w:type="dxa"/>
                  <w:tcBorders>
                    <w:tl2br w:val="nil"/>
                    <w:tr2bl w:val="nil"/>
                  </w:tcBorders>
                  <w:noWrap w:val="0"/>
                  <w:vAlign w:val="center"/>
                </w:tcPr>
                <w:p w14:paraId="56718D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w:t>
                  </w:r>
                </w:p>
              </w:tc>
            </w:tr>
          </w:tbl>
          <w:p w14:paraId="19E83559">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3、噪声排放标准</w:t>
            </w:r>
          </w:p>
          <w:p w14:paraId="1E739A6E">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default" w:ascii="Times New Roman" w:hAnsi="Times New Roman" w:eastAsia="仿宋_GB2312" w:cs="Times New Roman"/>
                <w:b w:val="0"/>
                <w:bCs w:val="0"/>
                <w:i w:val="0"/>
                <w:iCs w:val="0"/>
                <w:color w:val="auto"/>
                <w:kern w:val="2"/>
                <w:sz w:val="24"/>
                <w:szCs w:val="24"/>
                <w:lang w:val="en-US" w:eastAsia="zh-CN" w:bidi="ar-SA"/>
              </w:rPr>
              <w:t>项目施工期噪声执行《建筑施工噪声排放标准》（GB 12523-2025）；运营期项目西厂界噪声排放执行《工业企业厂界环境噪声排放标准》（GB 12348-2008）中的4类标准；东、南、北厂界噪声排放执行《工业企业厂界环境噪声排放标准》（GB 12348-2008）中的2类标准，标准值见下表：</w:t>
            </w:r>
          </w:p>
          <w:p w14:paraId="187DC81D">
            <w:pPr>
              <w:pStyle w:val="57"/>
              <w:keepNext w:val="0"/>
              <w:keepLines w:val="0"/>
              <w:pageBreakBefore w:val="0"/>
              <w:widowControl w:val="0"/>
              <w:kinsoku/>
              <w:wordWrap/>
              <w:overflowPunct/>
              <w:topLinePunct w:val="0"/>
              <w:autoSpaceDE/>
              <w:autoSpaceDN/>
              <w:bidi w:val="0"/>
              <w:adjustRightInd/>
              <w:snapToGrid/>
              <w:spacing w:beforeLines="0" w:afterLines="0" w:line="240" w:lineRule="auto"/>
              <w:ind w:left="0" w:leftChars="0" w:firstLine="2749" w:firstLineChars="1141"/>
              <w:jc w:val="both"/>
              <w:textAlignment w:val="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表</w:t>
            </w:r>
            <w:r>
              <w:rPr>
                <w:rFonts w:hint="default" w:ascii="Times New Roman" w:hAnsi="Times New Roman" w:eastAsia="仿宋_GB2312" w:cs="Times New Roman"/>
                <w:color w:val="auto"/>
                <w:sz w:val="24"/>
                <w:szCs w:val="24"/>
                <w:highlight w:val="none"/>
                <w:lang w:val="en-US" w:eastAsia="zh-CN"/>
              </w:rPr>
              <w:t>3</w:t>
            </w:r>
            <w:r>
              <w:rPr>
                <w:rFonts w:hint="default" w:ascii="Times New Roman" w:hAnsi="Times New Roman" w:eastAsia="仿宋_GB2312" w:cs="Times New Roman"/>
                <w:color w:val="auto"/>
                <w:sz w:val="24"/>
                <w:szCs w:val="24"/>
                <w:highlight w:val="none"/>
              </w:rPr>
              <w:t>-</w:t>
            </w:r>
            <w:r>
              <w:rPr>
                <w:rFonts w:hint="default" w:ascii="Times New Roman" w:hAnsi="Times New Roman" w:eastAsia="仿宋_GB2312" w:cs="Times New Roman"/>
                <w:color w:val="auto"/>
                <w:sz w:val="24"/>
                <w:szCs w:val="24"/>
                <w:highlight w:val="none"/>
                <w:lang w:val="en-US" w:eastAsia="zh-CN"/>
              </w:rPr>
              <w:t>7</w:t>
            </w:r>
            <w:r>
              <w:rPr>
                <w:rFonts w:hint="default" w:ascii="Times New Roman" w:hAnsi="Times New Roman" w:eastAsia="仿宋_GB2312" w:cs="Times New Roman"/>
                <w:color w:val="auto"/>
                <w:sz w:val="24"/>
                <w:szCs w:val="24"/>
                <w:highlight w:val="none"/>
              </w:rPr>
              <w:t xml:space="preserve"> </w:t>
            </w:r>
            <w:r>
              <w:rPr>
                <w:rFonts w:hint="default" w:ascii="Times New Roman" w:hAnsi="Times New Roman" w:eastAsia="仿宋_GB2312" w:cs="Times New Roman"/>
                <w:color w:val="auto"/>
                <w:sz w:val="24"/>
                <w:szCs w:val="24"/>
                <w:highlight w:val="none"/>
                <w:lang w:eastAsia="zh-CN"/>
              </w:rPr>
              <w:t>项目</w:t>
            </w:r>
            <w:r>
              <w:rPr>
                <w:rFonts w:hint="default" w:ascii="Times New Roman" w:hAnsi="Times New Roman" w:eastAsia="仿宋_GB2312" w:cs="Times New Roman"/>
                <w:color w:val="auto"/>
                <w:sz w:val="24"/>
                <w:szCs w:val="24"/>
                <w:highlight w:val="none"/>
              </w:rPr>
              <w:t xml:space="preserve">噪声排放标准  </w:t>
            </w:r>
            <w:r>
              <w:rPr>
                <w:rFonts w:hint="default" w:ascii="Times New Roman" w:hAnsi="Times New Roman" w:eastAsia="仿宋_GB2312" w:cs="Times New Roman"/>
                <w:color w:val="auto"/>
                <w:sz w:val="24"/>
                <w:szCs w:val="24"/>
                <w:highlight w:val="none"/>
                <w:lang w:val="en-US" w:eastAsia="zh-CN"/>
              </w:rPr>
              <w:t xml:space="preserve">      </w:t>
            </w:r>
            <w:r>
              <w:rPr>
                <w:rFonts w:hint="default" w:ascii="Times New Roman" w:hAnsi="Times New Roman" w:eastAsia="仿宋_GB2312" w:cs="Times New Roman"/>
                <w:color w:val="auto"/>
                <w:sz w:val="24"/>
                <w:szCs w:val="24"/>
                <w:highlight w:val="none"/>
              </w:rPr>
              <w:t xml:space="preserve"> 单位：dB（A）</w:t>
            </w:r>
          </w:p>
          <w:p w14:paraId="49C12A94">
            <w:pPr>
              <w:spacing w:line="19" w:lineRule="exact"/>
              <w:rPr>
                <w:rFonts w:hint="default" w:ascii="Times New Roman" w:hAnsi="Times New Roman" w:eastAsia="仿宋_GB2312" w:cs="Times New Roman"/>
                <w:color w:val="auto"/>
                <w:sz w:val="24"/>
                <w:szCs w:val="24"/>
              </w:rPr>
            </w:pPr>
          </w:p>
          <w:tbl>
            <w:tblPr>
              <w:tblStyle w:val="52"/>
              <w:tblW w:w="7844" w:type="dxa"/>
              <w:tblInd w:w="109"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934"/>
              <w:gridCol w:w="2150"/>
              <w:gridCol w:w="1075"/>
              <w:gridCol w:w="1075"/>
              <w:gridCol w:w="2610"/>
            </w:tblGrid>
            <w:tr w14:paraId="00A5BBC9">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3084" w:type="dxa"/>
                  <w:gridSpan w:val="2"/>
                  <w:tcBorders>
                    <w:tl2br w:val="nil"/>
                    <w:tr2bl w:val="nil"/>
                  </w:tcBorders>
                  <w:noWrap w:val="0"/>
                  <w:vAlign w:val="center"/>
                </w:tcPr>
                <w:p w14:paraId="276816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时 期</w:t>
                  </w:r>
                </w:p>
              </w:tc>
              <w:tc>
                <w:tcPr>
                  <w:tcW w:w="1075" w:type="dxa"/>
                  <w:tcBorders>
                    <w:tl2br w:val="nil"/>
                    <w:tr2bl w:val="nil"/>
                  </w:tcBorders>
                  <w:noWrap w:val="0"/>
                  <w:vAlign w:val="center"/>
                </w:tcPr>
                <w:p w14:paraId="155CCD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昼间</w:t>
                  </w:r>
                </w:p>
              </w:tc>
              <w:tc>
                <w:tcPr>
                  <w:tcW w:w="1075" w:type="dxa"/>
                  <w:tcBorders>
                    <w:tl2br w:val="nil"/>
                    <w:tr2bl w:val="nil"/>
                  </w:tcBorders>
                  <w:noWrap w:val="0"/>
                  <w:vAlign w:val="center"/>
                </w:tcPr>
                <w:p w14:paraId="6AE700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夜间</w:t>
                  </w:r>
                </w:p>
              </w:tc>
              <w:tc>
                <w:tcPr>
                  <w:tcW w:w="2610" w:type="dxa"/>
                  <w:tcBorders>
                    <w:tl2br w:val="nil"/>
                    <w:tr2bl w:val="nil"/>
                  </w:tcBorders>
                  <w:noWrap w:val="0"/>
                  <w:vAlign w:val="center"/>
                </w:tcPr>
                <w:p w14:paraId="2181B1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标准来源</w:t>
                  </w:r>
                </w:p>
              </w:tc>
            </w:tr>
            <w:tr w14:paraId="15E6D9C6">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3084" w:type="dxa"/>
                  <w:gridSpan w:val="2"/>
                  <w:tcBorders>
                    <w:tl2br w:val="nil"/>
                    <w:tr2bl w:val="nil"/>
                  </w:tcBorders>
                  <w:noWrap w:val="0"/>
                  <w:vAlign w:val="center"/>
                </w:tcPr>
                <w:p w14:paraId="7C46DB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施工期</w:t>
                  </w:r>
                </w:p>
              </w:tc>
              <w:tc>
                <w:tcPr>
                  <w:tcW w:w="1075" w:type="dxa"/>
                  <w:tcBorders>
                    <w:tl2br w:val="nil"/>
                    <w:tr2bl w:val="nil"/>
                  </w:tcBorders>
                  <w:noWrap w:val="0"/>
                  <w:vAlign w:val="center"/>
                </w:tcPr>
                <w:p w14:paraId="7B4C08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70</w:t>
                  </w:r>
                </w:p>
              </w:tc>
              <w:tc>
                <w:tcPr>
                  <w:tcW w:w="1075" w:type="dxa"/>
                  <w:tcBorders>
                    <w:tl2br w:val="nil"/>
                    <w:tr2bl w:val="nil"/>
                  </w:tcBorders>
                  <w:noWrap w:val="0"/>
                  <w:vAlign w:val="center"/>
                </w:tcPr>
                <w:p w14:paraId="33AC195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55</w:t>
                  </w:r>
                </w:p>
              </w:tc>
              <w:tc>
                <w:tcPr>
                  <w:tcW w:w="2610" w:type="dxa"/>
                  <w:tcBorders>
                    <w:tl2br w:val="nil"/>
                    <w:tr2bl w:val="nil"/>
                  </w:tcBorders>
                  <w:noWrap w:val="0"/>
                  <w:vAlign w:val="center"/>
                </w:tcPr>
                <w:p w14:paraId="08904A1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kern w:val="2"/>
                      <w:sz w:val="21"/>
                      <w:szCs w:val="21"/>
                      <w:lang w:val="en-US" w:eastAsia="zh-CN" w:bidi="ar-SA"/>
                    </w:rPr>
                    <w:t>GB 12523-2025</w:t>
                  </w:r>
                </w:p>
              </w:tc>
            </w:tr>
            <w:tr w14:paraId="60F45A1B">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934" w:type="dxa"/>
                  <w:vMerge w:val="restart"/>
                  <w:tcBorders>
                    <w:tl2br w:val="nil"/>
                    <w:tr2bl w:val="nil"/>
                  </w:tcBorders>
                  <w:noWrap w:val="0"/>
                  <w:vAlign w:val="center"/>
                </w:tcPr>
                <w:p w14:paraId="488828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运营期</w:t>
                  </w:r>
                </w:p>
              </w:tc>
              <w:tc>
                <w:tcPr>
                  <w:tcW w:w="2150" w:type="dxa"/>
                  <w:tcBorders>
                    <w:tl2br w:val="nil"/>
                    <w:tr2bl w:val="nil"/>
                  </w:tcBorders>
                  <w:noWrap w:val="0"/>
                  <w:vAlign w:val="center"/>
                </w:tcPr>
                <w:p w14:paraId="51AD6D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东、南、北厂界</w:t>
                  </w:r>
                </w:p>
              </w:tc>
              <w:tc>
                <w:tcPr>
                  <w:tcW w:w="1075" w:type="dxa"/>
                  <w:tcBorders>
                    <w:tl2br w:val="nil"/>
                    <w:tr2bl w:val="nil"/>
                  </w:tcBorders>
                  <w:noWrap w:val="0"/>
                  <w:vAlign w:val="center"/>
                </w:tcPr>
                <w:p w14:paraId="6D7FEF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60</w:t>
                  </w:r>
                </w:p>
              </w:tc>
              <w:tc>
                <w:tcPr>
                  <w:tcW w:w="1075" w:type="dxa"/>
                  <w:tcBorders>
                    <w:tl2br w:val="nil"/>
                    <w:tr2bl w:val="nil"/>
                  </w:tcBorders>
                  <w:noWrap w:val="0"/>
                  <w:vAlign w:val="center"/>
                </w:tcPr>
                <w:p w14:paraId="6EA8B3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w:t>
                  </w:r>
                </w:p>
              </w:tc>
              <w:tc>
                <w:tcPr>
                  <w:tcW w:w="2610" w:type="dxa"/>
                  <w:tcBorders>
                    <w:tl2br w:val="nil"/>
                    <w:tr2bl w:val="nil"/>
                  </w:tcBorders>
                  <w:noWrap w:val="0"/>
                  <w:vAlign w:val="center"/>
                </w:tcPr>
                <w:p w14:paraId="23E109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kern w:val="2"/>
                      <w:sz w:val="21"/>
                      <w:szCs w:val="21"/>
                      <w:lang w:val="en-US" w:eastAsia="zh-CN" w:bidi="ar-SA"/>
                    </w:rPr>
                    <w:t>GB 12348-2008的2类</w:t>
                  </w:r>
                </w:p>
              </w:tc>
            </w:tr>
            <w:tr w14:paraId="63C9809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934" w:type="dxa"/>
                  <w:vMerge w:val="continue"/>
                  <w:tcBorders>
                    <w:tl2br w:val="nil"/>
                    <w:tr2bl w:val="nil"/>
                  </w:tcBorders>
                  <w:noWrap w:val="0"/>
                  <w:vAlign w:val="center"/>
                </w:tcPr>
                <w:p w14:paraId="74E7E5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2150" w:type="dxa"/>
                  <w:tcBorders>
                    <w:tl2br w:val="nil"/>
                    <w:tr2bl w:val="nil"/>
                  </w:tcBorders>
                  <w:noWrap w:val="0"/>
                  <w:vAlign w:val="center"/>
                </w:tcPr>
                <w:p w14:paraId="542F93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西厂界</w:t>
                  </w:r>
                </w:p>
              </w:tc>
              <w:tc>
                <w:tcPr>
                  <w:tcW w:w="1075" w:type="dxa"/>
                  <w:tcBorders>
                    <w:tl2br w:val="nil"/>
                    <w:tr2bl w:val="nil"/>
                  </w:tcBorders>
                  <w:noWrap w:val="0"/>
                  <w:vAlign w:val="center"/>
                </w:tcPr>
                <w:p w14:paraId="2C47BB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70</w:t>
                  </w:r>
                </w:p>
              </w:tc>
              <w:tc>
                <w:tcPr>
                  <w:tcW w:w="1075" w:type="dxa"/>
                  <w:tcBorders>
                    <w:tl2br w:val="nil"/>
                    <w:tr2bl w:val="nil"/>
                  </w:tcBorders>
                  <w:noWrap w:val="0"/>
                  <w:vAlign w:val="center"/>
                </w:tcPr>
                <w:p w14:paraId="175451C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55</w:t>
                  </w:r>
                </w:p>
              </w:tc>
              <w:tc>
                <w:tcPr>
                  <w:tcW w:w="2610" w:type="dxa"/>
                  <w:tcBorders>
                    <w:tl2br w:val="nil"/>
                    <w:tr2bl w:val="nil"/>
                  </w:tcBorders>
                  <w:noWrap w:val="0"/>
                  <w:vAlign w:val="center"/>
                </w:tcPr>
                <w:p w14:paraId="1B117A8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kern w:val="2"/>
                      <w:sz w:val="21"/>
                      <w:szCs w:val="21"/>
                      <w:lang w:val="en-US" w:eastAsia="zh-CN" w:bidi="ar-SA"/>
                    </w:rPr>
                  </w:pPr>
                  <w:r>
                    <w:rPr>
                      <w:rStyle w:val="54"/>
                      <w:rFonts w:hint="default" w:ascii="Times New Roman" w:hAnsi="Times New Roman" w:eastAsia="仿宋_GB2312" w:cs="Times New Roman"/>
                      <w:b w:val="0"/>
                      <w:bCs w:val="0"/>
                      <w:i w:val="0"/>
                      <w:iCs w:val="0"/>
                      <w:color w:val="auto"/>
                      <w:kern w:val="2"/>
                      <w:sz w:val="21"/>
                      <w:szCs w:val="21"/>
                      <w:lang w:val="en-US" w:eastAsia="zh-CN" w:bidi="ar-SA"/>
                    </w:rPr>
                    <w:t>GB 12348-2008的4类</w:t>
                  </w:r>
                </w:p>
                <w:p w14:paraId="23A7FC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kern w:val="2"/>
                      <w:sz w:val="21"/>
                      <w:szCs w:val="21"/>
                      <w:lang w:val="en-US" w:eastAsia="zh-CN" w:bidi="ar-SA"/>
                    </w:rPr>
                    <w:t>（临近G206）</w:t>
                  </w:r>
                </w:p>
              </w:tc>
            </w:tr>
          </w:tbl>
          <w:p w14:paraId="3ABCC586">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4、固体废物控制标准</w:t>
            </w:r>
          </w:p>
          <w:p w14:paraId="63BF988E">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
                <w:bCs/>
                <w:color w:val="auto"/>
                <w:kern w:val="0"/>
                <w:sz w:val="24"/>
                <w:szCs w:val="24"/>
              </w:rPr>
            </w:pPr>
            <w:r>
              <w:rPr>
                <w:rStyle w:val="54"/>
                <w:rFonts w:hint="default" w:ascii="Times New Roman" w:hAnsi="Times New Roman" w:eastAsia="仿宋_GB2312" w:cs="Times New Roman"/>
                <w:b w:val="0"/>
                <w:bCs w:val="0"/>
                <w:i w:val="0"/>
                <w:iCs w:val="0"/>
                <w:color w:val="auto"/>
                <w:kern w:val="2"/>
                <w:sz w:val="24"/>
                <w:szCs w:val="24"/>
                <w:lang w:val="en-US" w:eastAsia="zh-CN" w:bidi="ar-SA"/>
              </w:rPr>
              <w:t>项目生产过程中一般固废执行《一般工业固体废物贮存和填埋污染控制标准》（GB 18599-2020）；危险固废的暂存执行《危险废物贮存污染控制标准》（GB 18597-2023）。同时，还应执行《中华人民共和国固体废物污染环境防治法》（2020年4月29日修订）第二十条“产生、收集、贮存、运输、利用、处置固体废物的单位和其他生产经营者，应当采取防扬散、防流失、防渗漏或者其他防止污染环境的措施，不得擅自倾倒、堆放、丢弃、遗撒固体废物。”</w:t>
            </w:r>
          </w:p>
        </w:tc>
      </w:tr>
      <w:tr w14:paraId="1F3450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386" w:hRule="atLeast"/>
          <w:jc w:val="center"/>
        </w:trPr>
        <w:tc>
          <w:tcPr>
            <w:tcW w:w="800" w:type="dxa"/>
            <w:noWrap w:val="0"/>
            <w:vAlign w:val="center"/>
          </w:tcPr>
          <w:p w14:paraId="28663B90">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总量</w:t>
            </w:r>
          </w:p>
          <w:p w14:paraId="0D33C463">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控制</w:t>
            </w:r>
          </w:p>
          <w:p w14:paraId="689E530A">
            <w:pPr>
              <w:adjustRightInd w:val="0"/>
              <w:snapToGrid w:val="0"/>
              <w:jc w:val="center"/>
              <w:rPr>
                <w:rFonts w:hint="default" w:ascii="Times New Roman" w:hAnsi="Times New Roman" w:eastAsia="仿宋_GB2312" w:cs="Times New Roman"/>
                <w:color w:val="auto"/>
                <w:kern w:val="0"/>
                <w:sz w:val="24"/>
                <w:szCs w:val="24"/>
              </w:rPr>
            </w:pPr>
            <w:r>
              <w:rPr>
                <w:rFonts w:hint="default" w:ascii="Times New Roman" w:hAnsi="Times New Roman" w:eastAsia="仿宋_GB2312" w:cs="Times New Roman"/>
                <w:color w:val="auto"/>
                <w:kern w:val="0"/>
                <w:sz w:val="24"/>
                <w:szCs w:val="24"/>
              </w:rPr>
              <w:t>指标</w:t>
            </w:r>
          </w:p>
        </w:tc>
        <w:tc>
          <w:tcPr>
            <w:tcW w:w="8190" w:type="dxa"/>
            <w:noWrap w:val="0"/>
            <w:vAlign w:val="center"/>
          </w:tcPr>
          <w:p w14:paraId="3FB6AD19">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kern w:val="2"/>
                <w:sz w:val="24"/>
                <w:szCs w:val="24"/>
                <w:lang w:val="en-US" w:eastAsia="zh-CN" w:bidi="ar-SA"/>
              </w:rPr>
            </w:pPr>
            <w:r>
              <w:rPr>
                <w:rStyle w:val="54"/>
                <w:rFonts w:hint="default" w:ascii="Times New Roman" w:hAnsi="Times New Roman" w:eastAsia="仿宋_GB2312" w:cs="Times New Roman"/>
                <w:b w:val="0"/>
                <w:bCs w:val="0"/>
                <w:i w:val="0"/>
                <w:iCs w:val="0"/>
                <w:color w:val="auto"/>
                <w:kern w:val="2"/>
                <w:sz w:val="24"/>
                <w:szCs w:val="24"/>
                <w:lang w:val="en-US" w:eastAsia="zh-CN" w:bidi="ar-SA"/>
              </w:rPr>
              <w:t>根据《国务院关于印发&lt;“十四五”节能减排综合工作方案&gt;的通知》（国发[2021]33号）、《安徽省环保厅关于进一步加强建设项目新增大气主要污染物总量控制指标管理工作的通知》（皖环发[2017]19号）及相关文件要求，目前国家对</w:t>
            </w:r>
            <w:r>
              <w:rPr>
                <w:rStyle w:val="54"/>
                <w:rFonts w:hint="default" w:ascii="Times New Roman" w:hAnsi="Times New Roman" w:eastAsia="仿宋_GB2312" w:cs="Times New Roman"/>
                <w:b w:val="0"/>
                <w:bCs w:val="0"/>
                <w:i w:val="0"/>
                <w:iCs w:val="0"/>
                <w:color w:val="auto"/>
                <w:sz w:val="24"/>
                <w:szCs w:val="24"/>
                <w:lang w:eastAsia="zh-CN"/>
              </w:rPr>
              <w:t>化学需氧量（COD）、氨氮（NH</w:t>
            </w:r>
            <w:r>
              <w:rPr>
                <w:rStyle w:val="54"/>
                <w:rFonts w:hint="default" w:ascii="Times New Roman" w:hAnsi="Times New Roman" w:eastAsia="仿宋_GB2312" w:cs="Times New Roman"/>
                <w:b w:val="0"/>
                <w:bCs w:val="0"/>
                <w:i w:val="0"/>
                <w:iCs w:val="0"/>
                <w:color w:val="auto"/>
                <w:sz w:val="24"/>
                <w:szCs w:val="24"/>
                <w:vertAlign w:val="subscript"/>
                <w:lang w:eastAsia="zh-CN"/>
              </w:rPr>
              <w:t>3</w:t>
            </w:r>
            <w:r>
              <w:rPr>
                <w:rStyle w:val="54"/>
                <w:rFonts w:hint="default" w:ascii="Times New Roman" w:hAnsi="Times New Roman" w:eastAsia="仿宋_GB2312" w:cs="Times New Roman"/>
                <w:b w:val="0"/>
                <w:bCs w:val="0"/>
                <w:i w:val="0"/>
                <w:iCs w:val="0"/>
                <w:color w:val="auto"/>
                <w:sz w:val="24"/>
                <w:szCs w:val="24"/>
                <w:lang w:eastAsia="zh-CN"/>
              </w:rPr>
              <w:t>-N）、二氧化硫（SO</w:t>
            </w:r>
            <w:r>
              <w:rPr>
                <w:rStyle w:val="54"/>
                <w:rFonts w:hint="default" w:ascii="Times New Roman" w:hAnsi="Times New Roman" w:eastAsia="仿宋_GB2312" w:cs="Times New Roman"/>
                <w:b w:val="0"/>
                <w:bCs w:val="0"/>
                <w:i w:val="0"/>
                <w:iCs w:val="0"/>
                <w:color w:val="auto"/>
                <w:sz w:val="24"/>
                <w:szCs w:val="24"/>
                <w:vertAlign w:val="subscript"/>
                <w:lang w:eastAsia="zh-CN"/>
              </w:rPr>
              <w:t>2</w:t>
            </w:r>
            <w:r>
              <w:rPr>
                <w:rStyle w:val="54"/>
                <w:rFonts w:hint="default" w:ascii="Times New Roman" w:hAnsi="Times New Roman" w:eastAsia="仿宋_GB2312" w:cs="Times New Roman"/>
                <w:b w:val="0"/>
                <w:bCs w:val="0"/>
                <w:i w:val="0"/>
                <w:iCs w:val="0"/>
                <w:color w:val="auto"/>
                <w:sz w:val="24"/>
                <w:szCs w:val="24"/>
                <w:lang w:eastAsia="zh-CN"/>
              </w:rPr>
              <w:t>）、氮氧化物（NOx）、烟粉尘、有机废气（VOC</w:t>
            </w:r>
            <w:r>
              <w:rPr>
                <w:rStyle w:val="54"/>
                <w:rFonts w:hint="default" w:ascii="Times New Roman" w:hAnsi="Times New Roman" w:eastAsia="仿宋_GB2312" w:cs="Times New Roman"/>
                <w:b w:val="0"/>
                <w:bCs w:val="0"/>
                <w:i w:val="0"/>
                <w:iCs w:val="0"/>
                <w:color w:val="auto"/>
                <w:sz w:val="24"/>
                <w:szCs w:val="24"/>
                <w:vertAlign w:val="subscript"/>
                <w:lang w:val="en-US" w:eastAsia="zh-CN"/>
              </w:rPr>
              <w:t>S</w:t>
            </w:r>
            <w:r>
              <w:rPr>
                <w:rStyle w:val="54"/>
                <w:rFonts w:hint="default" w:ascii="Times New Roman" w:hAnsi="Times New Roman" w:eastAsia="仿宋_GB2312" w:cs="Times New Roman"/>
                <w:b w:val="0"/>
                <w:bCs w:val="0"/>
                <w:i w:val="0"/>
                <w:iCs w:val="0"/>
                <w:color w:val="auto"/>
                <w:sz w:val="24"/>
                <w:szCs w:val="24"/>
                <w:lang w:eastAsia="zh-CN"/>
              </w:rPr>
              <w:t>）</w:t>
            </w:r>
            <w:r>
              <w:rPr>
                <w:rStyle w:val="54"/>
                <w:rFonts w:hint="default" w:ascii="Times New Roman" w:hAnsi="Times New Roman" w:eastAsia="仿宋_GB2312" w:cs="Times New Roman"/>
                <w:b w:val="0"/>
                <w:bCs w:val="0"/>
                <w:i w:val="0"/>
                <w:iCs w:val="0"/>
                <w:color w:val="auto"/>
                <w:kern w:val="2"/>
                <w:sz w:val="24"/>
                <w:szCs w:val="24"/>
                <w:lang w:val="en-US" w:eastAsia="zh-CN" w:bidi="ar-SA"/>
              </w:rPr>
              <w:t>等主要污染物实行排放总量控制计划管理。</w:t>
            </w:r>
          </w:p>
          <w:p w14:paraId="4ECC36AA">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1、总量控制指标</w:t>
            </w:r>
          </w:p>
          <w:p w14:paraId="1590BC93">
            <w:pPr>
              <w:pStyle w:val="57"/>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rPr>
              <w:t>表3-</w:t>
            </w:r>
            <w:r>
              <w:rPr>
                <w:rFonts w:hint="default" w:ascii="Times New Roman" w:hAnsi="Times New Roman" w:eastAsia="仿宋_GB2312" w:cs="Times New Roman"/>
                <w:color w:val="auto"/>
                <w:sz w:val="24"/>
                <w:szCs w:val="24"/>
                <w:highlight w:val="none"/>
                <w:lang w:val="en-US" w:eastAsia="zh-CN"/>
              </w:rPr>
              <w:t>8</w:t>
            </w:r>
            <w:r>
              <w:rPr>
                <w:rFonts w:hint="default" w:ascii="Times New Roman" w:hAnsi="Times New Roman" w:eastAsia="仿宋_GB2312" w:cs="Times New Roman"/>
                <w:color w:val="auto"/>
                <w:sz w:val="24"/>
                <w:szCs w:val="24"/>
                <w:highlight w:val="none"/>
              </w:rPr>
              <w:t xml:space="preserve"> </w:t>
            </w:r>
            <w:r>
              <w:rPr>
                <w:rFonts w:hint="default" w:ascii="Times New Roman" w:hAnsi="Times New Roman" w:eastAsia="仿宋_GB2312" w:cs="Times New Roman"/>
                <w:color w:val="auto"/>
                <w:sz w:val="24"/>
                <w:szCs w:val="24"/>
                <w:highlight w:val="none"/>
                <w:lang w:eastAsia="zh-CN"/>
              </w:rPr>
              <w:t>项目总量控制指标</w:t>
            </w:r>
          </w:p>
          <w:tbl>
            <w:tblPr>
              <w:tblStyle w:val="20"/>
              <w:tblW w:w="7974"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528"/>
              <w:gridCol w:w="1257"/>
              <w:gridCol w:w="2439"/>
              <w:gridCol w:w="1602"/>
            </w:tblGrid>
            <w:tr w14:paraId="438C9FC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8" w:type="dxa"/>
                  <w:tcBorders>
                    <w:tl2br w:val="nil"/>
                    <w:tr2bl w:val="nil"/>
                  </w:tcBorders>
                  <w:noWrap w:val="0"/>
                  <w:vAlign w:val="center"/>
                </w:tcPr>
                <w:p w14:paraId="0B70BC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bCs/>
                      <w:i w:val="0"/>
                      <w:iCs w:val="0"/>
                      <w:color w:val="auto"/>
                      <w:sz w:val="21"/>
                      <w:szCs w:val="21"/>
                      <w:vertAlign w:val="baseline"/>
                      <w:lang w:eastAsia="zh-CN"/>
                    </w:rPr>
                  </w:pPr>
                  <w:r>
                    <w:rPr>
                      <w:rStyle w:val="54"/>
                      <w:rFonts w:hint="default" w:ascii="Times New Roman" w:hAnsi="Times New Roman" w:eastAsia="仿宋_GB2312" w:cs="Times New Roman"/>
                      <w:b/>
                      <w:bCs/>
                      <w:i w:val="0"/>
                      <w:iCs w:val="0"/>
                      <w:color w:val="auto"/>
                      <w:sz w:val="21"/>
                      <w:szCs w:val="21"/>
                      <w:vertAlign w:val="baseline"/>
                      <w:lang w:eastAsia="zh-CN"/>
                    </w:rPr>
                    <w:t>类别</w:t>
                  </w:r>
                </w:p>
              </w:tc>
              <w:tc>
                <w:tcPr>
                  <w:tcW w:w="2785" w:type="dxa"/>
                  <w:gridSpan w:val="2"/>
                  <w:tcBorders>
                    <w:tl2br w:val="nil"/>
                    <w:tr2bl w:val="nil"/>
                  </w:tcBorders>
                  <w:noWrap w:val="0"/>
                  <w:vAlign w:val="center"/>
                </w:tcPr>
                <w:p w14:paraId="206871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bCs/>
                      <w:i w:val="0"/>
                      <w:iCs w:val="0"/>
                      <w:color w:val="auto"/>
                      <w:sz w:val="21"/>
                      <w:szCs w:val="21"/>
                      <w:vertAlign w:val="baseline"/>
                      <w:lang w:eastAsia="zh-CN"/>
                    </w:rPr>
                  </w:pPr>
                  <w:r>
                    <w:rPr>
                      <w:rStyle w:val="54"/>
                      <w:rFonts w:hint="default" w:ascii="Times New Roman" w:hAnsi="Times New Roman" w:eastAsia="仿宋_GB2312" w:cs="Times New Roman"/>
                      <w:b/>
                      <w:bCs/>
                      <w:i w:val="0"/>
                      <w:iCs w:val="0"/>
                      <w:color w:val="auto"/>
                      <w:sz w:val="21"/>
                      <w:szCs w:val="21"/>
                      <w:vertAlign w:val="baseline"/>
                      <w:lang w:eastAsia="zh-CN"/>
                    </w:rPr>
                    <w:t>总量控制因子</w:t>
                  </w:r>
                </w:p>
              </w:tc>
              <w:tc>
                <w:tcPr>
                  <w:tcW w:w="2439" w:type="dxa"/>
                  <w:tcBorders>
                    <w:tl2br w:val="nil"/>
                    <w:tr2bl w:val="nil"/>
                  </w:tcBorders>
                  <w:noWrap w:val="0"/>
                  <w:vAlign w:val="center"/>
                </w:tcPr>
                <w:p w14:paraId="533FAF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bCs/>
                      <w:i w:val="0"/>
                      <w:iCs w:val="0"/>
                      <w:color w:val="auto"/>
                      <w:sz w:val="21"/>
                      <w:szCs w:val="21"/>
                      <w:vertAlign w:val="baseline"/>
                      <w:lang w:eastAsia="zh-CN"/>
                    </w:rPr>
                  </w:pPr>
                  <w:r>
                    <w:rPr>
                      <w:rStyle w:val="54"/>
                      <w:rFonts w:hint="default" w:ascii="Times New Roman" w:hAnsi="Times New Roman" w:eastAsia="仿宋_GB2312" w:cs="Times New Roman"/>
                      <w:b/>
                      <w:bCs/>
                      <w:i w:val="0"/>
                      <w:iCs w:val="0"/>
                      <w:color w:val="auto"/>
                      <w:sz w:val="21"/>
                      <w:szCs w:val="21"/>
                      <w:vertAlign w:val="baseline"/>
                      <w:lang w:eastAsia="zh-CN"/>
                    </w:rPr>
                    <w:t>排放量（</w:t>
                  </w:r>
                  <w:r>
                    <w:rPr>
                      <w:rStyle w:val="54"/>
                      <w:rFonts w:hint="default" w:ascii="Times New Roman" w:hAnsi="Times New Roman" w:eastAsia="仿宋_GB2312" w:cs="Times New Roman"/>
                      <w:b/>
                      <w:bCs/>
                      <w:i w:val="0"/>
                      <w:iCs w:val="0"/>
                      <w:color w:val="auto"/>
                      <w:sz w:val="21"/>
                      <w:szCs w:val="21"/>
                      <w:vertAlign w:val="baseline"/>
                      <w:lang w:val="en-US" w:eastAsia="zh-CN"/>
                    </w:rPr>
                    <w:t>t/a</w:t>
                  </w:r>
                  <w:r>
                    <w:rPr>
                      <w:rStyle w:val="54"/>
                      <w:rFonts w:hint="default" w:ascii="Times New Roman" w:hAnsi="Times New Roman" w:eastAsia="仿宋_GB2312" w:cs="Times New Roman"/>
                      <w:b/>
                      <w:bCs/>
                      <w:i w:val="0"/>
                      <w:iCs w:val="0"/>
                      <w:color w:val="auto"/>
                      <w:sz w:val="21"/>
                      <w:szCs w:val="21"/>
                      <w:vertAlign w:val="baseline"/>
                      <w:lang w:eastAsia="zh-CN"/>
                    </w:rPr>
                    <w:t>）</w:t>
                  </w:r>
                </w:p>
              </w:tc>
              <w:tc>
                <w:tcPr>
                  <w:tcW w:w="1602" w:type="dxa"/>
                  <w:tcBorders>
                    <w:tl2br w:val="nil"/>
                    <w:tr2bl w:val="nil"/>
                  </w:tcBorders>
                  <w:noWrap w:val="0"/>
                  <w:vAlign w:val="center"/>
                </w:tcPr>
                <w:p w14:paraId="2497A0F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bCs/>
                      <w:i w:val="0"/>
                      <w:iCs w:val="0"/>
                      <w:color w:val="auto"/>
                      <w:sz w:val="21"/>
                      <w:szCs w:val="21"/>
                      <w:vertAlign w:val="baseline"/>
                      <w:lang w:eastAsia="zh-CN"/>
                    </w:rPr>
                  </w:pPr>
                  <w:r>
                    <w:rPr>
                      <w:rStyle w:val="54"/>
                      <w:rFonts w:hint="default" w:ascii="Times New Roman" w:hAnsi="Times New Roman" w:eastAsia="仿宋_GB2312" w:cs="Times New Roman"/>
                      <w:b/>
                      <w:bCs/>
                      <w:i w:val="0"/>
                      <w:iCs w:val="0"/>
                      <w:color w:val="auto"/>
                      <w:sz w:val="21"/>
                      <w:szCs w:val="21"/>
                      <w:vertAlign w:val="baseline"/>
                      <w:lang w:eastAsia="zh-CN"/>
                    </w:rPr>
                    <w:t>备注</w:t>
                  </w:r>
                </w:p>
              </w:tc>
            </w:tr>
            <w:tr w14:paraId="361E8B6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8" w:type="dxa"/>
                  <w:tcBorders>
                    <w:tl2br w:val="nil"/>
                    <w:tr2bl w:val="nil"/>
                  </w:tcBorders>
                  <w:noWrap w:val="0"/>
                  <w:vAlign w:val="center"/>
                </w:tcPr>
                <w:p w14:paraId="06F664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r>
                    <w:rPr>
                      <w:rStyle w:val="54"/>
                      <w:rFonts w:hint="default" w:ascii="Times New Roman" w:hAnsi="Times New Roman" w:eastAsia="仿宋_GB2312" w:cs="Times New Roman"/>
                      <w:b w:val="0"/>
                      <w:bCs w:val="0"/>
                      <w:i w:val="0"/>
                      <w:iCs w:val="0"/>
                      <w:color w:val="auto"/>
                      <w:sz w:val="21"/>
                      <w:szCs w:val="21"/>
                      <w:vertAlign w:val="baseline"/>
                      <w:lang w:eastAsia="zh-CN"/>
                    </w:rPr>
                    <w:t>废气</w:t>
                  </w:r>
                </w:p>
              </w:tc>
              <w:tc>
                <w:tcPr>
                  <w:tcW w:w="2785" w:type="dxa"/>
                  <w:gridSpan w:val="2"/>
                  <w:tcBorders>
                    <w:tl2br w:val="nil"/>
                    <w:tr2bl w:val="nil"/>
                  </w:tcBorders>
                  <w:noWrap w:val="0"/>
                  <w:vAlign w:val="center"/>
                </w:tcPr>
                <w:p w14:paraId="36743C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sz w:val="21"/>
                      <w:szCs w:val="21"/>
                      <w:vertAlign w:val="baseline"/>
                      <w:lang w:val="en-US" w:eastAsia="zh-CN"/>
                    </w:rPr>
                    <w:t>VOCs</w:t>
                  </w:r>
                </w:p>
              </w:tc>
              <w:tc>
                <w:tcPr>
                  <w:tcW w:w="2439" w:type="dxa"/>
                  <w:tcBorders>
                    <w:tl2br w:val="nil"/>
                    <w:tr2bl w:val="nil"/>
                  </w:tcBorders>
                  <w:noWrap w:val="0"/>
                  <w:vAlign w:val="center"/>
                </w:tcPr>
                <w:p w14:paraId="5343ED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sz w:val="21"/>
                      <w:szCs w:val="21"/>
                      <w:highlight w:val="none"/>
                      <w:vertAlign w:val="baseline"/>
                      <w:lang w:val="en-US" w:eastAsia="zh-CN"/>
                    </w:rPr>
                    <w:t>1.0263（无组织）</w:t>
                  </w:r>
                </w:p>
              </w:tc>
              <w:tc>
                <w:tcPr>
                  <w:tcW w:w="1602" w:type="dxa"/>
                  <w:vMerge w:val="restart"/>
                  <w:tcBorders>
                    <w:tl2br w:val="nil"/>
                    <w:tr2bl w:val="nil"/>
                  </w:tcBorders>
                  <w:noWrap w:val="0"/>
                  <w:vAlign w:val="center"/>
                </w:tcPr>
                <w:p w14:paraId="75BC16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r>
                    <w:rPr>
                      <w:rStyle w:val="54"/>
                      <w:rFonts w:hint="default" w:ascii="Times New Roman" w:hAnsi="Times New Roman" w:eastAsia="仿宋_GB2312" w:cs="Times New Roman"/>
                      <w:b w:val="0"/>
                      <w:bCs w:val="0"/>
                      <w:i w:val="0"/>
                      <w:iCs w:val="0"/>
                      <w:color w:val="auto"/>
                      <w:sz w:val="21"/>
                      <w:szCs w:val="21"/>
                      <w:vertAlign w:val="baseline"/>
                      <w:lang w:eastAsia="zh-CN"/>
                    </w:rPr>
                    <w:t>无需申请总量</w:t>
                  </w:r>
                </w:p>
              </w:tc>
            </w:tr>
            <w:tr w14:paraId="5DFABB6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8" w:type="dxa"/>
                  <w:vMerge w:val="restart"/>
                  <w:tcBorders>
                    <w:tl2br w:val="nil"/>
                    <w:tr2bl w:val="nil"/>
                  </w:tcBorders>
                  <w:noWrap w:val="0"/>
                  <w:vAlign w:val="center"/>
                </w:tcPr>
                <w:p w14:paraId="50A981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r>
                    <w:rPr>
                      <w:rStyle w:val="54"/>
                      <w:rFonts w:hint="default" w:ascii="Times New Roman" w:hAnsi="Times New Roman" w:eastAsia="仿宋_GB2312" w:cs="Times New Roman"/>
                      <w:b w:val="0"/>
                      <w:bCs w:val="0"/>
                      <w:i w:val="0"/>
                      <w:iCs w:val="0"/>
                      <w:color w:val="auto"/>
                      <w:sz w:val="21"/>
                      <w:szCs w:val="21"/>
                      <w:vertAlign w:val="baseline"/>
                      <w:lang w:eastAsia="zh-CN"/>
                    </w:rPr>
                    <w:t>废水</w:t>
                  </w:r>
                </w:p>
              </w:tc>
              <w:tc>
                <w:tcPr>
                  <w:tcW w:w="1528" w:type="dxa"/>
                  <w:vMerge w:val="restart"/>
                  <w:tcBorders>
                    <w:tl2br w:val="nil"/>
                    <w:tr2bl w:val="nil"/>
                  </w:tcBorders>
                  <w:noWrap w:val="0"/>
                  <w:vAlign w:val="center"/>
                </w:tcPr>
                <w:p w14:paraId="7B693B1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r>
                    <w:rPr>
                      <w:rStyle w:val="54"/>
                      <w:rFonts w:hint="default" w:ascii="Times New Roman" w:hAnsi="Times New Roman" w:eastAsia="仿宋_GB2312" w:cs="Times New Roman"/>
                      <w:b w:val="0"/>
                      <w:bCs w:val="0"/>
                      <w:i w:val="0"/>
                      <w:iCs w:val="0"/>
                      <w:color w:val="auto"/>
                      <w:sz w:val="21"/>
                      <w:szCs w:val="21"/>
                      <w:vertAlign w:val="baseline"/>
                      <w:lang w:eastAsia="zh-CN"/>
                    </w:rPr>
                    <w:t>接管量</w:t>
                  </w:r>
                </w:p>
              </w:tc>
              <w:tc>
                <w:tcPr>
                  <w:tcW w:w="1257" w:type="dxa"/>
                  <w:tcBorders>
                    <w:tl2br w:val="nil"/>
                    <w:tr2bl w:val="nil"/>
                  </w:tcBorders>
                  <w:noWrap w:val="0"/>
                  <w:vAlign w:val="center"/>
                </w:tcPr>
                <w:p w14:paraId="39D8CB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sz w:val="21"/>
                      <w:szCs w:val="21"/>
                      <w:vertAlign w:val="baseline"/>
                      <w:lang w:val="en-US" w:eastAsia="zh-CN"/>
                    </w:rPr>
                    <w:t>COD</w:t>
                  </w:r>
                </w:p>
              </w:tc>
              <w:tc>
                <w:tcPr>
                  <w:tcW w:w="2439" w:type="dxa"/>
                  <w:tcBorders>
                    <w:tl2br w:val="nil"/>
                    <w:tr2bl w:val="nil"/>
                  </w:tcBorders>
                  <w:noWrap w:val="0"/>
                  <w:vAlign w:val="center"/>
                </w:tcPr>
                <w:p w14:paraId="392E65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sz w:val="21"/>
                      <w:szCs w:val="21"/>
                      <w:vertAlign w:val="baseline"/>
                      <w:lang w:val="en-US" w:eastAsia="zh-CN"/>
                    </w:rPr>
                    <w:t>0.4458</w:t>
                  </w:r>
                </w:p>
              </w:tc>
              <w:tc>
                <w:tcPr>
                  <w:tcW w:w="1602" w:type="dxa"/>
                  <w:vMerge w:val="continue"/>
                  <w:tcBorders>
                    <w:tl2br w:val="nil"/>
                    <w:tr2bl w:val="nil"/>
                  </w:tcBorders>
                  <w:noWrap w:val="0"/>
                  <w:vAlign w:val="center"/>
                </w:tcPr>
                <w:p w14:paraId="5D614E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p>
              </w:tc>
            </w:tr>
            <w:tr w14:paraId="79B74F6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8" w:type="dxa"/>
                  <w:vMerge w:val="continue"/>
                  <w:tcBorders>
                    <w:tl2br w:val="nil"/>
                    <w:tr2bl w:val="nil"/>
                  </w:tcBorders>
                  <w:noWrap w:val="0"/>
                  <w:vAlign w:val="center"/>
                </w:tcPr>
                <w:p w14:paraId="1E13A3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p>
              </w:tc>
              <w:tc>
                <w:tcPr>
                  <w:tcW w:w="1528" w:type="dxa"/>
                  <w:vMerge w:val="continue"/>
                  <w:tcBorders>
                    <w:tl2br w:val="nil"/>
                    <w:tr2bl w:val="nil"/>
                  </w:tcBorders>
                  <w:noWrap w:val="0"/>
                  <w:vAlign w:val="center"/>
                </w:tcPr>
                <w:p w14:paraId="45F45DD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p>
              </w:tc>
              <w:tc>
                <w:tcPr>
                  <w:tcW w:w="1257" w:type="dxa"/>
                  <w:tcBorders>
                    <w:tl2br w:val="nil"/>
                    <w:tr2bl w:val="nil"/>
                  </w:tcBorders>
                  <w:noWrap w:val="0"/>
                  <w:vAlign w:val="center"/>
                </w:tcPr>
                <w:p w14:paraId="433D91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sz w:val="21"/>
                      <w:szCs w:val="21"/>
                      <w:vertAlign w:val="baseline"/>
                      <w:lang w:val="en-US" w:eastAsia="zh-CN"/>
                    </w:rPr>
                    <w:t>氨氮</w:t>
                  </w:r>
                </w:p>
              </w:tc>
              <w:tc>
                <w:tcPr>
                  <w:tcW w:w="2439" w:type="dxa"/>
                  <w:tcBorders>
                    <w:tl2br w:val="nil"/>
                    <w:tr2bl w:val="nil"/>
                  </w:tcBorders>
                  <w:noWrap w:val="0"/>
                  <w:vAlign w:val="center"/>
                </w:tcPr>
                <w:p w14:paraId="3D508D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sz w:val="21"/>
                      <w:szCs w:val="21"/>
                      <w:vertAlign w:val="baseline"/>
                      <w:lang w:val="en-US" w:eastAsia="zh-CN"/>
                    </w:rPr>
                    <w:t>0.0212</w:t>
                  </w:r>
                </w:p>
              </w:tc>
              <w:tc>
                <w:tcPr>
                  <w:tcW w:w="1602" w:type="dxa"/>
                  <w:vMerge w:val="continue"/>
                  <w:tcBorders>
                    <w:tl2br w:val="nil"/>
                    <w:tr2bl w:val="nil"/>
                  </w:tcBorders>
                  <w:noWrap w:val="0"/>
                  <w:vAlign w:val="center"/>
                </w:tcPr>
                <w:p w14:paraId="777928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p>
              </w:tc>
            </w:tr>
            <w:tr w14:paraId="63C0DFA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8" w:type="dxa"/>
                  <w:vMerge w:val="continue"/>
                  <w:tcBorders>
                    <w:tl2br w:val="nil"/>
                    <w:tr2bl w:val="nil"/>
                  </w:tcBorders>
                  <w:noWrap w:val="0"/>
                  <w:vAlign w:val="center"/>
                </w:tcPr>
                <w:p w14:paraId="4D7A9D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p>
              </w:tc>
              <w:tc>
                <w:tcPr>
                  <w:tcW w:w="1528" w:type="dxa"/>
                  <w:vMerge w:val="restart"/>
                  <w:tcBorders>
                    <w:tl2br w:val="nil"/>
                    <w:tr2bl w:val="nil"/>
                  </w:tcBorders>
                  <w:noWrap w:val="0"/>
                  <w:vAlign w:val="center"/>
                </w:tcPr>
                <w:p w14:paraId="1E0D3B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r>
                    <w:rPr>
                      <w:rStyle w:val="54"/>
                      <w:rFonts w:hint="default" w:ascii="Times New Roman" w:hAnsi="Times New Roman" w:eastAsia="仿宋_GB2312" w:cs="Times New Roman"/>
                      <w:b w:val="0"/>
                      <w:bCs w:val="0"/>
                      <w:i w:val="0"/>
                      <w:iCs w:val="0"/>
                      <w:color w:val="auto"/>
                      <w:sz w:val="21"/>
                      <w:szCs w:val="21"/>
                      <w:vertAlign w:val="baseline"/>
                      <w:lang w:eastAsia="zh-CN"/>
                    </w:rPr>
                    <w:t>最终排放量</w:t>
                  </w:r>
                </w:p>
              </w:tc>
              <w:tc>
                <w:tcPr>
                  <w:tcW w:w="1257" w:type="dxa"/>
                  <w:tcBorders>
                    <w:tl2br w:val="nil"/>
                    <w:tr2bl w:val="nil"/>
                  </w:tcBorders>
                  <w:noWrap w:val="0"/>
                  <w:vAlign w:val="center"/>
                </w:tcPr>
                <w:p w14:paraId="324A51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i w:val="0"/>
                      <w:iCs w:val="0"/>
                      <w:color w:val="auto"/>
                      <w:kern w:val="2"/>
                      <w:sz w:val="21"/>
                      <w:szCs w:val="21"/>
                      <w:vertAlign w:val="baseline"/>
                      <w:lang w:val="en-US" w:eastAsia="zh-CN" w:bidi="ar-SA"/>
                    </w:rPr>
                  </w:pPr>
                  <w:r>
                    <w:rPr>
                      <w:rStyle w:val="54"/>
                      <w:rFonts w:hint="default" w:ascii="Times New Roman" w:hAnsi="Times New Roman" w:eastAsia="仿宋_GB2312" w:cs="Times New Roman"/>
                      <w:b w:val="0"/>
                      <w:bCs w:val="0"/>
                      <w:i w:val="0"/>
                      <w:iCs w:val="0"/>
                      <w:color w:val="auto"/>
                      <w:sz w:val="21"/>
                      <w:szCs w:val="21"/>
                      <w:vertAlign w:val="baseline"/>
                      <w:lang w:val="en-US" w:eastAsia="zh-CN"/>
                    </w:rPr>
                    <w:t>COD</w:t>
                  </w:r>
                </w:p>
              </w:tc>
              <w:tc>
                <w:tcPr>
                  <w:tcW w:w="2439" w:type="dxa"/>
                  <w:tcBorders>
                    <w:tl2br w:val="nil"/>
                    <w:tr2bl w:val="nil"/>
                  </w:tcBorders>
                  <w:noWrap w:val="0"/>
                  <w:vAlign w:val="center"/>
                </w:tcPr>
                <w:p w14:paraId="1B5DA6E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sz w:val="21"/>
                      <w:szCs w:val="21"/>
                      <w:vertAlign w:val="baseline"/>
                      <w:lang w:val="en-US" w:eastAsia="zh-CN"/>
                    </w:rPr>
                    <w:t>0.1056</w:t>
                  </w:r>
                </w:p>
              </w:tc>
              <w:tc>
                <w:tcPr>
                  <w:tcW w:w="1602" w:type="dxa"/>
                  <w:vMerge w:val="continue"/>
                  <w:tcBorders>
                    <w:tl2br w:val="nil"/>
                    <w:tr2bl w:val="nil"/>
                  </w:tcBorders>
                  <w:noWrap w:val="0"/>
                  <w:vAlign w:val="center"/>
                </w:tcPr>
                <w:p w14:paraId="094EA15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p>
              </w:tc>
            </w:tr>
            <w:tr w14:paraId="33C5951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48" w:type="dxa"/>
                  <w:vMerge w:val="continue"/>
                  <w:tcBorders>
                    <w:tl2br w:val="nil"/>
                    <w:tr2bl w:val="nil"/>
                  </w:tcBorders>
                  <w:noWrap w:val="0"/>
                  <w:vAlign w:val="center"/>
                </w:tcPr>
                <w:p w14:paraId="0D9FEE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p>
              </w:tc>
              <w:tc>
                <w:tcPr>
                  <w:tcW w:w="1528" w:type="dxa"/>
                  <w:vMerge w:val="continue"/>
                  <w:tcBorders>
                    <w:tl2br w:val="nil"/>
                    <w:tr2bl w:val="nil"/>
                  </w:tcBorders>
                  <w:noWrap w:val="0"/>
                  <w:vAlign w:val="center"/>
                </w:tcPr>
                <w:p w14:paraId="542E15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p>
              </w:tc>
              <w:tc>
                <w:tcPr>
                  <w:tcW w:w="1257" w:type="dxa"/>
                  <w:tcBorders>
                    <w:tl2br w:val="nil"/>
                    <w:tr2bl w:val="nil"/>
                  </w:tcBorders>
                  <w:noWrap w:val="0"/>
                  <w:vAlign w:val="center"/>
                </w:tcPr>
                <w:p w14:paraId="012DDC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i w:val="0"/>
                      <w:iCs w:val="0"/>
                      <w:color w:val="auto"/>
                      <w:kern w:val="2"/>
                      <w:sz w:val="21"/>
                      <w:szCs w:val="21"/>
                      <w:vertAlign w:val="baseline"/>
                      <w:lang w:val="en-US" w:eastAsia="zh-CN" w:bidi="ar-SA"/>
                    </w:rPr>
                  </w:pPr>
                  <w:r>
                    <w:rPr>
                      <w:rStyle w:val="54"/>
                      <w:rFonts w:hint="default" w:ascii="Times New Roman" w:hAnsi="Times New Roman" w:eastAsia="仿宋_GB2312" w:cs="Times New Roman"/>
                      <w:b w:val="0"/>
                      <w:bCs w:val="0"/>
                      <w:i w:val="0"/>
                      <w:iCs w:val="0"/>
                      <w:color w:val="auto"/>
                      <w:sz w:val="21"/>
                      <w:szCs w:val="21"/>
                      <w:vertAlign w:val="baseline"/>
                      <w:lang w:val="en-US" w:eastAsia="zh-CN"/>
                    </w:rPr>
                    <w:t>氨氮</w:t>
                  </w:r>
                </w:p>
              </w:tc>
              <w:tc>
                <w:tcPr>
                  <w:tcW w:w="2439" w:type="dxa"/>
                  <w:tcBorders>
                    <w:tl2br w:val="nil"/>
                    <w:tr2bl w:val="nil"/>
                  </w:tcBorders>
                  <w:noWrap w:val="0"/>
                  <w:vAlign w:val="center"/>
                </w:tcPr>
                <w:p w14:paraId="2B0F4B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val="en-US" w:eastAsia="zh-CN"/>
                    </w:rPr>
                  </w:pPr>
                  <w:r>
                    <w:rPr>
                      <w:rStyle w:val="54"/>
                      <w:rFonts w:hint="default" w:ascii="Times New Roman" w:hAnsi="Times New Roman" w:eastAsia="仿宋_GB2312" w:cs="Times New Roman"/>
                      <w:b w:val="0"/>
                      <w:bCs w:val="0"/>
                      <w:i w:val="0"/>
                      <w:iCs w:val="0"/>
                      <w:color w:val="auto"/>
                      <w:sz w:val="21"/>
                      <w:szCs w:val="21"/>
                      <w:vertAlign w:val="baseline"/>
                      <w:lang w:val="en-US" w:eastAsia="zh-CN"/>
                    </w:rPr>
                    <w:t>0.0106</w:t>
                  </w:r>
                </w:p>
              </w:tc>
              <w:tc>
                <w:tcPr>
                  <w:tcW w:w="1602" w:type="dxa"/>
                  <w:vMerge w:val="continue"/>
                  <w:tcBorders>
                    <w:tl2br w:val="nil"/>
                    <w:tr2bl w:val="nil"/>
                  </w:tcBorders>
                  <w:noWrap w:val="0"/>
                  <w:vAlign w:val="center"/>
                </w:tcPr>
                <w:p w14:paraId="1877A1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54"/>
                      <w:rFonts w:hint="default" w:ascii="Times New Roman" w:hAnsi="Times New Roman" w:eastAsia="仿宋_GB2312" w:cs="Times New Roman"/>
                      <w:b w:val="0"/>
                      <w:bCs w:val="0"/>
                      <w:i w:val="0"/>
                      <w:iCs w:val="0"/>
                      <w:color w:val="auto"/>
                      <w:sz w:val="21"/>
                      <w:szCs w:val="21"/>
                      <w:vertAlign w:val="baseline"/>
                      <w:lang w:eastAsia="zh-CN"/>
                    </w:rPr>
                  </w:pPr>
                </w:p>
              </w:tc>
            </w:tr>
          </w:tbl>
          <w:p w14:paraId="0FE29D69">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sz w:val="24"/>
                <w:szCs w:val="24"/>
                <w:lang w:val="en-US" w:eastAsia="zh-CN"/>
              </w:rPr>
            </w:pPr>
            <w:r>
              <w:rPr>
                <w:rStyle w:val="54"/>
                <w:rFonts w:hint="default" w:ascii="Times New Roman" w:hAnsi="Times New Roman" w:eastAsia="仿宋_GB2312" w:cs="Times New Roman"/>
                <w:b w:val="0"/>
                <w:bCs w:val="0"/>
                <w:i w:val="0"/>
                <w:iCs w:val="0"/>
                <w:color w:val="auto"/>
                <w:sz w:val="24"/>
                <w:szCs w:val="24"/>
                <w:lang w:eastAsia="zh-CN"/>
              </w:rPr>
              <w:t>废气：本项目</w:t>
            </w:r>
            <w:r>
              <w:rPr>
                <w:rStyle w:val="54"/>
                <w:rFonts w:hint="default" w:ascii="Times New Roman" w:hAnsi="Times New Roman" w:eastAsia="仿宋_GB2312" w:cs="Times New Roman"/>
                <w:b w:val="0"/>
                <w:bCs w:val="0"/>
                <w:i w:val="0"/>
                <w:iCs w:val="0"/>
                <w:color w:val="auto"/>
                <w:sz w:val="24"/>
                <w:szCs w:val="24"/>
                <w:lang w:val="en-US" w:eastAsia="zh-CN"/>
              </w:rPr>
              <w:t>VOCs为无组织排放形式，无需申请总量。</w:t>
            </w:r>
          </w:p>
          <w:p w14:paraId="7186B57E">
            <w:pPr>
              <w:keepNext w:val="0"/>
              <w:keepLines w:val="0"/>
              <w:pageBreakBefore w:val="0"/>
              <w:widowControl w:val="0"/>
              <w:tabs>
                <w:tab w:val="left" w:pos="2940"/>
              </w:tabs>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sz w:val="24"/>
                <w:szCs w:val="24"/>
                <w:highlight w:val="none"/>
                <w:lang w:val="en-US" w:eastAsia="zh-CN"/>
              </w:rPr>
            </w:pPr>
            <w:r>
              <w:rPr>
                <w:rStyle w:val="54"/>
                <w:rFonts w:hint="default" w:ascii="Times New Roman" w:hAnsi="Times New Roman" w:eastAsia="仿宋_GB2312" w:cs="Times New Roman"/>
                <w:b w:val="0"/>
                <w:bCs w:val="0"/>
                <w:i w:val="0"/>
                <w:iCs w:val="0"/>
                <w:color w:val="auto"/>
                <w:sz w:val="24"/>
                <w:szCs w:val="24"/>
                <w:lang w:val="en-US" w:eastAsia="zh-CN"/>
              </w:rPr>
              <w:t>废水：</w:t>
            </w:r>
            <w:r>
              <w:rPr>
                <w:rStyle w:val="54"/>
                <w:rFonts w:hint="default" w:ascii="Times New Roman" w:hAnsi="Times New Roman" w:eastAsia="仿宋_GB2312" w:cs="Times New Roman"/>
                <w:b w:val="0"/>
                <w:bCs w:val="0"/>
                <w:i w:val="0"/>
                <w:iCs w:val="0"/>
                <w:color w:val="auto"/>
                <w:sz w:val="24"/>
                <w:szCs w:val="24"/>
                <w:lang w:eastAsia="zh-CN"/>
              </w:rPr>
              <w:t>项目废水排入市政污水管网进入</w:t>
            </w:r>
            <w:r>
              <w:rPr>
                <w:rFonts w:hint="default" w:ascii="Times New Roman" w:hAnsi="Times New Roman" w:eastAsia="仿宋_GB2312" w:cs="Times New Roman"/>
                <w:color w:val="auto"/>
                <w:sz w:val="24"/>
                <w:szCs w:val="24"/>
                <w:lang w:val="en-US" w:eastAsia="zh-CN"/>
              </w:rPr>
              <w:t>东至国祯水处理有限公司</w:t>
            </w:r>
            <w:r>
              <w:rPr>
                <w:rStyle w:val="54"/>
                <w:rFonts w:hint="default" w:ascii="Times New Roman" w:hAnsi="Times New Roman" w:eastAsia="仿宋_GB2312" w:cs="Times New Roman"/>
                <w:b w:val="0"/>
                <w:bCs w:val="0"/>
                <w:i w:val="0"/>
                <w:iCs w:val="0"/>
                <w:color w:val="auto"/>
                <w:sz w:val="24"/>
                <w:szCs w:val="24"/>
                <w:lang w:eastAsia="zh-CN"/>
              </w:rPr>
              <w:t>处理，废水排放量为</w:t>
            </w:r>
            <w:r>
              <w:rPr>
                <w:rStyle w:val="54"/>
                <w:rFonts w:hint="default" w:ascii="Times New Roman" w:hAnsi="Times New Roman" w:eastAsia="仿宋_GB2312" w:cs="Times New Roman"/>
                <w:b w:val="0"/>
                <w:bCs w:val="0"/>
                <w:i w:val="0"/>
                <w:iCs w:val="0"/>
                <w:color w:val="auto"/>
                <w:sz w:val="24"/>
                <w:szCs w:val="24"/>
                <w:lang w:val="en-US" w:eastAsia="zh-CN"/>
              </w:rPr>
              <w:t>2001.5t/a，总量控制指标最终排放量分别</w:t>
            </w:r>
            <w:r>
              <w:rPr>
                <w:rStyle w:val="54"/>
                <w:rFonts w:hint="default" w:ascii="Times New Roman" w:hAnsi="Times New Roman" w:eastAsia="仿宋_GB2312" w:cs="Times New Roman"/>
                <w:b w:val="0"/>
                <w:bCs w:val="0"/>
                <w:i w:val="0"/>
                <w:iCs w:val="0"/>
                <w:color w:val="auto"/>
                <w:sz w:val="24"/>
                <w:szCs w:val="24"/>
                <w:highlight w:val="none"/>
                <w:lang w:val="en-US" w:eastAsia="zh-CN"/>
              </w:rPr>
              <w:t>为COD0.10</w:t>
            </w:r>
            <w:r>
              <w:rPr>
                <w:rStyle w:val="54"/>
                <w:rFonts w:hint="eastAsia" w:ascii="Times New Roman" w:hAnsi="Times New Roman" w:eastAsia="仿宋_GB2312" w:cs="Times New Roman"/>
                <w:b w:val="0"/>
                <w:bCs w:val="0"/>
                <w:i w:val="0"/>
                <w:iCs w:val="0"/>
                <w:color w:val="auto"/>
                <w:sz w:val="24"/>
                <w:szCs w:val="24"/>
                <w:highlight w:val="none"/>
                <w:lang w:val="en-US" w:eastAsia="zh-CN"/>
              </w:rPr>
              <w:t>01</w:t>
            </w:r>
            <w:r>
              <w:rPr>
                <w:rStyle w:val="54"/>
                <w:rFonts w:hint="default" w:ascii="Times New Roman" w:hAnsi="Times New Roman" w:eastAsia="仿宋_GB2312" w:cs="Times New Roman"/>
                <w:b w:val="0"/>
                <w:bCs w:val="0"/>
                <w:i w:val="0"/>
                <w:iCs w:val="0"/>
                <w:color w:val="auto"/>
                <w:sz w:val="24"/>
                <w:szCs w:val="24"/>
                <w:highlight w:val="none"/>
                <w:lang w:val="en-US" w:eastAsia="zh-CN"/>
              </w:rPr>
              <w:t>t/a、氨氮0.010</w:t>
            </w:r>
            <w:r>
              <w:rPr>
                <w:rStyle w:val="54"/>
                <w:rFonts w:hint="eastAsia" w:ascii="Times New Roman" w:hAnsi="Times New Roman" w:eastAsia="仿宋_GB2312" w:cs="Times New Roman"/>
                <w:b w:val="0"/>
                <w:bCs w:val="0"/>
                <w:i w:val="0"/>
                <w:iCs w:val="0"/>
                <w:color w:val="auto"/>
                <w:sz w:val="24"/>
                <w:szCs w:val="24"/>
                <w:highlight w:val="none"/>
                <w:lang w:val="en-US" w:eastAsia="zh-CN"/>
              </w:rPr>
              <w:t>0</w:t>
            </w:r>
            <w:r>
              <w:rPr>
                <w:rStyle w:val="54"/>
                <w:rFonts w:hint="default" w:ascii="Times New Roman" w:hAnsi="Times New Roman" w:eastAsia="仿宋_GB2312" w:cs="Times New Roman"/>
                <w:b w:val="0"/>
                <w:bCs w:val="0"/>
                <w:i w:val="0"/>
                <w:iCs w:val="0"/>
                <w:color w:val="auto"/>
                <w:sz w:val="24"/>
                <w:szCs w:val="24"/>
                <w:highlight w:val="none"/>
                <w:lang w:val="en-US" w:eastAsia="zh-CN"/>
              </w:rPr>
              <w:t>t/a。</w:t>
            </w:r>
          </w:p>
          <w:p w14:paraId="4395D3B6">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2、总量平衡方案</w:t>
            </w:r>
          </w:p>
          <w:p w14:paraId="21F880F6">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Style w:val="54"/>
                <w:rFonts w:hint="default" w:ascii="Times New Roman" w:hAnsi="Times New Roman" w:eastAsia="仿宋_GB2312" w:cs="Times New Roman"/>
                <w:b w:val="0"/>
                <w:bCs w:val="0"/>
                <w:i w:val="0"/>
                <w:iCs w:val="0"/>
                <w:color w:val="auto"/>
                <w:sz w:val="24"/>
                <w:szCs w:val="24"/>
                <w:lang w:eastAsia="zh-CN"/>
              </w:rPr>
            </w:pPr>
            <w:r>
              <w:rPr>
                <w:rStyle w:val="54"/>
                <w:rFonts w:hint="default" w:ascii="Times New Roman" w:hAnsi="Times New Roman" w:eastAsia="仿宋_GB2312" w:cs="Times New Roman"/>
                <w:b w:val="0"/>
                <w:bCs w:val="0"/>
                <w:i w:val="0"/>
                <w:iCs w:val="0"/>
                <w:color w:val="auto"/>
                <w:sz w:val="24"/>
                <w:szCs w:val="24"/>
                <w:lang w:eastAsia="zh-CN"/>
              </w:rPr>
              <w:t>项目废水</w:t>
            </w:r>
            <w:r>
              <w:rPr>
                <w:rStyle w:val="54"/>
                <w:rFonts w:hint="default" w:ascii="Times New Roman" w:hAnsi="Times New Roman" w:eastAsia="仿宋_GB2312" w:cs="Times New Roman"/>
                <w:b w:val="0"/>
                <w:bCs w:val="0"/>
                <w:i w:val="0"/>
                <w:iCs w:val="0"/>
                <w:color w:val="auto"/>
                <w:sz w:val="24"/>
                <w:szCs w:val="24"/>
                <w:lang w:val="en-US" w:eastAsia="zh-CN"/>
              </w:rPr>
              <w:t>经厂内预处理后接入</w:t>
            </w:r>
            <w:r>
              <w:rPr>
                <w:rFonts w:hint="default" w:ascii="Times New Roman" w:hAnsi="Times New Roman" w:eastAsia="仿宋_GB2312" w:cs="Times New Roman"/>
                <w:color w:val="auto"/>
                <w:sz w:val="24"/>
                <w:szCs w:val="24"/>
                <w:lang w:val="en-US" w:eastAsia="zh-CN"/>
              </w:rPr>
              <w:t>东至国祯水处理有限公司处理，</w:t>
            </w:r>
            <w:r>
              <w:rPr>
                <w:rStyle w:val="54"/>
                <w:rFonts w:hint="default" w:ascii="Times New Roman" w:hAnsi="Times New Roman" w:eastAsia="仿宋_GB2312" w:cs="Times New Roman"/>
                <w:b w:val="0"/>
                <w:bCs w:val="0"/>
                <w:i w:val="0"/>
                <w:iCs w:val="0"/>
                <w:color w:val="auto"/>
                <w:sz w:val="24"/>
                <w:szCs w:val="24"/>
                <w:lang w:eastAsia="zh-CN"/>
              </w:rPr>
              <w:t>COD、氨氮的总量控制指标纳入</w:t>
            </w:r>
            <w:r>
              <w:rPr>
                <w:rFonts w:hint="default" w:ascii="Times New Roman" w:hAnsi="Times New Roman" w:eastAsia="仿宋_GB2312" w:cs="Times New Roman"/>
                <w:color w:val="auto"/>
                <w:sz w:val="24"/>
                <w:szCs w:val="24"/>
                <w:lang w:val="en-US" w:eastAsia="zh-CN"/>
              </w:rPr>
              <w:t>东至国祯水处理有限公司</w:t>
            </w:r>
            <w:r>
              <w:rPr>
                <w:rStyle w:val="54"/>
                <w:rFonts w:hint="default" w:ascii="Times New Roman" w:hAnsi="Times New Roman" w:eastAsia="仿宋_GB2312" w:cs="Times New Roman"/>
                <w:b w:val="0"/>
                <w:bCs w:val="0"/>
                <w:i w:val="0"/>
                <w:iCs w:val="0"/>
                <w:color w:val="auto"/>
                <w:sz w:val="24"/>
                <w:szCs w:val="24"/>
                <w:lang w:eastAsia="zh-CN"/>
              </w:rPr>
              <w:t>范围内平衡解决，无需再单独申请。</w:t>
            </w:r>
          </w:p>
          <w:p w14:paraId="091CF01B">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color w:val="auto"/>
                <w:kern w:val="0"/>
                <w:sz w:val="24"/>
                <w:szCs w:val="24"/>
              </w:rPr>
            </w:pPr>
            <w:r>
              <w:rPr>
                <w:rStyle w:val="54"/>
                <w:rFonts w:hint="default" w:ascii="Times New Roman" w:hAnsi="Times New Roman" w:eastAsia="仿宋_GB2312" w:cs="Times New Roman"/>
                <w:b w:val="0"/>
                <w:bCs w:val="0"/>
                <w:i w:val="0"/>
                <w:iCs w:val="0"/>
                <w:color w:val="auto"/>
                <w:kern w:val="2"/>
                <w:sz w:val="24"/>
                <w:szCs w:val="24"/>
                <w:lang w:val="en-US" w:eastAsia="zh-CN" w:bidi="ar-SA"/>
              </w:rPr>
              <w:t>项目非甲烷总烃为无组织排放，故挥发性有机物无需申请总量。</w:t>
            </w:r>
          </w:p>
        </w:tc>
      </w:tr>
    </w:tbl>
    <w:p w14:paraId="0D4B34BA">
      <w:pPr>
        <w:pStyle w:val="17"/>
        <w:jc w:val="center"/>
        <w:outlineLvl w:val="0"/>
        <w:rPr>
          <w:rFonts w:ascii="黑体" w:hAnsi="黑体" w:eastAsia="黑体"/>
          <w:snapToGrid w:val="0"/>
          <w:color w:val="auto"/>
          <w:sz w:val="30"/>
          <w:szCs w:val="30"/>
        </w:rPr>
      </w:pPr>
      <w:r>
        <w:rPr>
          <w:rFonts w:ascii="黑体" w:hAnsi="黑体" w:eastAsia="黑体"/>
          <w:snapToGrid w:val="0"/>
          <w:color w:val="auto"/>
          <w:sz w:val="36"/>
          <w:szCs w:val="36"/>
        </w:rPr>
        <w:br w:type="page"/>
      </w:r>
      <w:bookmarkStart w:id="5" w:name="_Toc9015"/>
      <w:r>
        <w:rPr>
          <w:rFonts w:hint="eastAsia" w:ascii="黑体" w:hAnsi="黑体" w:eastAsia="黑体"/>
          <w:snapToGrid w:val="0"/>
          <w:color w:val="auto"/>
          <w:sz w:val="30"/>
          <w:szCs w:val="30"/>
        </w:rPr>
        <w:t>四、主要环境影响和保护措施</w:t>
      </w:r>
      <w:bookmarkEnd w:id="5"/>
    </w:p>
    <w:tbl>
      <w:tblPr>
        <w:tblStyle w:val="19"/>
        <w:tblW w:w="890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46"/>
        <w:gridCol w:w="8162"/>
      </w:tblGrid>
      <w:tr w14:paraId="518F9D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769" w:hRule="atLeast"/>
          <w:jc w:val="center"/>
        </w:trPr>
        <w:tc>
          <w:tcPr>
            <w:tcW w:w="746" w:type="dxa"/>
            <w:noWrap w:val="0"/>
            <w:tcMar>
              <w:left w:w="28" w:type="dxa"/>
              <w:right w:w="28" w:type="dxa"/>
            </w:tcMar>
            <w:vAlign w:val="center"/>
          </w:tcPr>
          <w:p w14:paraId="1CF835D3">
            <w:pPr>
              <w:pStyle w:val="17"/>
              <w:adjustRightInd w:val="0"/>
              <w:snapToGrid w:val="0"/>
              <w:spacing w:before="0" w:beforeAutospacing="0" w:after="0" w:afterAutospacing="0"/>
              <w:jc w:val="center"/>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施工</w:t>
            </w:r>
          </w:p>
          <w:p w14:paraId="793F7532">
            <w:pPr>
              <w:pStyle w:val="17"/>
              <w:adjustRightInd w:val="0"/>
              <w:snapToGrid w:val="0"/>
              <w:spacing w:before="0" w:beforeAutospacing="0" w:after="0" w:afterAutospacing="0"/>
              <w:jc w:val="center"/>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期环</w:t>
            </w:r>
          </w:p>
          <w:p w14:paraId="75CCF13D">
            <w:pPr>
              <w:pStyle w:val="17"/>
              <w:adjustRightInd w:val="0"/>
              <w:snapToGrid w:val="0"/>
              <w:spacing w:before="0" w:beforeAutospacing="0" w:after="0" w:afterAutospacing="0"/>
              <w:jc w:val="center"/>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境保</w:t>
            </w:r>
          </w:p>
          <w:p w14:paraId="4260D296">
            <w:pPr>
              <w:pStyle w:val="17"/>
              <w:adjustRightInd w:val="0"/>
              <w:snapToGrid w:val="0"/>
              <w:spacing w:before="0" w:beforeAutospacing="0" w:after="0" w:afterAutospacing="0"/>
              <w:jc w:val="center"/>
              <w:rPr>
                <w:rFonts w:hint="default" w:ascii="Times New Roman" w:hAnsi="Times New Roman" w:eastAsia="仿宋_GB2312" w:cs="Times New Roman"/>
                <w:color w:val="auto"/>
                <w:kern w:val="2"/>
                <w:sz w:val="24"/>
                <w:szCs w:val="24"/>
              </w:rPr>
            </w:pPr>
            <w:r>
              <w:rPr>
                <w:rFonts w:hint="default" w:ascii="Times New Roman" w:hAnsi="Times New Roman" w:eastAsia="仿宋_GB2312" w:cs="Times New Roman"/>
                <w:color w:val="auto"/>
                <w:kern w:val="2"/>
                <w:sz w:val="24"/>
                <w:szCs w:val="24"/>
              </w:rPr>
              <w:t>护措</w:t>
            </w:r>
          </w:p>
          <w:p w14:paraId="57DE23B2">
            <w:pPr>
              <w:pStyle w:val="17"/>
              <w:adjustRightInd w:val="0"/>
              <w:snapToGrid w:val="0"/>
              <w:spacing w:before="0" w:beforeAutospacing="0" w:after="0" w:afterAutospacing="0"/>
              <w:jc w:val="center"/>
              <w:rPr>
                <w:rFonts w:hint="default" w:ascii="Times New Roman" w:hAnsi="Times New Roman" w:eastAsia="仿宋_GB2312" w:cs="Times New Roman"/>
                <w:bCs/>
                <w:color w:val="auto"/>
                <w:kern w:val="2"/>
                <w:sz w:val="24"/>
                <w:szCs w:val="24"/>
              </w:rPr>
            </w:pPr>
            <w:r>
              <w:rPr>
                <w:rFonts w:hint="default" w:ascii="Times New Roman" w:hAnsi="Times New Roman" w:eastAsia="仿宋_GB2312" w:cs="Times New Roman"/>
                <w:color w:val="auto"/>
                <w:kern w:val="2"/>
                <w:sz w:val="24"/>
                <w:szCs w:val="24"/>
              </w:rPr>
              <w:t>施</w:t>
            </w:r>
          </w:p>
        </w:tc>
        <w:tc>
          <w:tcPr>
            <w:tcW w:w="8162" w:type="dxa"/>
            <w:noWrap w:val="0"/>
            <w:vAlign w:val="center"/>
          </w:tcPr>
          <w:p w14:paraId="104C77F9">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1、扬尘污染防治措施</w:t>
            </w:r>
          </w:p>
          <w:p w14:paraId="645D7874">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项目施工应严格按照《防治城市扬尘污染技术规范》（HJ/T 393-2007）以及《安徽省大气污染防治条例》（2015.3.1）对施工扬尘进行防治。施工单位应当按照工地扬尘污染防治方案的要求，在施工现场出入口公示扬尘污染控制措施、负责人、环保监督员、扬尘监管主管部门等有关信息，接受社会监督，严格按照“六个百分百”的要求做好污染防治措施，即：施工工地周边100%围挡；物料堆放100%覆盖；出入车辆100%冲洗；施工现场地面100%硬化；土方开挖100%湿法作业；渣土车辆100%密闭运输。</w:t>
            </w:r>
          </w:p>
          <w:p w14:paraId="67611406">
            <w:pPr>
              <w:numPr>
                <w:ilvl w:val="0"/>
                <w:numId w:val="7"/>
              </w:num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施工期间现场实行围挡封闭，围挡高度不得低于1.8m。围挡底端应设置防溢座，围挡之间以及围挡与防溢座之间无缝隙。</w:t>
            </w:r>
          </w:p>
          <w:p w14:paraId="159647C5">
            <w:pPr>
              <w:numPr>
                <w:ilvl w:val="0"/>
                <w:numId w:val="7"/>
              </w:num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出入口内侧设置洗车平台，完善排水设施，防止泥土粘带；车辆驶离工地前，应在洗车平台清洗轮胎及车身，不得带泥上路；控制出口车辆泥印在10m内，并及时清扫冲洗。</w:t>
            </w:r>
          </w:p>
          <w:p w14:paraId="2968A184">
            <w:pPr>
              <w:numPr>
                <w:ilvl w:val="0"/>
                <w:numId w:val="7"/>
              </w:num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土方工程施工过程中如遇到干燥、易起尘的天气，应洒水降尘，并尽量缩短起尘操作时间；遇到Ⅳ级及以上大风天气，应停止土方作业，同时作业处覆盖防尘网。</w:t>
            </w:r>
          </w:p>
          <w:p w14:paraId="2F991A63">
            <w:pPr>
              <w:numPr>
                <w:ilvl w:val="0"/>
                <w:numId w:val="7"/>
              </w:num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易产生扬尘的建筑材料包括水泥、石灰、砂石、涂料、铺装材料等不应露天堆放，应设置围挡或采用防尘布苫盖等防尘措施。施工过程中产生的弃土、弃料及其他建筑垃圾，应及时清运，若在工地内堆置超过一周，应采取覆盖防尘网、定期喷洒抑尘剂或喷水等防尘措施，防</w:t>
            </w:r>
            <w:r>
              <w:rPr>
                <w:rFonts w:hint="eastAsia" w:eastAsia="仿宋_GB2312" w:cs="Times New Roman"/>
                <w:color w:val="auto"/>
                <w:sz w:val="24"/>
                <w:szCs w:val="24"/>
                <w:lang w:val="en-US" w:eastAsia="zh-CN"/>
              </w:rPr>
              <w:t>止</w:t>
            </w:r>
            <w:r>
              <w:rPr>
                <w:rFonts w:hint="default" w:ascii="Times New Roman" w:hAnsi="Times New Roman" w:eastAsia="仿宋_GB2312" w:cs="Times New Roman"/>
                <w:color w:val="auto"/>
                <w:sz w:val="24"/>
                <w:szCs w:val="24"/>
                <w:lang w:val="en-US" w:eastAsia="zh-CN"/>
              </w:rPr>
              <w:t>风蚀起尘及水蚀迁移。</w:t>
            </w:r>
          </w:p>
          <w:p w14:paraId="3BEB956C">
            <w:pPr>
              <w:numPr>
                <w:ilvl w:val="0"/>
                <w:numId w:val="7"/>
              </w:num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进出工地的物料、渣土、垃圾运输车辆，应尽可能采用密闭车斗，并保证物料不遗撒外漏；若无密闭车斗，物料装载高度不得超过车辆槽帮上沿，车斗应用苫布遮盖严实。在运输路线选取上，应选择沿线敏感点少的路段，尽可能不要从居民点等其他敏感目标旁经过。</w:t>
            </w:r>
          </w:p>
          <w:p w14:paraId="57F777B7">
            <w:pPr>
              <w:numPr>
                <w:ilvl w:val="0"/>
                <w:numId w:val="7"/>
              </w:num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施工路面含尘量很高，尤其遇到干旱少雨季节，道路扬尘污染较为严重，因此环评建议为防止扬尘对局部环境空气的影响，当空气污染指数大于100或4级以上大风干燥天气不许人工干扫；在空气污染指数80~100时应每隔4小时保洁一次，洒水和清扫交替使用。施工工地内部裸露地面应覆盖防尘网、铺设礁渣或细石、增加植被绿化、定期洒水等措施，尽量减少扬尘的污染。</w:t>
            </w:r>
          </w:p>
          <w:p w14:paraId="78632AE5">
            <w:pPr>
              <w:numPr>
                <w:ilvl w:val="0"/>
                <w:numId w:val="7"/>
              </w:num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施工现场</w:t>
            </w:r>
            <w:r>
              <w:rPr>
                <w:rFonts w:hint="default" w:ascii="Times New Roman" w:hAnsi="Times New Roman" w:eastAsia="仿宋_GB2312" w:cs="Times New Roman"/>
                <w:color w:val="auto"/>
                <w:spacing w:val="-1"/>
                <w:sz w:val="24"/>
                <w:szCs w:val="24"/>
              </w:rPr>
              <w:t>使用商品混凝土和预拌砂浆，搅拌混凝土和砂浆采取封闭、降尘措</w:t>
            </w:r>
            <w:r>
              <w:rPr>
                <w:rFonts w:hint="default" w:ascii="Times New Roman" w:hAnsi="Times New Roman" w:eastAsia="仿宋_GB2312" w:cs="Times New Roman"/>
                <w:color w:val="auto"/>
                <w:spacing w:val="-5"/>
                <w:sz w:val="24"/>
                <w:szCs w:val="24"/>
              </w:rPr>
              <w:t>施；</w:t>
            </w:r>
            <w:r>
              <w:rPr>
                <w:rFonts w:hint="default" w:ascii="Times New Roman" w:hAnsi="Times New Roman" w:eastAsia="仿宋_GB2312" w:cs="Times New Roman"/>
                <w:color w:val="auto"/>
                <w:sz w:val="24"/>
                <w:szCs w:val="24"/>
                <w:lang w:val="en-US" w:eastAsia="zh-CN"/>
              </w:rPr>
              <w:t>禁止焚烧沥青、油毡、橡胶、垃圾等易产生有毒有害烟尘和恶臭气体的物质。</w:t>
            </w:r>
          </w:p>
          <w:p w14:paraId="0662BC44">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施工单位除落实以上措施外，建议按《关于落实建筑扬尘控制管理</w:t>
            </w:r>
            <w:r>
              <w:rPr>
                <w:rFonts w:hint="eastAsia" w:eastAsia="仿宋_GB2312" w:cs="Times New Roman"/>
                <w:color w:val="auto"/>
                <w:sz w:val="24"/>
                <w:szCs w:val="24"/>
                <w:lang w:val="en-US" w:eastAsia="zh-CN"/>
              </w:rPr>
              <w:t>台账</w:t>
            </w:r>
            <w:r>
              <w:rPr>
                <w:rFonts w:hint="default" w:ascii="Times New Roman" w:hAnsi="Times New Roman" w:eastAsia="仿宋_GB2312" w:cs="Times New Roman"/>
                <w:color w:val="auto"/>
                <w:sz w:val="24"/>
                <w:szCs w:val="24"/>
                <w:lang w:val="en-US" w:eastAsia="zh-CN"/>
              </w:rPr>
              <w:t>制度的通知》要求：①制定扬尘防治方案，明确扬尘污染防治设施及管理措施和资金保障，确保扬尘防治措施落实到位；②建立扬尘防治工作管理责任制度，明确责任人，落实操作人员，加强考核，将扬尘防治管理列入日常管理工作中，把考核结果与奖惩挂钩；③规范记录日常管理台账，日常管理台账主要包括扬尘观测报告单、道路清扫洒水记录表、车辆进出工地冲洗记录表、建筑垃圾每日清理记录、沉淀池清理记录等，</w:t>
            </w:r>
            <w:r>
              <w:rPr>
                <w:rFonts w:hint="eastAsia" w:eastAsia="仿宋_GB2312" w:cs="Times New Roman"/>
                <w:color w:val="auto"/>
                <w:sz w:val="24"/>
                <w:szCs w:val="24"/>
                <w:lang w:val="en-US" w:eastAsia="zh-CN"/>
              </w:rPr>
              <w:t>台账</w:t>
            </w:r>
            <w:r>
              <w:rPr>
                <w:rFonts w:hint="default" w:ascii="Times New Roman" w:hAnsi="Times New Roman" w:eastAsia="仿宋_GB2312" w:cs="Times New Roman"/>
                <w:color w:val="auto"/>
                <w:sz w:val="24"/>
                <w:szCs w:val="24"/>
                <w:lang w:val="en-US" w:eastAsia="zh-CN"/>
              </w:rPr>
              <w:t>记录明确记录工作时间、工作内容、规范落实情况等相关信息。</w:t>
            </w:r>
          </w:p>
          <w:p w14:paraId="3FD8AC23">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2、废水污染防治措施</w:t>
            </w:r>
          </w:p>
          <w:p w14:paraId="7A944735">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rPr>
              <w:t>施工期间的废水主要有地面冲洗水，设备冲洗水和施</w:t>
            </w:r>
            <w:r>
              <w:rPr>
                <w:rFonts w:hint="default" w:ascii="Times New Roman" w:hAnsi="Times New Roman" w:eastAsia="仿宋_GB2312" w:cs="Times New Roman"/>
                <w:color w:val="auto"/>
                <w:spacing w:val="-1"/>
                <w:sz w:val="24"/>
                <w:szCs w:val="24"/>
              </w:rPr>
              <w:t>工人员的生活污水等。</w:t>
            </w:r>
          </w:p>
          <w:p w14:paraId="79C963AA">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rPr>
              <w:t>①建议在施工现场</w:t>
            </w:r>
            <w:r>
              <w:rPr>
                <w:rFonts w:hint="default" w:ascii="Times New Roman" w:hAnsi="Times New Roman" w:eastAsia="仿宋_GB2312" w:cs="Times New Roman"/>
                <w:color w:val="auto"/>
                <w:sz w:val="24"/>
                <w:szCs w:val="24"/>
                <w:lang w:eastAsia="zh-CN"/>
              </w:rPr>
              <w:t>预先建好施工场地排水设施，实行雨污分流，保证排水系统畅通。</w:t>
            </w:r>
          </w:p>
          <w:p w14:paraId="3A5D8F5C">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②设置临时废水沉淀池，收集施工中所排放的各类废水</w:t>
            </w:r>
            <w:r>
              <w:rPr>
                <w:rFonts w:hint="default" w:ascii="Times New Roman" w:hAnsi="Times New Roman" w:eastAsia="仿宋_GB2312" w:cs="Times New Roman"/>
                <w:color w:val="auto"/>
                <w:sz w:val="24"/>
                <w:szCs w:val="24"/>
                <w:lang w:eastAsia="zh-CN"/>
              </w:rPr>
              <w:t>；沉淀后的废水可以补充施工用水或处理达标后排放</w:t>
            </w:r>
            <w:r>
              <w:rPr>
                <w:rFonts w:hint="default" w:ascii="Times New Roman" w:hAnsi="Times New Roman" w:eastAsia="仿宋_GB2312" w:cs="Times New Roman"/>
                <w:color w:val="auto"/>
                <w:sz w:val="24"/>
                <w:szCs w:val="24"/>
              </w:rPr>
              <w:t>，沉淀产生的泥浆可自行在项目上消化（如绿化、填坑）。</w:t>
            </w:r>
          </w:p>
          <w:p w14:paraId="45C3F4BD">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③施工单位应备有防雨薄膜，遇上暴雨，用于遮盖临时土方堆场，减少雨水冲刷。</w:t>
            </w:r>
          </w:p>
          <w:p w14:paraId="65C1F66C">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④施工人员</w:t>
            </w:r>
            <w:r>
              <w:rPr>
                <w:rFonts w:hint="default" w:ascii="Times New Roman" w:hAnsi="Times New Roman" w:eastAsia="仿宋_GB2312" w:cs="Times New Roman"/>
                <w:color w:val="auto"/>
                <w:sz w:val="24"/>
                <w:szCs w:val="24"/>
                <w:lang w:eastAsia="zh-CN"/>
              </w:rPr>
              <w:t>如厕需求依托项目地北侧污水厂现有厕所</w:t>
            </w:r>
            <w:r>
              <w:rPr>
                <w:rFonts w:hint="default" w:ascii="Times New Roman" w:hAnsi="Times New Roman" w:eastAsia="仿宋_GB2312" w:cs="Times New Roman"/>
                <w:color w:val="auto"/>
                <w:sz w:val="24"/>
                <w:szCs w:val="24"/>
              </w:rPr>
              <w:t>，</w:t>
            </w:r>
            <w:r>
              <w:rPr>
                <w:rFonts w:hint="default" w:ascii="Times New Roman" w:hAnsi="Times New Roman" w:eastAsia="仿宋_GB2312" w:cs="Times New Roman"/>
                <w:color w:val="auto"/>
                <w:sz w:val="24"/>
                <w:szCs w:val="24"/>
                <w:lang w:eastAsia="zh-CN"/>
              </w:rPr>
              <w:t>不再新建化粪池</w:t>
            </w:r>
            <w:r>
              <w:rPr>
                <w:rFonts w:hint="default" w:ascii="Times New Roman" w:hAnsi="Times New Roman" w:eastAsia="仿宋_GB2312" w:cs="Times New Roman"/>
                <w:color w:val="auto"/>
                <w:sz w:val="24"/>
                <w:szCs w:val="24"/>
              </w:rPr>
              <w:t>。</w:t>
            </w:r>
          </w:p>
          <w:p w14:paraId="1D932CDC">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建设单位必须施工规范、落实各种污染防治措施，在此基础上，建设项目施工</w:t>
            </w:r>
            <w:r>
              <w:rPr>
                <w:rFonts w:hint="default" w:ascii="Times New Roman" w:hAnsi="Times New Roman" w:eastAsia="仿宋_GB2312" w:cs="Times New Roman"/>
                <w:color w:val="auto"/>
                <w:sz w:val="24"/>
                <w:szCs w:val="24"/>
                <w:lang w:eastAsia="zh-CN"/>
              </w:rPr>
              <w:t>期</w:t>
            </w:r>
            <w:r>
              <w:rPr>
                <w:rFonts w:hint="default" w:ascii="Times New Roman" w:hAnsi="Times New Roman" w:eastAsia="仿宋_GB2312" w:cs="Times New Roman"/>
                <w:color w:val="auto"/>
                <w:sz w:val="24"/>
                <w:szCs w:val="24"/>
              </w:rPr>
              <w:t>一般不会对地表水环境造成明显的不利影响。</w:t>
            </w:r>
          </w:p>
          <w:p w14:paraId="005C31FC">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3、噪声污染防治措施</w:t>
            </w:r>
          </w:p>
          <w:p w14:paraId="7906B00F">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施工期噪声影响主要来自施工机械和运输车辆，其噪声源强在85~100dB（A）。施工噪声具有阶段性和临时性，不同的施工设备产生的噪声不同。为减轻施工噪声对周边的影响，环评建议施工单位采取以下控制措施：</w:t>
            </w:r>
          </w:p>
          <w:p w14:paraId="1D9F99D1">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①本项目原则上不进行夜间（22:00~次日6:00）施工。若根据施工要求确需在夜间施工，应先取得环保部门同意夜间施工的批复，同时</w:t>
            </w:r>
            <w:r>
              <w:rPr>
                <w:rFonts w:hint="eastAsia" w:eastAsia="仿宋_GB2312" w:cs="Times New Roman"/>
                <w:color w:val="auto"/>
                <w:sz w:val="24"/>
                <w:szCs w:val="24"/>
                <w:lang w:val="en-US" w:eastAsia="zh-CN"/>
              </w:rPr>
              <w:t>优化</w:t>
            </w:r>
            <w:r>
              <w:rPr>
                <w:rFonts w:hint="default" w:ascii="Times New Roman" w:hAnsi="Times New Roman" w:eastAsia="仿宋_GB2312" w:cs="Times New Roman"/>
                <w:color w:val="auto"/>
                <w:sz w:val="24"/>
                <w:szCs w:val="24"/>
                <w:lang w:val="en-US" w:eastAsia="zh-CN"/>
              </w:rPr>
              <w:t>施工组织，避免进行高噪声施工，把影响减至最小。</w:t>
            </w:r>
          </w:p>
          <w:p w14:paraId="4E8CE422">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②合理安排施工时序，制订施工计划时，避免在同一地点安排大量动力机械设备，以免局部声级过高，并避免多台高噪声设备同时施工，严禁敲打导管和钻杆，控制高噪声污染。</w:t>
            </w:r>
          </w:p>
          <w:p w14:paraId="69B75720">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③在施工边界设立隔声屏障，隔声屏障高度不得低于2.2m，以降低噪声的向外传递。对位置相对固定的机械设备，合理设计平面布置，尽量在工棚内操作。</w:t>
            </w:r>
          </w:p>
          <w:p w14:paraId="0533D157">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④施工单位要尽量选用高性能、低噪音的设备，并注意定期保养，使设备保持良好状态，从源头上降低噪声。严禁使用不符合标准的车辆、机械。</w:t>
            </w:r>
          </w:p>
          <w:p w14:paraId="3E32BED8">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采取上述措施后，本项目施工噪声可得到一定的控制。工程施工过程中的大噪声作业是短时间的，但具有强度大的特点，仍可能影响周围公众的不良情绪。因此，建设单位仍需对此引起重视，对受施工干扰的单位和居民应在作业前做好安民告示，通过有效的降噪措施和合理的噪声施工时间安排，降低施工噪声对周围环境的影响，做到文明施工，尽可能取得公众的理解和支持。</w:t>
            </w:r>
          </w:p>
          <w:p w14:paraId="3D7E1C3C">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4、固体废物污染防治措施</w:t>
            </w:r>
          </w:p>
          <w:p w14:paraId="4E286EEB">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施工产生的固体废物主要有施工人员的生活垃圾、建筑垃圾和施工渣土。</w:t>
            </w:r>
          </w:p>
          <w:p w14:paraId="60BB1894">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①生活垃圾：项目施工期生活垃圾采取分类处置，综合利用的原则，能回收利用的尽量回收，不能利用的生活垃圾袋装后委托环卫部门清运。</w:t>
            </w:r>
          </w:p>
          <w:p w14:paraId="495CC33B">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②建筑垃圾：施工过程中产生的建筑垃圾需严格按照《城市建筑垃圾管理规定》中的要求及时清运或加以利用，防止其因长期堆放而产生扬尘。项目区应设置危险废物暂存场所，短期存放废油漆桶、废涂料桶等危废，统一交有相应资质的单位处理。具体存储场所位置和规模由建设单位结合施工方案划分，危废贮存应满足（GB 18597-2023）要求。</w:t>
            </w:r>
          </w:p>
          <w:p w14:paraId="4C8C1E03">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③施工渣土：由施工单位或承建单位和市容管理局联系外运。渣土运输过程中建筑垃圾运输车辆应当采取密闭措施，不得超载运输，不得车轮带泥，不得遗撒、泄漏。</w:t>
            </w:r>
          </w:p>
          <w:p w14:paraId="0F99F6C6">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5、生态保护措施</w:t>
            </w:r>
          </w:p>
          <w:p w14:paraId="33EFF19E">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施工期生态问题主要为土地平整时的生态破坏和水土流失，体现在：地表植被的破坏、地形地貌的变化、土壤松软度改变以及易产生水土流失等生态问题。在施工过程中切实做好各种生态保护措施，施工结束后再因地制宜地进行生态恢复，将生态环境影响降低到最低限度。主要防护措施包括：</w:t>
            </w:r>
          </w:p>
          <w:p w14:paraId="15B89B9F">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（1）在优化主体工程设计的同时，进行规范施工。</w:t>
            </w:r>
          </w:p>
          <w:p w14:paraId="43756517">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（2）施工单位应与气象部门保持密切联系，随时了解降雨时间、强度，尤其是大雨和暴雨，以便雨前做好防护措施，如雨前将填铺的松土及时压实等。</w:t>
            </w:r>
          </w:p>
          <w:p w14:paraId="54045B4D">
            <w:pPr>
              <w:autoSpaceDE w:val="0"/>
              <w:autoSpaceDN w:val="0"/>
              <w:adjustRightInd w:val="0"/>
              <w:spacing w:line="360" w:lineRule="auto"/>
              <w:ind w:firstLine="480" w:firstLineChars="200"/>
              <w:rPr>
                <w:rFonts w:hint="default" w:ascii="Times New Roman" w:hAnsi="Times New Roman" w:eastAsia="仿宋_GB2312" w:cs="Times New Roman"/>
                <w:bCs/>
                <w:color w:val="auto"/>
                <w:spacing w:val="-10"/>
                <w:sz w:val="24"/>
                <w:szCs w:val="24"/>
              </w:rPr>
            </w:pPr>
            <w:r>
              <w:rPr>
                <w:rFonts w:hint="default" w:ascii="Times New Roman" w:hAnsi="Times New Roman" w:eastAsia="仿宋_GB2312" w:cs="Times New Roman"/>
                <w:color w:val="auto"/>
                <w:sz w:val="24"/>
                <w:szCs w:val="24"/>
                <w:lang w:val="en-US" w:eastAsia="zh-CN"/>
              </w:rPr>
              <w:t>（3）施工场地四周修建挡土墙，并设临时排水沟渠导排废水，及时清淤保证排水沟畅通；注重节约用水，避免雨期施工，减少水土流失产生量；在不得已情况下在雨季施工，土石方在项目内保持平衡，并应采取随挖、随运、随铺、随压的方法，以便最大程度减少松散土的存在。</w:t>
            </w:r>
          </w:p>
        </w:tc>
      </w:tr>
    </w:tbl>
    <w:p w14:paraId="2FA31483">
      <w:pPr>
        <w:rPr>
          <w:color w:val="auto"/>
        </w:rPr>
      </w:pPr>
    </w:p>
    <w:tbl>
      <w:tblPr>
        <w:tblStyle w:val="19"/>
        <w:tblW w:w="890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46"/>
        <w:gridCol w:w="8162"/>
      </w:tblGrid>
      <w:tr w14:paraId="66CA4E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10" w:hRule="atLeast"/>
          <w:jc w:val="center"/>
        </w:trPr>
        <w:tc>
          <w:tcPr>
            <w:tcW w:w="746" w:type="dxa"/>
            <w:noWrap w:val="0"/>
            <w:tcMar>
              <w:left w:w="28" w:type="dxa"/>
              <w:right w:w="28" w:type="dxa"/>
            </w:tcMar>
            <w:vAlign w:val="center"/>
          </w:tcPr>
          <w:p w14:paraId="6A1D3FB8">
            <w:pPr>
              <w:adjustRightInd w:val="0"/>
              <w:snapToGrid w:val="0"/>
              <w:jc w:val="center"/>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Cs/>
                <w:color w:val="auto"/>
                <w:sz w:val="24"/>
                <w:szCs w:val="24"/>
                <w:highlight w:val="none"/>
              </w:rPr>
              <w:t>运营</w:t>
            </w:r>
          </w:p>
          <w:p w14:paraId="1F6CEE5A">
            <w:pPr>
              <w:adjustRightInd w:val="0"/>
              <w:snapToGrid w:val="0"/>
              <w:jc w:val="center"/>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Cs/>
                <w:color w:val="auto"/>
                <w:sz w:val="24"/>
                <w:szCs w:val="24"/>
                <w:highlight w:val="none"/>
              </w:rPr>
              <w:t>期环</w:t>
            </w:r>
          </w:p>
          <w:p w14:paraId="737ABCD4">
            <w:pPr>
              <w:adjustRightInd w:val="0"/>
              <w:snapToGrid w:val="0"/>
              <w:jc w:val="center"/>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Cs/>
                <w:color w:val="auto"/>
                <w:sz w:val="24"/>
                <w:szCs w:val="24"/>
                <w:highlight w:val="none"/>
              </w:rPr>
              <w:t>境影</w:t>
            </w:r>
          </w:p>
          <w:p w14:paraId="43D1B4DF">
            <w:pPr>
              <w:adjustRightInd w:val="0"/>
              <w:snapToGrid w:val="0"/>
              <w:jc w:val="center"/>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Cs/>
                <w:color w:val="auto"/>
                <w:sz w:val="24"/>
                <w:szCs w:val="24"/>
                <w:highlight w:val="none"/>
              </w:rPr>
              <w:t>响和</w:t>
            </w:r>
          </w:p>
          <w:p w14:paraId="24E79BD6">
            <w:pPr>
              <w:adjustRightInd w:val="0"/>
              <w:snapToGrid w:val="0"/>
              <w:jc w:val="center"/>
              <w:rPr>
                <w:rFonts w:hint="default" w:ascii="Times New Roman" w:hAnsi="Times New Roman" w:eastAsia="仿宋_GB2312" w:cs="Times New Roman"/>
                <w:bCs/>
                <w:color w:val="auto"/>
                <w:sz w:val="24"/>
                <w:szCs w:val="24"/>
                <w:highlight w:val="none"/>
              </w:rPr>
            </w:pPr>
            <w:r>
              <w:rPr>
                <w:rFonts w:hint="default" w:ascii="Times New Roman" w:hAnsi="Times New Roman" w:eastAsia="仿宋_GB2312" w:cs="Times New Roman"/>
                <w:bCs/>
                <w:color w:val="auto"/>
                <w:sz w:val="24"/>
                <w:szCs w:val="24"/>
                <w:highlight w:val="none"/>
              </w:rPr>
              <w:t>保护</w:t>
            </w:r>
          </w:p>
          <w:p w14:paraId="4D345AA8">
            <w:pPr>
              <w:adjustRightInd w:val="0"/>
              <w:snapToGrid w:val="0"/>
              <w:jc w:val="center"/>
              <w:rPr>
                <w:rFonts w:hint="default" w:ascii="Times New Roman" w:hAnsi="Times New Roman" w:eastAsia="仿宋_GB2312" w:cs="Times New Roman"/>
                <w:bCs/>
                <w:color w:val="auto"/>
                <w:sz w:val="24"/>
                <w:szCs w:val="24"/>
              </w:rPr>
            </w:pPr>
            <w:r>
              <w:rPr>
                <w:rFonts w:hint="default" w:ascii="Times New Roman" w:hAnsi="Times New Roman" w:eastAsia="仿宋_GB2312" w:cs="Times New Roman"/>
                <w:bCs/>
                <w:color w:val="auto"/>
                <w:sz w:val="24"/>
                <w:szCs w:val="24"/>
                <w:highlight w:val="none"/>
              </w:rPr>
              <w:t>措</w:t>
            </w:r>
            <w:r>
              <w:rPr>
                <w:rFonts w:hint="default" w:ascii="Times New Roman" w:hAnsi="Times New Roman" w:eastAsia="仿宋_GB2312" w:cs="Times New Roman"/>
                <w:bCs/>
                <w:color w:val="auto"/>
                <w:sz w:val="24"/>
                <w:szCs w:val="24"/>
              </w:rPr>
              <w:t>施</w:t>
            </w:r>
          </w:p>
        </w:tc>
        <w:tc>
          <w:tcPr>
            <w:tcW w:w="8162" w:type="dxa"/>
            <w:noWrap w:val="0"/>
            <w:vAlign w:val="center"/>
          </w:tcPr>
          <w:p w14:paraId="432C209F">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1、废气</w:t>
            </w:r>
          </w:p>
          <w:p w14:paraId="4AECB2B7">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运营后产生的废气污染物主要为油气，是在加油作业过程中产生的，如油罐车卸油、油罐储油、油枪加油时油气的外泄和挥发，以及汽车油箱满溢或加油操作疏忽造成的泄漏等。这些挥发油气在加油站周围“漫游”，促使加油站周边的非甲烷总烃含量升高，同时柴油中部分有机物质也充斥于附近空气中，影响周边环境。加气站泄压时排放一定量的天然气，主要成分为甲烷和氮气，经过高空排放后对周围影响较小。</w:t>
            </w:r>
          </w:p>
          <w:p w14:paraId="04B902F5">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加油加气站大气污染源以无组织形式排放，主要包括：油罐大/小呼吸废气、加油作业废气、加气作业废气以及汽车尾气。</w:t>
            </w:r>
          </w:p>
          <w:p w14:paraId="51DE6CBA">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（1）加油作业过程中产生的有机废气</w:t>
            </w:r>
          </w:p>
          <w:p w14:paraId="01806952">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①油罐车卸油废气（即“大呼吸”）</w:t>
            </w:r>
          </w:p>
          <w:p w14:paraId="0C9D1DE7">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大呼吸是指油罐进发油时的呼吸。储油罐进油时，由于油面逐渐升高，气体空间逐渐减小，罐内压力增大，当压力超过通气管控制压力时，一定浓度的油气开始从通气管呼出，直到储油罐停止进油，过程中所呼出的油气即为造成的油品蒸发损失。</w:t>
            </w:r>
          </w:p>
          <w:p w14:paraId="7955F491">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影响大呼吸的主要因素有：</w:t>
            </w:r>
          </w:p>
          <w:p w14:paraId="5B3902E0">
            <w:pPr>
              <w:numPr>
                <w:ilvl w:val="0"/>
                <w:numId w:val="8"/>
              </w:numPr>
              <w:autoSpaceDE w:val="0"/>
              <w:autoSpaceDN w:val="0"/>
              <w:adjustRightInd w:val="0"/>
              <w:spacing w:line="360" w:lineRule="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根据油品性质：油品密度越小，轻质馏分越多，损耗越大。</w:t>
            </w:r>
          </w:p>
          <w:p w14:paraId="2C486DA3">
            <w:pPr>
              <w:numPr>
                <w:ilvl w:val="0"/>
                <w:numId w:val="8"/>
              </w:numPr>
              <w:autoSpaceDE w:val="0"/>
              <w:autoSpaceDN w:val="0"/>
              <w:adjustRightInd w:val="0"/>
              <w:spacing w:line="360" w:lineRule="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根据收发油速度：进油、出油速度越快，损耗越大。</w:t>
            </w:r>
          </w:p>
          <w:p w14:paraId="7717FBAB">
            <w:pPr>
              <w:numPr>
                <w:ilvl w:val="0"/>
                <w:numId w:val="8"/>
              </w:numPr>
              <w:autoSpaceDE w:val="0"/>
              <w:autoSpaceDN w:val="0"/>
              <w:adjustRightInd w:val="0"/>
              <w:spacing w:line="360" w:lineRule="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根据油罐耐压等级：油罐耐压性能越好，呼吸损耗越小。当油罐耐压达到5kPa时，则降耗率为25.1%；若耐压提高到26kPa时，则可基本上消除小呼吸损失，并在一定程度上降低大呼吸损失。</w:t>
            </w:r>
          </w:p>
          <w:p w14:paraId="5244852F">
            <w:pPr>
              <w:numPr>
                <w:ilvl w:val="0"/>
                <w:numId w:val="8"/>
              </w:numPr>
              <w:autoSpaceDE w:val="0"/>
              <w:autoSpaceDN w:val="0"/>
              <w:adjustRightInd w:val="0"/>
              <w:spacing w:line="360" w:lineRule="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与油罐所处的地理位置、大气温度、风向、风力及管理水平有关。</w:t>
            </w:r>
          </w:p>
          <w:p w14:paraId="594CC5B4">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未配套油气回收系统时，依据《中国加油站VOC排放污染现状及控制》（环境科学·第27卷第8期，2006年8月）相关内容，油品卸车过程中油气耗损率分别为：汽油2.3kg/t（2.3‰）通过量，柴油0.027kg/t（0.027‰）通过量。</w:t>
            </w:r>
          </w:p>
          <w:p w14:paraId="5A194045">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②油罐静置废气（即“小呼吸”）</w:t>
            </w:r>
          </w:p>
          <w:p w14:paraId="745073EB">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油罐在没有收发油作业的情况下，随外界气温、压力在一天内的升降周期变化，罐内气体空间温度、油品蒸发速度、油气浓度和蒸汽压力也随之变化，使得罐内逸出的气体通过罐顶的通气管排入大气，这种排出压力的过程造成的油气损失就叫小呼吸损失，排出的废气称为油罐静置废气。</w:t>
            </w:r>
          </w:p>
          <w:p w14:paraId="23D15099">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小呼吸损失的影响因素主要有：</w:t>
            </w:r>
          </w:p>
          <w:p w14:paraId="3F2AE9CF">
            <w:pPr>
              <w:keepNext w:val="0"/>
              <w:keepLines w:val="0"/>
              <w:pageBreakBefore w:val="0"/>
              <w:widowControl w:val="0"/>
              <w:numPr>
                <w:ilvl w:val="0"/>
                <w:numId w:val="9"/>
              </w:numPr>
              <w:kinsoku/>
              <w:wordWrap/>
              <w:overflowPunct/>
              <w:topLinePunct w:val="0"/>
              <w:autoSpaceDE w:val="0"/>
              <w:autoSpaceDN w:val="0"/>
              <w:bidi w:val="0"/>
              <w:adjustRightInd w:val="0"/>
              <w:snapToGrid/>
              <w:spacing w:line="360" w:lineRule="auto"/>
              <w:ind w:firstLine="0" w:firstLineChars="0"/>
              <w:jc w:val="both"/>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根据昼夜温差变化：昼夜温差变化越大，小呼吸损失越大。</w:t>
            </w:r>
          </w:p>
          <w:p w14:paraId="066B7A18">
            <w:pPr>
              <w:keepNext w:val="0"/>
              <w:keepLines w:val="0"/>
              <w:pageBreakBefore w:val="0"/>
              <w:widowControl w:val="0"/>
              <w:numPr>
                <w:ilvl w:val="0"/>
                <w:numId w:val="9"/>
              </w:numPr>
              <w:kinsoku/>
              <w:wordWrap/>
              <w:overflowPunct/>
              <w:topLinePunct w:val="0"/>
              <w:autoSpaceDE w:val="0"/>
              <w:autoSpaceDN w:val="0"/>
              <w:bidi w:val="0"/>
              <w:adjustRightInd w:val="0"/>
              <w:snapToGrid/>
              <w:spacing w:line="360" w:lineRule="auto"/>
              <w:ind w:firstLine="0" w:firstLineChars="0"/>
              <w:jc w:val="both"/>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根据油罐所处地区日照强度：日照强度越大，小呼吸损失越大。</w:t>
            </w:r>
          </w:p>
          <w:p w14:paraId="459D897A">
            <w:pPr>
              <w:keepNext w:val="0"/>
              <w:keepLines w:val="0"/>
              <w:pageBreakBefore w:val="0"/>
              <w:widowControl w:val="0"/>
              <w:numPr>
                <w:ilvl w:val="0"/>
                <w:numId w:val="9"/>
              </w:numPr>
              <w:kinsoku/>
              <w:wordWrap/>
              <w:overflowPunct/>
              <w:topLinePunct w:val="0"/>
              <w:autoSpaceDE w:val="0"/>
              <w:autoSpaceDN w:val="0"/>
              <w:bidi w:val="0"/>
              <w:adjustRightInd w:val="0"/>
              <w:snapToGrid/>
              <w:spacing w:line="360" w:lineRule="auto"/>
              <w:ind w:firstLine="0" w:firstLineChars="0"/>
              <w:jc w:val="both"/>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根据面积大小：储罐越大，截面积越大，小呼吸损失越大。</w:t>
            </w:r>
          </w:p>
          <w:p w14:paraId="440E14BA">
            <w:pPr>
              <w:keepNext w:val="0"/>
              <w:keepLines w:val="0"/>
              <w:pageBreakBefore w:val="0"/>
              <w:widowControl w:val="0"/>
              <w:numPr>
                <w:ilvl w:val="0"/>
                <w:numId w:val="9"/>
              </w:numPr>
              <w:kinsoku/>
              <w:wordWrap/>
              <w:overflowPunct/>
              <w:topLinePunct w:val="0"/>
              <w:autoSpaceDE w:val="0"/>
              <w:autoSpaceDN w:val="0"/>
              <w:bidi w:val="0"/>
              <w:adjustRightInd w:val="0"/>
              <w:snapToGrid/>
              <w:spacing w:line="360" w:lineRule="auto"/>
              <w:ind w:firstLine="0" w:firstLineChars="0"/>
              <w:jc w:val="both"/>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根据大气压高低：大气压越低，小呼吸损失越大。</w:t>
            </w:r>
          </w:p>
          <w:p w14:paraId="14F6BE60">
            <w:pPr>
              <w:keepNext w:val="0"/>
              <w:keepLines w:val="0"/>
              <w:pageBreakBefore w:val="0"/>
              <w:widowControl w:val="0"/>
              <w:numPr>
                <w:ilvl w:val="0"/>
                <w:numId w:val="9"/>
              </w:numPr>
              <w:kinsoku/>
              <w:wordWrap/>
              <w:overflowPunct/>
              <w:topLinePunct w:val="0"/>
              <w:autoSpaceDE w:val="0"/>
              <w:autoSpaceDN w:val="0"/>
              <w:bidi w:val="0"/>
              <w:adjustRightInd w:val="0"/>
              <w:snapToGrid/>
              <w:spacing w:line="360" w:lineRule="auto"/>
              <w:ind w:firstLine="0" w:firstLineChars="0"/>
              <w:jc w:val="both"/>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根据油罐装满程度：油罐装满，气体空间容积小，小呼吸损失小。</w:t>
            </w:r>
          </w:p>
          <w:p w14:paraId="55050053">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依据《中国加油站VOC排放污染现状及控制》（环境科学·第27卷第8期，2006年8月）相关内容，储罐小呼吸损耗率为：汽油0.16kg/t（0.16‰），柴油储罐小呼吸可以忽略不计。</w:t>
            </w:r>
          </w:p>
          <w:p w14:paraId="59EBDDA7">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③加油机加油废气</w:t>
            </w:r>
          </w:p>
          <w:p w14:paraId="61ABC752">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机动车加油过程中，机动车油箱未加油前就存在着一定浓度的油气，随着油品进入汽车油箱，油箱内液态油品体积增大，油箱内的烃类气体被油品置换排出。另外，在加油机作业过程中，不可避免地有一些成品油跑、冒、滴、漏现象的发生，跑冒滴漏情况与加油站的管理、加油工人的操作水平等诸多因素有关。</w:t>
            </w:r>
          </w:p>
          <w:p w14:paraId="6E3FCBFD">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未配套油气回收系统时，本项目加油作业油气量依据《中国加油站VOC排放污染现状及控制》（环境科学·第27卷第8期，2006年8月）相关内容，油品零售过程中损耗率为：汽油2.49kg/t（2.49‰），柴油0.048kg/t（0.048‰）。</w:t>
            </w:r>
          </w:p>
          <w:p w14:paraId="0CC18749">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根据加油站统计资料，在汽油卸油、加油过程中安装油气回收系统后，扩散的非甲烷总烃分别减少了90%、87%左右，其他未回收处理的非甲烷总烃无组织排放。</w:t>
            </w:r>
          </w:p>
          <w:p w14:paraId="1E0DD2E7">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（2）加气作业过程中的废气排放</w:t>
            </w:r>
          </w:p>
          <w:p w14:paraId="020A0CD5">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LNG储罐闪蒸、装置区和加注作业、定期检修等过程，均会造成少量天然气通过放散管以无组织形式逸散排出。</w:t>
            </w:r>
          </w:p>
          <w:p w14:paraId="01E2F859">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①LNG储罐闪蒸废气</w:t>
            </w:r>
          </w:p>
          <w:p w14:paraId="45808F03">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LNG储罐储存过程中由于吸热或压力变化造成部分LNG蒸发为BOG气体，包括储罐温度、压力、气液相容积变化产生的蒸发气体。根据《LNG加气站BOG量计算及处理工艺》，LNG储罐产生的BOG量计算公式为：</w:t>
            </w:r>
          </w:p>
          <w:p w14:paraId="69C8264A">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jc w:val="center"/>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position w:val="-24"/>
                <w:sz w:val="24"/>
                <w:szCs w:val="24"/>
                <w:lang w:val="en-US" w:eastAsia="zh-CN"/>
              </w:rPr>
              <w:object>
                <v:shape id="_x0000_i1031" o:spt="75" type="#_x0000_t75" style="height:33pt;width:62pt;" o:ole="t" filled="f" o:preferrelative="t" stroked="f" coordsize="21600,21600">
                  <v:path/>
                  <v:fill on="f" focussize="0,0"/>
                  <v:stroke on="f"/>
                  <v:imagedata r:id="rId30" o:title=""/>
                  <o:lock v:ext="edit" aspectratio="t"/>
                  <w10:wrap type="none"/>
                  <w10:anchorlock/>
                </v:shape>
                <o:OLEObject Type="Embed" ProgID="Equation.KSEE3" ShapeID="_x0000_i1031" DrawAspect="Content" ObjectID="_1468075731" r:id="rId29">
                  <o:LockedField>false</o:LockedField>
                </o:OLEObject>
              </w:object>
            </w:r>
          </w:p>
          <w:p w14:paraId="584DAA7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式中：GT——BOG产生量，kg/h；</w:t>
            </w:r>
          </w:p>
          <w:p w14:paraId="1D58EADF">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1260" w:firstLineChars="525"/>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ℇ——储罐日蒸发率，%。本项目取0.2%；</w:t>
            </w:r>
          </w:p>
          <w:p w14:paraId="3AC5D7FC">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1260" w:firstLineChars="525"/>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η——储罐充装率，%。本项目为90%；</w:t>
            </w:r>
          </w:p>
          <w:p w14:paraId="1DA45B21">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1260" w:firstLineChars="525"/>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ρ——LNG液体密度，本项目为450kg/m</w:t>
            </w:r>
            <w:r>
              <w:rPr>
                <w:rFonts w:hint="default" w:ascii="Times New Roman" w:hAnsi="Times New Roman" w:eastAsia="仿宋_GB2312" w:cs="Times New Roman"/>
                <w:color w:val="auto"/>
                <w:sz w:val="24"/>
                <w:szCs w:val="24"/>
                <w:vertAlign w:val="superscript"/>
                <w:lang w:val="en-US" w:eastAsia="zh-CN"/>
              </w:rPr>
              <w:t>3</w:t>
            </w:r>
            <w:r>
              <w:rPr>
                <w:rFonts w:hint="default" w:ascii="Times New Roman" w:hAnsi="Times New Roman" w:eastAsia="仿宋_GB2312" w:cs="Times New Roman"/>
                <w:color w:val="auto"/>
                <w:sz w:val="24"/>
                <w:szCs w:val="24"/>
                <w:lang w:val="en-US" w:eastAsia="zh-CN"/>
              </w:rPr>
              <w:t>；</w:t>
            </w:r>
          </w:p>
          <w:p w14:paraId="2AA3CD3C">
            <w:pPr>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1260" w:firstLineChars="525"/>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Vg——储罐有效容积，本项目为60m</w:t>
            </w:r>
            <w:r>
              <w:rPr>
                <w:rFonts w:hint="default" w:ascii="Times New Roman" w:hAnsi="Times New Roman" w:eastAsia="仿宋_GB2312" w:cs="Times New Roman"/>
                <w:color w:val="auto"/>
                <w:sz w:val="24"/>
                <w:szCs w:val="24"/>
                <w:vertAlign w:val="superscript"/>
                <w:lang w:val="en-US" w:eastAsia="zh-CN"/>
              </w:rPr>
              <w:t>3</w:t>
            </w:r>
            <w:r>
              <w:rPr>
                <w:rFonts w:hint="default" w:ascii="Times New Roman" w:hAnsi="Times New Roman" w:eastAsia="仿宋_GB2312" w:cs="Times New Roman"/>
                <w:color w:val="auto"/>
                <w:sz w:val="24"/>
                <w:szCs w:val="24"/>
                <w:lang w:val="en-US" w:eastAsia="zh-CN"/>
              </w:rPr>
              <w:t>。</w:t>
            </w:r>
          </w:p>
          <w:p w14:paraId="71ADF95D">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经计算，本项目LNG储罐BOG产生量为2.025kg/h（17.7t/a）。</w:t>
            </w:r>
          </w:p>
          <w:p w14:paraId="2A0CF868">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项目撬装设备配套建设BOG回收系统对LNG储罐产生的BOG气体进行回收利用，BOG回收装置的回收率一般在70</w:t>
            </w:r>
            <w:r>
              <w:rPr>
                <w:rFonts w:hint="eastAsia" w:eastAsia="仿宋_GB2312" w:cs="Times New Roman"/>
                <w:color w:val="auto"/>
                <w:sz w:val="24"/>
                <w:szCs w:val="24"/>
                <w:lang w:val="en-US" w:eastAsia="zh-CN"/>
              </w:rPr>
              <w:t>%</w:t>
            </w:r>
            <w:r>
              <w:rPr>
                <w:rFonts w:hint="default" w:ascii="Times New Roman" w:hAnsi="Times New Roman" w:eastAsia="仿宋_GB2312" w:cs="Times New Roman"/>
                <w:color w:val="auto"/>
                <w:sz w:val="24"/>
                <w:szCs w:val="24"/>
                <w:lang w:val="en-US" w:eastAsia="zh-CN"/>
              </w:rPr>
              <w:t>~95%，本项目取回收率90%，经回收后本项目排放的BOG废气量为1.77t/a。本站原料LNG已经脱硫脱水处理，甲烷含量大于95%，最大含量估算其他烃类含量5%，则LNG储罐闪蒸废气的非甲烷总烃排放量为0.0885t/a。</w:t>
            </w:r>
          </w:p>
          <w:p w14:paraId="496F88B9">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②装置区和加注作业废气</w:t>
            </w:r>
          </w:p>
          <w:p w14:paraId="1F4500D7">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加气站装置区的废气排放主要产生于系统检修、管阀泄漏、卸车和加注作业等，根据《环境影响评价使用技术指南》中建议，加气站无组织排放量可按原料年用量的0.1‰~0.4‰来计算，本次评价取0.2‰，本项目LNG年消耗量为450t/a，经计算项目无组织废气产生量约为0.090t/a，则项目装置区废气的非甲烷总烃排放量为0.0045t/a。</w:t>
            </w:r>
          </w:p>
          <w:p w14:paraId="6118754A">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（3）汽车尾气</w:t>
            </w:r>
            <w:r>
              <w:rPr>
                <w:rFonts w:hint="default" w:ascii="Times New Roman" w:hAnsi="Times New Roman" w:eastAsia="仿宋_GB2312" w:cs="Times New Roman"/>
                <w:color w:val="auto"/>
                <w:sz w:val="24"/>
                <w:szCs w:val="24"/>
                <w:highlight w:val="none"/>
                <w:lang w:val="en-US" w:eastAsia="zh-CN"/>
              </w:rPr>
              <w:t>环境影响分析</w:t>
            </w:r>
          </w:p>
          <w:p w14:paraId="62B1FBB0">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本加油站往来加油汽车会产生少量汽车尾气，主要为CO、HC、NO</w:t>
            </w:r>
            <w:r>
              <w:rPr>
                <w:rFonts w:hint="default" w:ascii="Times New Roman" w:hAnsi="Times New Roman" w:eastAsia="仿宋_GB2312" w:cs="Times New Roman"/>
                <w:color w:val="auto"/>
                <w:sz w:val="24"/>
                <w:szCs w:val="24"/>
                <w:vertAlign w:val="subscript"/>
                <w:lang w:val="en-US" w:eastAsia="zh-CN"/>
              </w:rPr>
              <w:t>2</w:t>
            </w:r>
            <w:r>
              <w:rPr>
                <w:rFonts w:hint="default" w:ascii="Times New Roman" w:hAnsi="Times New Roman" w:eastAsia="仿宋_GB2312" w:cs="Times New Roman"/>
                <w:color w:val="auto"/>
                <w:sz w:val="24"/>
                <w:szCs w:val="24"/>
                <w:lang w:val="en-US" w:eastAsia="zh-CN"/>
              </w:rPr>
              <w:t>等污染物，这部分尾气无组织排放，排放量少，且排放源属于移动式，所排废气无法集中控制、收集，只能经大气稀疏后扩散排放，一般排放量都很小。另外加油车辆进站后发动机要求处于关闭状态，所以本项目产生的汽车尾气对项目区环境造成影响很小。</w:t>
            </w:r>
          </w:p>
          <w:p w14:paraId="7679DBAE">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本项目加油站建成后全厂销售方案</w:t>
            </w:r>
            <w:r>
              <w:rPr>
                <w:rFonts w:hint="default" w:ascii="Times New Roman" w:hAnsi="Times New Roman" w:eastAsia="仿宋_GB2312" w:cs="Times New Roman"/>
                <w:color w:val="auto"/>
                <w:sz w:val="24"/>
                <w:szCs w:val="24"/>
                <w:highlight w:val="none"/>
                <w:lang w:val="en-US" w:eastAsia="zh-CN"/>
              </w:rPr>
              <w:t>为汽油1250t/a，柴油550t/a，LNG1000m</w:t>
            </w:r>
            <w:r>
              <w:rPr>
                <w:rFonts w:hint="default" w:ascii="Times New Roman" w:hAnsi="Times New Roman" w:eastAsia="仿宋_GB2312" w:cs="Times New Roman"/>
                <w:color w:val="auto"/>
                <w:sz w:val="24"/>
                <w:szCs w:val="24"/>
                <w:highlight w:val="none"/>
                <w:vertAlign w:val="superscript"/>
                <w:lang w:val="en-US" w:eastAsia="zh-CN"/>
              </w:rPr>
              <w:t>3</w:t>
            </w:r>
            <w:r>
              <w:rPr>
                <w:rFonts w:hint="default" w:ascii="Times New Roman" w:hAnsi="Times New Roman" w:eastAsia="仿宋_GB2312" w:cs="Times New Roman"/>
                <w:color w:val="auto"/>
                <w:sz w:val="24"/>
                <w:szCs w:val="24"/>
                <w:highlight w:val="none"/>
                <w:lang w:val="en-US" w:eastAsia="zh-CN"/>
              </w:rPr>
              <w:t>/a，</w:t>
            </w:r>
            <w:r>
              <w:rPr>
                <w:rFonts w:hint="default" w:ascii="Times New Roman" w:hAnsi="Times New Roman" w:eastAsia="仿宋_GB2312" w:cs="Times New Roman"/>
                <w:color w:val="auto"/>
                <w:sz w:val="24"/>
                <w:szCs w:val="24"/>
                <w:lang w:val="en-US" w:eastAsia="zh-CN"/>
              </w:rPr>
              <w:t>配套建设油气回收装置，根据前文所述损失系数和处理效率，可计算出项目有机废气（非甲烷总烃表示）产生量和排放量，具体见下表。</w:t>
            </w:r>
          </w:p>
          <w:p w14:paraId="0ECD1108">
            <w:pPr>
              <w:pStyle w:val="57"/>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lang w:eastAsia="zh-CN"/>
              </w:rPr>
              <w:t>表4-1 非甲烷总烃产生及排放情况一览表</w:t>
            </w:r>
          </w:p>
          <w:tbl>
            <w:tblPr>
              <w:tblStyle w:val="20"/>
              <w:tblpPr w:leftFromText="180" w:rightFromText="180" w:vertAnchor="text" w:horzAnchor="page" w:tblpX="100" w:tblpY="4"/>
              <w:tblOverlap w:val="never"/>
              <w:tblW w:w="7946"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52"/>
              <w:gridCol w:w="1350"/>
              <w:gridCol w:w="678"/>
              <w:gridCol w:w="851"/>
              <w:gridCol w:w="713"/>
              <w:gridCol w:w="1112"/>
              <w:gridCol w:w="688"/>
              <w:gridCol w:w="706"/>
              <w:gridCol w:w="1296"/>
            </w:tblGrid>
            <w:tr w14:paraId="18C0CD9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2" w:type="dxa"/>
                  <w:tcBorders>
                    <w:tl2br w:val="nil"/>
                    <w:tr2bl w:val="nil"/>
                  </w:tcBorders>
                  <w:noWrap w:val="0"/>
                  <w:vAlign w:val="center"/>
                </w:tcPr>
                <w:p w14:paraId="43AE8054">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7"/>
                      <w:sz w:val="21"/>
                      <w:szCs w:val="21"/>
                      <w:vertAlign w:val="baseline"/>
                      <w:lang w:eastAsia="zh-CN"/>
                    </w:rPr>
                  </w:pPr>
                  <w:r>
                    <w:rPr>
                      <w:rFonts w:hint="default" w:ascii="Times New Roman" w:hAnsi="Times New Roman" w:eastAsia="仿宋_GB2312" w:cs="Times New Roman"/>
                      <w:b/>
                      <w:bCs/>
                      <w:color w:val="auto"/>
                      <w:spacing w:val="7"/>
                      <w:sz w:val="21"/>
                      <w:szCs w:val="21"/>
                      <w:vertAlign w:val="baseline"/>
                      <w:lang w:eastAsia="zh-CN"/>
                    </w:rPr>
                    <w:t>油品</w:t>
                  </w:r>
                </w:p>
              </w:tc>
              <w:tc>
                <w:tcPr>
                  <w:tcW w:w="1350" w:type="dxa"/>
                  <w:tcBorders>
                    <w:tl2br w:val="nil"/>
                    <w:tr2bl w:val="nil"/>
                  </w:tcBorders>
                  <w:noWrap w:val="0"/>
                  <w:vAlign w:val="center"/>
                </w:tcPr>
                <w:p w14:paraId="0799A7E6">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7"/>
                      <w:sz w:val="21"/>
                      <w:szCs w:val="21"/>
                      <w:vertAlign w:val="baseline"/>
                      <w:lang w:eastAsia="zh-CN"/>
                    </w:rPr>
                  </w:pPr>
                  <w:r>
                    <w:rPr>
                      <w:rFonts w:hint="default" w:ascii="Times New Roman" w:hAnsi="Times New Roman" w:eastAsia="仿宋_GB2312" w:cs="Times New Roman"/>
                      <w:b/>
                      <w:bCs/>
                      <w:color w:val="auto"/>
                      <w:spacing w:val="7"/>
                      <w:sz w:val="21"/>
                      <w:szCs w:val="21"/>
                      <w:vertAlign w:val="baseline"/>
                      <w:lang w:eastAsia="zh-CN"/>
                    </w:rPr>
                    <w:t>作业过程</w:t>
                  </w:r>
                </w:p>
              </w:tc>
              <w:tc>
                <w:tcPr>
                  <w:tcW w:w="678" w:type="dxa"/>
                  <w:tcBorders>
                    <w:tl2br w:val="nil"/>
                    <w:tr2bl w:val="nil"/>
                  </w:tcBorders>
                  <w:noWrap w:val="0"/>
                  <w:vAlign w:val="center"/>
                </w:tcPr>
                <w:p w14:paraId="58DCBB28">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7"/>
                      <w:sz w:val="21"/>
                      <w:szCs w:val="21"/>
                      <w:vertAlign w:val="baseline"/>
                      <w:lang w:eastAsia="zh-CN"/>
                    </w:rPr>
                  </w:pPr>
                  <w:r>
                    <w:rPr>
                      <w:rFonts w:hint="default" w:ascii="Times New Roman" w:hAnsi="Times New Roman" w:eastAsia="仿宋_GB2312" w:cs="Times New Roman"/>
                      <w:b/>
                      <w:bCs/>
                      <w:color w:val="auto"/>
                      <w:spacing w:val="7"/>
                      <w:sz w:val="21"/>
                      <w:szCs w:val="21"/>
                      <w:vertAlign w:val="baseline"/>
                      <w:lang w:eastAsia="zh-CN"/>
                    </w:rPr>
                    <w:t>污染因子</w:t>
                  </w:r>
                </w:p>
              </w:tc>
              <w:tc>
                <w:tcPr>
                  <w:tcW w:w="851" w:type="dxa"/>
                  <w:tcBorders>
                    <w:tl2br w:val="nil"/>
                    <w:tr2bl w:val="nil"/>
                  </w:tcBorders>
                  <w:noWrap w:val="0"/>
                  <w:vAlign w:val="center"/>
                </w:tcPr>
                <w:p w14:paraId="1533AA96">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7"/>
                      <w:sz w:val="21"/>
                      <w:szCs w:val="21"/>
                      <w:vertAlign w:val="baseline"/>
                      <w:lang w:val="en-US" w:eastAsia="zh-CN"/>
                    </w:rPr>
                  </w:pPr>
                  <w:r>
                    <w:rPr>
                      <w:rFonts w:hint="default" w:ascii="Times New Roman" w:hAnsi="Times New Roman" w:eastAsia="仿宋_GB2312" w:cs="Times New Roman"/>
                      <w:b/>
                      <w:bCs/>
                      <w:color w:val="auto"/>
                      <w:spacing w:val="7"/>
                      <w:sz w:val="21"/>
                      <w:szCs w:val="21"/>
                      <w:vertAlign w:val="baseline"/>
                      <w:lang w:eastAsia="zh-CN"/>
                    </w:rPr>
                    <w:t>年通过量</w:t>
                  </w:r>
                  <w:r>
                    <w:rPr>
                      <w:rFonts w:hint="default" w:ascii="Times New Roman" w:hAnsi="Times New Roman" w:eastAsia="仿宋_GB2312" w:cs="Times New Roman"/>
                      <w:b/>
                      <w:bCs/>
                      <w:color w:val="auto"/>
                      <w:spacing w:val="7"/>
                      <w:sz w:val="21"/>
                      <w:szCs w:val="21"/>
                      <w:vertAlign w:val="baseline"/>
                      <w:lang w:val="en-US" w:eastAsia="zh-CN"/>
                    </w:rPr>
                    <w:t xml:space="preserve"> t/a</w:t>
                  </w:r>
                </w:p>
              </w:tc>
              <w:tc>
                <w:tcPr>
                  <w:tcW w:w="713" w:type="dxa"/>
                  <w:tcBorders>
                    <w:tl2br w:val="nil"/>
                    <w:tr2bl w:val="nil"/>
                  </w:tcBorders>
                  <w:noWrap w:val="0"/>
                  <w:vAlign w:val="center"/>
                </w:tcPr>
                <w:p w14:paraId="7A892FE0">
                  <w:pPr>
                    <w:pStyle w:val="51"/>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jc w:val="center"/>
                    <w:textAlignment w:val="auto"/>
                    <w:rPr>
                      <w:rFonts w:hint="default" w:ascii="Times New Roman" w:hAnsi="Times New Roman" w:eastAsia="仿宋_GB2312" w:cs="Times New Roman"/>
                      <w:b/>
                      <w:bCs/>
                      <w:color w:val="auto"/>
                      <w:spacing w:val="7"/>
                      <w:sz w:val="21"/>
                      <w:szCs w:val="21"/>
                      <w:vertAlign w:val="baseline"/>
                      <w:lang w:val="en-US" w:eastAsia="zh-CN"/>
                    </w:rPr>
                  </w:pPr>
                  <w:r>
                    <w:rPr>
                      <w:rFonts w:hint="default" w:ascii="Times New Roman" w:hAnsi="Times New Roman" w:eastAsia="仿宋_GB2312" w:cs="Times New Roman"/>
                      <w:b/>
                      <w:bCs/>
                      <w:color w:val="auto"/>
                      <w:spacing w:val="7"/>
                      <w:sz w:val="21"/>
                      <w:szCs w:val="21"/>
                      <w:vertAlign w:val="baseline"/>
                      <w:lang w:eastAsia="zh-CN"/>
                    </w:rPr>
                    <w:t>损失系数</w:t>
                  </w:r>
                  <w:r>
                    <w:rPr>
                      <w:rFonts w:hint="default" w:ascii="Times New Roman" w:hAnsi="Times New Roman" w:eastAsia="仿宋_GB2312" w:cs="Times New Roman"/>
                      <w:b/>
                      <w:bCs/>
                      <w:color w:val="auto"/>
                      <w:spacing w:val="7"/>
                      <w:sz w:val="21"/>
                      <w:szCs w:val="21"/>
                      <w:vertAlign w:val="baseline"/>
                      <w:lang w:val="en-US" w:eastAsia="zh-CN"/>
                    </w:rPr>
                    <w:t>‰</w:t>
                  </w:r>
                </w:p>
              </w:tc>
              <w:tc>
                <w:tcPr>
                  <w:tcW w:w="1112" w:type="dxa"/>
                  <w:tcBorders>
                    <w:tl2br w:val="nil"/>
                    <w:tr2bl w:val="nil"/>
                  </w:tcBorders>
                  <w:noWrap w:val="0"/>
                  <w:vAlign w:val="center"/>
                </w:tcPr>
                <w:p w14:paraId="712B2DDE">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7"/>
                      <w:sz w:val="21"/>
                      <w:szCs w:val="21"/>
                      <w:vertAlign w:val="baseline"/>
                      <w:lang w:eastAsia="zh-CN"/>
                    </w:rPr>
                  </w:pPr>
                  <w:r>
                    <w:rPr>
                      <w:rFonts w:hint="default" w:ascii="Times New Roman" w:hAnsi="Times New Roman" w:eastAsia="仿宋_GB2312" w:cs="Times New Roman"/>
                      <w:b/>
                      <w:bCs/>
                      <w:color w:val="auto"/>
                      <w:spacing w:val="7"/>
                      <w:sz w:val="21"/>
                      <w:szCs w:val="21"/>
                      <w:vertAlign w:val="baseline"/>
                      <w:lang w:eastAsia="zh-CN"/>
                    </w:rPr>
                    <w:t>产生量</w:t>
                  </w:r>
                </w:p>
                <w:p w14:paraId="399B4470">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7"/>
                      <w:sz w:val="21"/>
                      <w:szCs w:val="21"/>
                      <w:vertAlign w:val="baseline"/>
                      <w:lang w:val="en-US" w:eastAsia="zh-CN"/>
                    </w:rPr>
                  </w:pPr>
                  <w:r>
                    <w:rPr>
                      <w:rFonts w:hint="default" w:ascii="Times New Roman" w:hAnsi="Times New Roman" w:eastAsia="仿宋_GB2312" w:cs="Times New Roman"/>
                      <w:b/>
                      <w:bCs/>
                      <w:color w:val="auto"/>
                      <w:spacing w:val="7"/>
                      <w:sz w:val="21"/>
                      <w:szCs w:val="21"/>
                      <w:vertAlign w:val="baseline"/>
                      <w:lang w:val="en-US" w:eastAsia="zh-CN"/>
                    </w:rPr>
                    <w:t>t/a</w:t>
                  </w:r>
                </w:p>
              </w:tc>
              <w:tc>
                <w:tcPr>
                  <w:tcW w:w="688" w:type="dxa"/>
                  <w:tcBorders>
                    <w:tl2br w:val="nil"/>
                    <w:tr2bl w:val="nil"/>
                  </w:tcBorders>
                  <w:noWrap w:val="0"/>
                  <w:vAlign w:val="center"/>
                </w:tcPr>
                <w:p w14:paraId="66928229">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7"/>
                      <w:sz w:val="21"/>
                      <w:szCs w:val="21"/>
                      <w:vertAlign w:val="baseline"/>
                      <w:lang w:eastAsia="zh-CN"/>
                    </w:rPr>
                  </w:pPr>
                  <w:r>
                    <w:rPr>
                      <w:rFonts w:hint="default" w:ascii="Times New Roman" w:hAnsi="Times New Roman" w:eastAsia="仿宋_GB2312" w:cs="Times New Roman"/>
                      <w:b/>
                      <w:bCs/>
                      <w:color w:val="auto"/>
                      <w:spacing w:val="7"/>
                      <w:sz w:val="21"/>
                      <w:szCs w:val="21"/>
                      <w:vertAlign w:val="baseline"/>
                      <w:lang w:eastAsia="zh-CN"/>
                    </w:rPr>
                    <w:t>采取措施</w:t>
                  </w:r>
                </w:p>
              </w:tc>
              <w:tc>
                <w:tcPr>
                  <w:tcW w:w="706" w:type="dxa"/>
                  <w:tcBorders>
                    <w:tl2br w:val="nil"/>
                    <w:tr2bl w:val="nil"/>
                  </w:tcBorders>
                  <w:noWrap w:val="0"/>
                  <w:vAlign w:val="center"/>
                </w:tcPr>
                <w:p w14:paraId="72D8CC7A">
                  <w:pPr>
                    <w:pStyle w:val="51"/>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jc w:val="center"/>
                    <w:textAlignment w:val="auto"/>
                    <w:rPr>
                      <w:rFonts w:hint="default" w:ascii="Times New Roman" w:hAnsi="Times New Roman" w:eastAsia="仿宋_GB2312" w:cs="Times New Roman"/>
                      <w:b/>
                      <w:bCs/>
                      <w:color w:val="auto"/>
                      <w:spacing w:val="7"/>
                      <w:sz w:val="21"/>
                      <w:szCs w:val="21"/>
                      <w:vertAlign w:val="baseline"/>
                      <w:lang w:val="en-US" w:eastAsia="zh-CN"/>
                    </w:rPr>
                  </w:pPr>
                  <w:r>
                    <w:rPr>
                      <w:rFonts w:hint="default" w:ascii="Times New Roman" w:hAnsi="Times New Roman" w:eastAsia="仿宋_GB2312" w:cs="Times New Roman"/>
                      <w:b/>
                      <w:bCs/>
                      <w:color w:val="auto"/>
                      <w:spacing w:val="7"/>
                      <w:sz w:val="21"/>
                      <w:szCs w:val="21"/>
                      <w:vertAlign w:val="baseline"/>
                      <w:lang w:eastAsia="zh-CN"/>
                    </w:rPr>
                    <w:t>处理效率</w:t>
                  </w:r>
                  <w:r>
                    <w:rPr>
                      <w:rFonts w:hint="default" w:ascii="Times New Roman" w:hAnsi="Times New Roman" w:eastAsia="仿宋_GB2312" w:cs="Times New Roman"/>
                      <w:b/>
                      <w:bCs/>
                      <w:color w:val="auto"/>
                      <w:spacing w:val="7"/>
                      <w:sz w:val="21"/>
                      <w:szCs w:val="21"/>
                      <w:vertAlign w:val="baseline"/>
                      <w:lang w:val="en-US" w:eastAsia="zh-CN"/>
                    </w:rPr>
                    <w:t>%</w:t>
                  </w:r>
                </w:p>
              </w:tc>
              <w:tc>
                <w:tcPr>
                  <w:tcW w:w="1296" w:type="dxa"/>
                  <w:tcBorders>
                    <w:tl2br w:val="nil"/>
                    <w:tr2bl w:val="nil"/>
                  </w:tcBorders>
                  <w:noWrap w:val="0"/>
                  <w:vAlign w:val="center"/>
                </w:tcPr>
                <w:p w14:paraId="16DCACCA">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7"/>
                      <w:sz w:val="21"/>
                      <w:szCs w:val="21"/>
                      <w:vertAlign w:val="baseline"/>
                      <w:lang w:eastAsia="zh-CN"/>
                    </w:rPr>
                  </w:pPr>
                  <w:r>
                    <w:rPr>
                      <w:rFonts w:hint="default" w:ascii="Times New Roman" w:hAnsi="Times New Roman" w:eastAsia="仿宋_GB2312" w:cs="Times New Roman"/>
                      <w:b/>
                      <w:bCs/>
                      <w:color w:val="auto"/>
                      <w:spacing w:val="7"/>
                      <w:sz w:val="21"/>
                      <w:szCs w:val="21"/>
                      <w:vertAlign w:val="baseline"/>
                      <w:lang w:eastAsia="zh-CN"/>
                    </w:rPr>
                    <w:t>排放量</w:t>
                  </w:r>
                </w:p>
                <w:p w14:paraId="55DCB20A">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pacing w:val="7"/>
                      <w:sz w:val="21"/>
                      <w:szCs w:val="21"/>
                      <w:vertAlign w:val="baseline"/>
                      <w:lang w:val="en-US" w:eastAsia="zh-CN"/>
                    </w:rPr>
                  </w:pPr>
                  <w:r>
                    <w:rPr>
                      <w:rFonts w:hint="default" w:ascii="Times New Roman" w:hAnsi="Times New Roman" w:eastAsia="仿宋_GB2312" w:cs="Times New Roman"/>
                      <w:b/>
                      <w:bCs/>
                      <w:color w:val="auto"/>
                      <w:spacing w:val="7"/>
                      <w:sz w:val="21"/>
                      <w:szCs w:val="21"/>
                      <w:vertAlign w:val="baseline"/>
                      <w:lang w:val="en-US" w:eastAsia="zh-CN"/>
                    </w:rPr>
                    <w:t>t/a</w:t>
                  </w:r>
                </w:p>
              </w:tc>
            </w:tr>
            <w:tr w14:paraId="2373213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2" w:type="dxa"/>
                  <w:vMerge w:val="restart"/>
                  <w:tcBorders>
                    <w:tl2br w:val="nil"/>
                    <w:tr2bl w:val="nil"/>
                  </w:tcBorders>
                  <w:noWrap w:val="0"/>
                  <w:vAlign w:val="center"/>
                </w:tcPr>
                <w:p w14:paraId="609BCF75">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eastAsia="zh-CN"/>
                    </w:rPr>
                  </w:pPr>
                  <w:r>
                    <w:rPr>
                      <w:rFonts w:hint="default" w:ascii="Times New Roman" w:hAnsi="Times New Roman" w:eastAsia="仿宋_GB2312" w:cs="Times New Roman"/>
                      <w:b w:val="0"/>
                      <w:bCs w:val="0"/>
                      <w:color w:val="auto"/>
                      <w:spacing w:val="7"/>
                      <w:sz w:val="21"/>
                      <w:szCs w:val="21"/>
                      <w:vertAlign w:val="baseline"/>
                      <w:lang w:eastAsia="zh-CN"/>
                    </w:rPr>
                    <w:t>汽油</w:t>
                  </w:r>
                </w:p>
              </w:tc>
              <w:tc>
                <w:tcPr>
                  <w:tcW w:w="1350" w:type="dxa"/>
                  <w:tcBorders>
                    <w:tl2br w:val="nil"/>
                    <w:tr2bl w:val="nil"/>
                  </w:tcBorders>
                  <w:noWrap w:val="0"/>
                  <w:vAlign w:val="center"/>
                </w:tcPr>
                <w:p w14:paraId="6AD9D75B">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eastAsia="zh-CN"/>
                    </w:rPr>
                  </w:pPr>
                  <w:r>
                    <w:rPr>
                      <w:rFonts w:hint="default" w:ascii="Times New Roman" w:hAnsi="Times New Roman" w:eastAsia="仿宋_GB2312" w:cs="Times New Roman"/>
                      <w:b w:val="0"/>
                      <w:bCs w:val="0"/>
                      <w:color w:val="auto"/>
                      <w:spacing w:val="7"/>
                      <w:sz w:val="21"/>
                      <w:szCs w:val="21"/>
                      <w:vertAlign w:val="baseline"/>
                      <w:lang w:eastAsia="zh-CN"/>
                    </w:rPr>
                    <w:t>油车卸油（大呼吸）</w:t>
                  </w:r>
                </w:p>
              </w:tc>
              <w:tc>
                <w:tcPr>
                  <w:tcW w:w="678" w:type="dxa"/>
                  <w:vMerge w:val="restart"/>
                  <w:tcBorders>
                    <w:tl2br w:val="nil"/>
                    <w:tr2bl w:val="nil"/>
                  </w:tcBorders>
                  <w:noWrap w:val="0"/>
                  <w:vAlign w:val="center"/>
                </w:tcPr>
                <w:p w14:paraId="4662BAD1">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eastAsia="zh-CN"/>
                    </w:rPr>
                  </w:pPr>
                  <w:r>
                    <w:rPr>
                      <w:rFonts w:hint="default" w:ascii="Times New Roman" w:hAnsi="Times New Roman" w:eastAsia="仿宋_GB2312" w:cs="Times New Roman"/>
                      <w:b w:val="0"/>
                      <w:bCs w:val="0"/>
                      <w:color w:val="auto"/>
                      <w:spacing w:val="7"/>
                      <w:sz w:val="21"/>
                      <w:szCs w:val="21"/>
                      <w:vertAlign w:val="baseline"/>
                      <w:lang w:eastAsia="zh-CN"/>
                    </w:rPr>
                    <w:t>非甲烷总烃</w:t>
                  </w:r>
                </w:p>
              </w:tc>
              <w:tc>
                <w:tcPr>
                  <w:tcW w:w="851" w:type="dxa"/>
                  <w:vMerge w:val="restart"/>
                  <w:tcBorders>
                    <w:tl2br w:val="nil"/>
                    <w:tr2bl w:val="nil"/>
                  </w:tcBorders>
                  <w:noWrap w:val="0"/>
                  <w:vAlign w:val="center"/>
                </w:tcPr>
                <w:p w14:paraId="7A29B66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1250</w:t>
                  </w:r>
                </w:p>
              </w:tc>
              <w:tc>
                <w:tcPr>
                  <w:tcW w:w="713" w:type="dxa"/>
                  <w:tcBorders>
                    <w:tl2br w:val="nil"/>
                    <w:tr2bl w:val="nil"/>
                  </w:tcBorders>
                  <w:noWrap w:val="0"/>
                  <w:vAlign w:val="center"/>
                </w:tcPr>
                <w:p w14:paraId="295306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2.3</w:t>
                  </w:r>
                </w:p>
              </w:tc>
              <w:tc>
                <w:tcPr>
                  <w:tcW w:w="1112" w:type="dxa"/>
                  <w:tcBorders>
                    <w:tl2br w:val="nil"/>
                    <w:tr2bl w:val="nil"/>
                  </w:tcBorders>
                  <w:noWrap w:val="0"/>
                  <w:vAlign w:val="center"/>
                </w:tcPr>
                <w:p w14:paraId="3210532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2.875</w:t>
                  </w:r>
                </w:p>
              </w:tc>
              <w:tc>
                <w:tcPr>
                  <w:tcW w:w="688" w:type="dxa"/>
                  <w:vMerge w:val="restart"/>
                  <w:tcBorders>
                    <w:tl2br w:val="nil"/>
                    <w:tr2bl w:val="nil"/>
                  </w:tcBorders>
                  <w:noWrap w:val="0"/>
                  <w:vAlign w:val="center"/>
                </w:tcPr>
                <w:p w14:paraId="6285FC5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油气回收</w:t>
                  </w:r>
                </w:p>
              </w:tc>
              <w:tc>
                <w:tcPr>
                  <w:tcW w:w="706" w:type="dxa"/>
                  <w:tcBorders>
                    <w:tl2br w:val="nil"/>
                    <w:tr2bl w:val="nil"/>
                  </w:tcBorders>
                  <w:noWrap w:val="0"/>
                  <w:vAlign w:val="center"/>
                </w:tcPr>
                <w:p w14:paraId="051D8C1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90</w:t>
                  </w:r>
                </w:p>
              </w:tc>
              <w:tc>
                <w:tcPr>
                  <w:tcW w:w="1296" w:type="dxa"/>
                  <w:tcBorders>
                    <w:tl2br w:val="nil"/>
                    <w:tr2bl w:val="nil"/>
                  </w:tcBorders>
                  <w:noWrap w:val="0"/>
                  <w:vAlign w:val="center"/>
                </w:tcPr>
                <w:p w14:paraId="3334C84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0.2875</w:t>
                  </w:r>
                </w:p>
              </w:tc>
            </w:tr>
            <w:tr w14:paraId="4109A9B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2" w:type="dxa"/>
                  <w:vMerge w:val="continue"/>
                  <w:tcBorders>
                    <w:tl2br w:val="nil"/>
                    <w:tr2bl w:val="nil"/>
                  </w:tcBorders>
                  <w:noWrap w:val="0"/>
                  <w:vAlign w:val="center"/>
                </w:tcPr>
                <w:p w14:paraId="7D7AFBD5">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p>
              </w:tc>
              <w:tc>
                <w:tcPr>
                  <w:tcW w:w="1350" w:type="dxa"/>
                  <w:tcBorders>
                    <w:tl2br w:val="nil"/>
                    <w:tr2bl w:val="nil"/>
                  </w:tcBorders>
                  <w:noWrap w:val="0"/>
                  <w:vAlign w:val="center"/>
                </w:tcPr>
                <w:p w14:paraId="743DA29A">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eastAsia="zh-CN"/>
                    </w:rPr>
                  </w:pPr>
                  <w:r>
                    <w:rPr>
                      <w:rFonts w:hint="default" w:ascii="Times New Roman" w:hAnsi="Times New Roman" w:eastAsia="仿宋_GB2312" w:cs="Times New Roman"/>
                      <w:b w:val="0"/>
                      <w:bCs w:val="0"/>
                      <w:color w:val="auto"/>
                      <w:spacing w:val="7"/>
                      <w:sz w:val="21"/>
                      <w:szCs w:val="21"/>
                      <w:vertAlign w:val="baseline"/>
                      <w:lang w:eastAsia="zh-CN"/>
                    </w:rPr>
                    <w:t>油罐小呼吸</w:t>
                  </w:r>
                </w:p>
              </w:tc>
              <w:tc>
                <w:tcPr>
                  <w:tcW w:w="678" w:type="dxa"/>
                  <w:vMerge w:val="continue"/>
                  <w:tcBorders>
                    <w:tl2br w:val="nil"/>
                    <w:tr2bl w:val="nil"/>
                  </w:tcBorders>
                  <w:noWrap w:val="0"/>
                  <w:vAlign w:val="center"/>
                </w:tcPr>
                <w:p w14:paraId="165A6B6C">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p>
              </w:tc>
              <w:tc>
                <w:tcPr>
                  <w:tcW w:w="851" w:type="dxa"/>
                  <w:vMerge w:val="continue"/>
                  <w:tcBorders>
                    <w:tl2br w:val="nil"/>
                    <w:tr2bl w:val="nil"/>
                  </w:tcBorders>
                  <w:noWrap w:val="0"/>
                  <w:vAlign w:val="center"/>
                </w:tcPr>
                <w:p w14:paraId="2AF8A3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highlight w:val="none"/>
                      <w:lang w:val="en-US" w:eastAsia="zh-CN"/>
                    </w:rPr>
                  </w:pPr>
                </w:p>
              </w:tc>
              <w:tc>
                <w:tcPr>
                  <w:tcW w:w="713" w:type="dxa"/>
                  <w:tcBorders>
                    <w:tl2br w:val="nil"/>
                    <w:tr2bl w:val="nil"/>
                  </w:tcBorders>
                  <w:noWrap w:val="0"/>
                  <w:vAlign w:val="center"/>
                </w:tcPr>
                <w:p w14:paraId="4A0EBF7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0.16</w:t>
                  </w:r>
                </w:p>
              </w:tc>
              <w:tc>
                <w:tcPr>
                  <w:tcW w:w="1112" w:type="dxa"/>
                  <w:tcBorders>
                    <w:tl2br w:val="nil"/>
                    <w:tr2bl w:val="nil"/>
                  </w:tcBorders>
                  <w:noWrap w:val="0"/>
                  <w:vAlign w:val="center"/>
                </w:tcPr>
                <w:p w14:paraId="0B1D8EF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0.20</w:t>
                  </w:r>
                </w:p>
              </w:tc>
              <w:tc>
                <w:tcPr>
                  <w:tcW w:w="688" w:type="dxa"/>
                  <w:vMerge w:val="continue"/>
                  <w:tcBorders>
                    <w:tl2br w:val="nil"/>
                    <w:tr2bl w:val="nil"/>
                  </w:tcBorders>
                  <w:noWrap w:val="0"/>
                  <w:vAlign w:val="center"/>
                </w:tcPr>
                <w:p w14:paraId="5CA78B0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p>
              </w:tc>
              <w:tc>
                <w:tcPr>
                  <w:tcW w:w="706" w:type="dxa"/>
                  <w:tcBorders>
                    <w:tl2br w:val="nil"/>
                    <w:tr2bl w:val="nil"/>
                  </w:tcBorders>
                  <w:noWrap w:val="0"/>
                  <w:vAlign w:val="center"/>
                </w:tcPr>
                <w:p w14:paraId="3DD89D1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1296" w:type="dxa"/>
                  <w:tcBorders>
                    <w:tl2br w:val="nil"/>
                    <w:tr2bl w:val="nil"/>
                  </w:tcBorders>
                  <w:noWrap w:val="0"/>
                  <w:vAlign w:val="center"/>
                </w:tcPr>
                <w:p w14:paraId="6CE215A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0.20</w:t>
                  </w:r>
                </w:p>
              </w:tc>
            </w:tr>
            <w:tr w14:paraId="3E90947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2" w:type="dxa"/>
                  <w:vMerge w:val="continue"/>
                  <w:tcBorders>
                    <w:tl2br w:val="nil"/>
                    <w:tr2bl w:val="nil"/>
                  </w:tcBorders>
                  <w:noWrap w:val="0"/>
                  <w:vAlign w:val="center"/>
                </w:tcPr>
                <w:p w14:paraId="27388FC5">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p>
              </w:tc>
              <w:tc>
                <w:tcPr>
                  <w:tcW w:w="1350" w:type="dxa"/>
                  <w:tcBorders>
                    <w:tl2br w:val="nil"/>
                    <w:tr2bl w:val="nil"/>
                  </w:tcBorders>
                  <w:noWrap w:val="0"/>
                  <w:vAlign w:val="center"/>
                </w:tcPr>
                <w:p w14:paraId="13D4B7EE">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eastAsia="zh-CN"/>
                    </w:rPr>
                  </w:pPr>
                  <w:r>
                    <w:rPr>
                      <w:rFonts w:hint="default" w:ascii="Times New Roman" w:hAnsi="Times New Roman" w:eastAsia="仿宋_GB2312" w:cs="Times New Roman"/>
                      <w:b w:val="0"/>
                      <w:bCs w:val="0"/>
                      <w:color w:val="auto"/>
                      <w:spacing w:val="7"/>
                      <w:sz w:val="21"/>
                      <w:szCs w:val="21"/>
                      <w:vertAlign w:val="baseline"/>
                      <w:lang w:eastAsia="zh-CN"/>
                    </w:rPr>
                    <w:t>加油废气</w:t>
                  </w:r>
                </w:p>
              </w:tc>
              <w:tc>
                <w:tcPr>
                  <w:tcW w:w="678" w:type="dxa"/>
                  <w:vMerge w:val="continue"/>
                  <w:tcBorders>
                    <w:tl2br w:val="nil"/>
                    <w:tr2bl w:val="nil"/>
                  </w:tcBorders>
                  <w:noWrap w:val="0"/>
                  <w:vAlign w:val="center"/>
                </w:tcPr>
                <w:p w14:paraId="74E25765">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p>
              </w:tc>
              <w:tc>
                <w:tcPr>
                  <w:tcW w:w="851" w:type="dxa"/>
                  <w:vMerge w:val="continue"/>
                  <w:tcBorders>
                    <w:tl2br w:val="nil"/>
                    <w:tr2bl w:val="nil"/>
                  </w:tcBorders>
                  <w:noWrap w:val="0"/>
                  <w:vAlign w:val="center"/>
                </w:tcPr>
                <w:p w14:paraId="69C071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highlight w:val="none"/>
                      <w:lang w:val="en-US" w:eastAsia="zh-CN"/>
                    </w:rPr>
                  </w:pPr>
                </w:p>
              </w:tc>
              <w:tc>
                <w:tcPr>
                  <w:tcW w:w="713" w:type="dxa"/>
                  <w:tcBorders>
                    <w:tl2br w:val="nil"/>
                    <w:tr2bl w:val="nil"/>
                  </w:tcBorders>
                  <w:noWrap w:val="0"/>
                  <w:vAlign w:val="center"/>
                </w:tcPr>
                <w:p w14:paraId="57763F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2.49</w:t>
                  </w:r>
                </w:p>
              </w:tc>
              <w:tc>
                <w:tcPr>
                  <w:tcW w:w="1112" w:type="dxa"/>
                  <w:tcBorders>
                    <w:tl2br w:val="nil"/>
                    <w:tr2bl w:val="nil"/>
                  </w:tcBorders>
                  <w:noWrap w:val="0"/>
                  <w:vAlign w:val="center"/>
                </w:tcPr>
                <w:p w14:paraId="0C85C65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3.112</w:t>
                  </w:r>
                </w:p>
              </w:tc>
              <w:tc>
                <w:tcPr>
                  <w:tcW w:w="688" w:type="dxa"/>
                  <w:vMerge w:val="continue"/>
                  <w:tcBorders>
                    <w:tl2br w:val="nil"/>
                    <w:tr2bl w:val="nil"/>
                  </w:tcBorders>
                  <w:noWrap w:val="0"/>
                  <w:vAlign w:val="center"/>
                </w:tcPr>
                <w:p w14:paraId="4E69E1D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p>
              </w:tc>
              <w:tc>
                <w:tcPr>
                  <w:tcW w:w="706" w:type="dxa"/>
                  <w:tcBorders>
                    <w:tl2br w:val="nil"/>
                    <w:tr2bl w:val="nil"/>
                  </w:tcBorders>
                  <w:noWrap w:val="0"/>
                  <w:vAlign w:val="center"/>
                </w:tcPr>
                <w:p w14:paraId="0192813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87</w:t>
                  </w:r>
                </w:p>
              </w:tc>
              <w:tc>
                <w:tcPr>
                  <w:tcW w:w="1296" w:type="dxa"/>
                  <w:tcBorders>
                    <w:tl2br w:val="nil"/>
                    <w:tr2bl w:val="nil"/>
                  </w:tcBorders>
                  <w:noWrap w:val="0"/>
                  <w:vAlign w:val="center"/>
                </w:tcPr>
                <w:p w14:paraId="0CFD096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0.4046</w:t>
                  </w:r>
                </w:p>
              </w:tc>
            </w:tr>
            <w:tr w14:paraId="46ABF88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2" w:type="dxa"/>
                  <w:vMerge w:val="restart"/>
                  <w:tcBorders>
                    <w:tl2br w:val="nil"/>
                    <w:tr2bl w:val="nil"/>
                  </w:tcBorders>
                  <w:noWrap w:val="0"/>
                  <w:vAlign w:val="center"/>
                </w:tcPr>
                <w:p w14:paraId="003FB888">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eastAsia="zh-CN"/>
                    </w:rPr>
                  </w:pPr>
                  <w:r>
                    <w:rPr>
                      <w:rFonts w:hint="default" w:ascii="Times New Roman" w:hAnsi="Times New Roman" w:eastAsia="仿宋_GB2312" w:cs="Times New Roman"/>
                      <w:b w:val="0"/>
                      <w:bCs w:val="0"/>
                      <w:color w:val="auto"/>
                      <w:spacing w:val="7"/>
                      <w:sz w:val="21"/>
                      <w:szCs w:val="21"/>
                      <w:vertAlign w:val="baseline"/>
                      <w:lang w:eastAsia="zh-CN"/>
                    </w:rPr>
                    <w:t>柴油</w:t>
                  </w:r>
                </w:p>
              </w:tc>
              <w:tc>
                <w:tcPr>
                  <w:tcW w:w="1350" w:type="dxa"/>
                  <w:tcBorders>
                    <w:tl2br w:val="nil"/>
                    <w:tr2bl w:val="nil"/>
                  </w:tcBorders>
                  <w:noWrap w:val="0"/>
                  <w:vAlign w:val="center"/>
                </w:tcPr>
                <w:p w14:paraId="54AD0397">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r>
                    <w:rPr>
                      <w:rFonts w:hint="default" w:ascii="Times New Roman" w:hAnsi="Times New Roman" w:eastAsia="仿宋_GB2312" w:cs="Times New Roman"/>
                      <w:b w:val="0"/>
                      <w:bCs w:val="0"/>
                      <w:color w:val="auto"/>
                      <w:spacing w:val="7"/>
                      <w:sz w:val="21"/>
                      <w:szCs w:val="21"/>
                      <w:vertAlign w:val="baseline"/>
                      <w:lang w:eastAsia="zh-CN"/>
                    </w:rPr>
                    <w:t>油车卸油（大呼吸）</w:t>
                  </w:r>
                </w:p>
              </w:tc>
              <w:tc>
                <w:tcPr>
                  <w:tcW w:w="678" w:type="dxa"/>
                  <w:vMerge w:val="continue"/>
                  <w:tcBorders>
                    <w:tl2br w:val="nil"/>
                    <w:tr2bl w:val="nil"/>
                  </w:tcBorders>
                  <w:noWrap w:val="0"/>
                  <w:vAlign w:val="center"/>
                </w:tcPr>
                <w:p w14:paraId="580DB9E7">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p>
              </w:tc>
              <w:tc>
                <w:tcPr>
                  <w:tcW w:w="851" w:type="dxa"/>
                  <w:vMerge w:val="restart"/>
                  <w:tcBorders>
                    <w:tl2br w:val="nil"/>
                    <w:tr2bl w:val="nil"/>
                  </w:tcBorders>
                  <w:noWrap w:val="0"/>
                  <w:vAlign w:val="center"/>
                </w:tcPr>
                <w:p w14:paraId="5492170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550</w:t>
                  </w:r>
                </w:p>
              </w:tc>
              <w:tc>
                <w:tcPr>
                  <w:tcW w:w="713" w:type="dxa"/>
                  <w:tcBorders>
                    <w:tl2br w:val="nil"/>
                    <w:tr2bl w:val="nil"/>
                  </w:tcBorders>
                  <w:noWrap w:val="0"/>
                  <w:vAlign w:val="center"/>
                </w:tcPr>
                <w:p w14:paraId="248FC68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0.027</w:t>
                  </w:r>
                </w:p>
              </w:tc>
              <w:tc>
                <w:tcPr>
                  <w:tcW w:w="1112" w:type="dxa"/>
                  <w:tcBorders>
                    <w:tl2br w:val="nil"/>
                    <w:tr2bl w:val="nil"/>
                  </w:tcBorders>
                  <w:noWrap w:val="0"/>
                  <w:vAlign w:val="center"/>
                </w:tcPr>
                <w:p w14:paraId="352C7C0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0.0148</w:t>
                  </w:r>
                </w:p>
              </w:tc>
              <w:tc>
                <w:tcPr>
                  <w:tcW w:w="688" w:type="dxa"/>
                  <w:vMerge w:val="restart"/>
                  <w:tcBorders>
                    <w:tl2br w:val="nil"/>
                    <w:tr2bl w:val="nil"/>
                  </w:tcBorders>
                  <w:noWrap w:val="0"/>
                  <w:vAlign w:val="center"/>
                </w:tcPr>
                <w:p w14:paraId="0A6F352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706" w:type="dxa"/>
                  <w:tcBorders>
                    <w:tl2br w:val="nil"/>
                    <w:tr2bl w:val="nil"/>
                  </w:tcBorders>
                  <w:noWrap w:val="0"/>
                  <w:vAlign w:val="center"/>
                </w:tcPr>
                <w:p w14:paraId="0E699D0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1296" w:type="dxa"/>
                  <w:tcBorders>
                    <w:tl2br w:val="nil"/>
                    <w:tr2bl w:val="nil"/>
                  </w:tcBorders>
                  <w:noWrap w:val="0"/>
                  <w:vAlign w:val="center"/>
                </w:tcPr>
                <w:p w14:paraId="7E87F4F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0.0148</w:t>
                  </w:r>
                </w:p>
              </w:tc>
            </w:tr>
            <w:tr w14:paraId="25485B0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2" w:type="dxa"/>
                  <w:vMerge w:val="continue"/>
                  <w:tcBorders>
                    <w:tl2br w:val="nil"/>
                    <w:tr2bl w:val="nil"/>
                  </w:tcBorders>
                  <w:noWrap w:val="0"/>
                  <w:vAlign w:val="center"/>
                </w:tcPr>
                <w:p w14:paraId="2D7C26E1">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p>
              </w:tc>
              <w:tc>
                <w:tcPr>
                  <w:tcW w:w="1350" w:type="dxa"/>
                  <w:tcBorders>
                    <w:tl2br w:val="nil"/>
                    <w:tr2bl w:val="nil"/>
                  </w:tcBorders>
                  <w:noWrap w:val="0"/>
                  <w:vAlign w:val="center"/>
                </w:tcPr>
                <w:p w14:paraId="65D697C2">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r>
                    <w:rPr>
                      <w:rFonts w:hint="default" w:ascii="Times New Roman" w:hAnsi="Times New Roman" w:eastAsia="仿宋_GB2312" w:cs="Times New Roman"/>
                      <w:b w:val="0"/>
                      <w:bCs w:val="0"/>
                      <w:color w:val="auto"/>
                      <w:spacing w:val="7"/>
                      <w:sz w:val="21"/>
                      <w:szCs w:val="21"/>
                      <w:vertAlign w:val="baseline"/>
                      <w:lang w:eastAsia="zh-CN"/>
                    </w:rPr>
                    <w:t>加油废气</w:t>
                  </w:r>
                </w:p>
              </w:tc>
              <w:tc>
                <w:tcPr>
                  <w:tcW w:w="678" w:type="dxa"/>
                  <w:vMerge w:val="continue"/>
                  <w:tcBorders>
                    <w:tl2br w:val="nil"/>
                    <w:tr2bl w:val="nil"/>
                  </w:tcBorders>
                  <w:noWrap w:val="0"/>
                  <w:vAlign w:val="center"/>
                </w:tcPr>
                <w:p w14:paraId="2E0E9A83">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p>
              </w:tc>
              <w:tc>
                <w:tcPr>
                  <w:tcW w:w="851" w:type="dxa"/>
                  <w:vMerge w:val="continue"/>
                  <w:tcBorders>
                    <w:tl2br w:val="nil"/>
                    <w:tr2bl w:val="nil"/>
                  </w:tcBorders>
                  <w:noWrap w:val="0"/>
                  <w:vAlign w:val="center"/>
                </w:tcPr>
                <w:p w14:paraId="394CF06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highlight w:val="magenta"/>
                      <w:lang w:val="en-US" w:eastAsia="zh-CN"/>
                    </w:rPr>
                  </w:pPr>
                </w:p>
              </w:tc>
              <w:tc>
                <w:tcPr>
                  <w:tcW w:w="713" w:type="dxa"/>
                  <w:tcBorders>
                    <w:tl2br w:val="nil"/>
                    <w:tr2bl w:val="nil"/>
                  </w:tcBorders>
                  <w:noWrap w:val="0"/>
                  <w:vAlign w:val="center"/>
                </w:tcPr>
                <w:p w14:paraId="735E4A2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0.048</w:t>
                  </w:r>
                </w:p>
              </w:tc>
              <w:tc>
                <w:tcPr>
                  <w:tcW w:w="1112" w:type="dxa"/>
                  <w:tcBorders>
                    <w:tl2br w:val="nil"/>
                    <w:tr2bl w:val="nil"/>
                  </w:tcBorders>
                  <w:noWrap w:val="0"/>
                  <w:vAlign w:val="center"/>
                </w:tcPr>
                <w:p w14:paraId="13EBADF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0.0264</w:t>
                  </w:r>
                </w:p>
              </w:tc>
              <w:tc>
                <w:tcPr>
                  <w:tcW w:w="688" w:type="dxa"/>
                  <w:vMerge w:val="continue"/>
                  <w:tcBorders>
                    <w:tl2br w:val="nil"/>
                    <w:tr2bl w:val="nil"/>
                  </w:tcBorders>
                  <w:noWrap w:val="0"/>
                  <w:vAlign w:val="center"/>
                </w:tcPr>
                <w:p w14:paraId="5FB4009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p>
              </w:tc>
              <w:tc>
                <w:tcPr>
                  <w:tcW w:w="706" w:type="dxa"/>
                  <w:tcBorders>
                    <w:tl2br w:val="nil"/>
                    <w:tr2bl w:val="nil"/>
                  </w:tcBorders>
                  <w:noWrap w:val="0"/>
                  <w:vAlign w:val="center"/>
                </w:tcPr>
                <w:p w14:paraId="3A10880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1296" w:type="dxa"/>
                  <w:tcBorders>
                    <w:tl2br w:val="nil"/>
                    <w:tr2bl w:val="nil"/>
                  </w:tcBorders>
                  <w:noWrap w:val="0"/>
                  <w:vAlign w:val="center"/>
                </w:tcPr>
                <w:p w14:paraId="0AED42D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0.0264</w:t>
                  </w:r>
                </w:p>
              </w:tc>
            </w:tr>
            <w:tr w14:paraId="504223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2" w:type="dxa"/>
                  <w:vMerge w:val="restart"/>
                  <w:tcBorders>
                    <w:tl2br w:val="nil"/>
                    <w:tr2bl w:val="nil"/>
                  </w:tcBorders>
                  <w:noWrap w:val="0"/>
                  <w:vAlign w:val="center"/>
                </w:tcPr>
                <w:p w14:paraId="08811D3B">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val="en-US" w:eastAsia="zh-CN"/>
                    </w:rPr>
                  </w:pPr>
                  <w:r>
                    <w:rPr>
                      <w:rFonts w:hint="default" w:ascii="Times New Roman" w:hAnsi="Times New Roman" w:eastAsia="仿宋_GB2312" w:cs="Times New Roman"/>
                      <w:b w:val="0"/>
                      <w:bCs w:val="0"/>
                      <w:color w:val="auto"/>
                      <w:spacing w:val="7"/>
                      <w:sz w:val="21"/>
                      <w:szCs w:val="21"/>
                      <w:vertAlign w:val="baseline"/>
                      <w:lang w:val="en-US" w:eastAsia="zh-CN"/>
                    </w:rPr>
                    <w:t>LNG</w:t>
                  </w:r>
                </w:p>
              </w:tc>
              <w:tc>
                <w:tcPr>
                  <w:tcW w:w="1350" w:type="dxa"/>
                  <w:tcBorders>
                    <w:tl2br w:val="nil"/>
                    <w:tr2bl w:val="nil"/>
                  </w:tcBorders>
                  <w:noWrap w:val="0"/>
                  <w:vAlign w:val="center"/>
                </w:tcPr>
                <w:p w14:paraId="350F3E16">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val="en-US" w:eastAsia="zh-CN"/>
                    </w:rPr>
                  </w:pPr>
                  <w:r>
                    <w:rPr>
                      <w:rFonts w:hint="default" w:ascii="Times New Roman" w:hAnsi="Times New Roman" w:eastAsia="仿宋_GB2312" w:cs="Times New Roman"/>
                      <w:b w:val="0"/>
                      <w:bCs w:val="0"/>
                      <w:color w:val="auto"/>
                      <w:spacing w:val="7"/>
                      <w:sz w:val="21"/>
                      <w:szCs w:val="21"/>
                      <w:vertAlign w:val="baseline"/>
                      <w:lang w:val="en-US" w:eastAsia="zh-CN"/>
                    </w:rPr>
                    <w:t>储罐闪蒸</w:t>
                  </w:r>
                </w:p>
              </w:tc>
              <w:tc>
                <w:tcPr>
                  <w:tcW w:w="678" w:type="dxa"/>
                  <w:vMerge w:val="continue"/>
                  <w:tcBorders>
                    <w:tl2br w:val="nil"/>
                    <w:tr2bl w:val="nil"/>
                  </w:tcBorders>
                  <w:noWrap w:val="0"/>
                  <w:vAlign w:val="center"/>
                </w:tcPr>
                <w:p w14:paraId="680F6202">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p>
              </w:tc>
              <w:tc>
                <w:tcPr>
                  <w:tcW w:w="851" w:type="dxa"/>
                  <w:vMerge w:val="restart"/>
                  <w:tcBorders>
                    <w:tl2br w:val="nil"/>
                    <w:tr2bl w:val="nil"/>
                  </w:tcBorders>
                  <w:noWrap w:val="0"/>
                  <w:vAlign w:val="center"/>
                </w:tcPr>
                <w:p w14:paraId="376646E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450</w:t>
                  </w:r>
                </w:p>
              </w:tc>
              <w:tc>
                <w:tcPr>
                  <w:tcW w:w="713" w:type="dxa"/>
                  <w:tcBorders>
                    <w:tl2br w:val="nil"/>
                    <w:tr2bl w:val="nil"/>
                  </w:tcBorders>
                  <w:noWrap w:val="0"/>
                  <w:vAlign w:val="center"/>
                </w:tcPr>
                <w:p w14:paraId="0C7E023A">
                  <w:pPr>
                    <w:pStyle w:val="51"/>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0.197</w:t>
                  </w:r>
                </w:p>
              </w:tc>
              <w:tc>
                <w:tcPr>
                  <w:tcW w:w="1112" w:type="dxa"/>
                  <w:tcBorders>
                    <w:tl2br w:val="nil"/>
                    <w:tr2bl w:val="nil"/>
                  </w:tcBorders>
                  <w:noWrap w:val="0"/>
                  <w:vAlign w:val="center"/>
                </w:tcPr>
                <w:p w14:paraId="16439C7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0.885</w:t>
                  </w:r>
                </w:p>
              </w:tc>
              <w:tc>
                <w:tcPr>
                  <w:tcW w:w="688" w:type="dxa"/>
                  <w:tcBorders>
                    <w:tl2br w:val="nil"/>
                    <w:tr2bl w:val="nil"/>
                  </w:tcBorders>
                  <w:noWrap w:val="0"/>
                  <w:vAlign w:val="center"/>
                </w:tcPr>
                <w:p w14:paraId="5E9ED1C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BOG回收</w:t>
                  </w:r>
                </w:p>
              </w:tc>
              <w:tc>
                <w:tcPr>
                  <w:tcW w:w="706" w:type="dxa"/>
                  <w:tcBorders>
                    <w:tl2br w:val="nil"/>
                    <w:tr2bl w:val="nil"/>
                  </w:tcBorders>
                  <w:noWrap w:val="0"/>
                  <w:vAlign w:val="center"/>
                </w:tcPr>
                <w:p w14:paraId="24E508E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90%</w:t>
                  </w:r>
                </w:p>
              </w:tc>
              <w:tc>
                <w:tcPr>
                  <w:tcW w:w="1296" w:type="dxa"/>
                  <w:tcBorders>
                    <w:tl2br w:val="nil"/>
                    <w:tr2bl w:val="nil"/>
                  </w:tcBorders>
                  <w:noWrap w:val="0"/>
                  <w:vAlign w:val="center"/>
                </w:tcPr>
                <w:p w14:paraId="7A68A55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0.0885</w:t>
                  </w:r>
                </w:p>
              </w:tc>
            </w:tr>
            <w:tr w14:paraId="22871E9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52" w:type="dxa"/>
                  <w:vMerge w:val="continue"/>
                  <w:tcBorders>
                    <w:tl2br w:val="nil"/>
                    <w:tr2bl w:val="nil"/>
                  </w:tcBorders>
                  <w:noWrap w:val="0"/>
                  <w:vAlign w:val="center"/>
                </w:tcPr>
                <w:p w14:paraId="40515236">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eastAsia="zh-CN"/>
                    </w:rPr>
                  </w:pPr>
                </w:p>
              </w:tc>
              <w:tc>
                <w:tcPr>
                  <w:tcW w:w="1350" w:type="dxa"/>
                  <w:tcBorders>
                    <w:tl2br w:val="nil"/>
                    <w:tr2bl w:val="nil"/>
                  </w:tcBorders>
                  <w:noWrap w:val="0"/>
                  <w:vAlign w:val="center"/>
                </w:tcPr>
                <w:p w14:paraId="5055743B">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eastAsia="zh-CN"/>
                    </w:rPr>
                  </w:pPr>
                  <w:r>
                    <w:rPr>
                      <w:rFonts w:hint="default" w:ascii="Times New Roman" w:hAnsi="Times New Roman" w:eastAsia="仿宋_GB2312" w:cs="Times New Roman"/>
                      <w:b w:val="0"/>
                      <w:bCs w:val="0"/>
                      <w:color w:val="auto"/>
                      <w:spacing w:val="7"/>
                      <w:sz w:val="21"/>
                      <w:szCs w:val="21"/>
                      <w:vertAlign w:val="baseline"/>
                      <w:lang w:eastAsia="zh-CN"/>
                    </w:rPr>
                    <w:t>装置区</w:t>
                  </w:r>
                </w:p>
              </w:tc>
              <w:tc>
                <w:tcPr>
                  <w:tcW w:w="678" w:type="dxa"/>
                  <w:vMerge w:val="continue"/>
                  <w:tcBorders>
                    <w:tl2br w:val="nil"/>
                    <w:tr2bl w:val="nil"/>
                  </w:tcBorders>
                  <w:noWrap w:val="0"/>
                  <w:vAlign w:val="center"/>
                </w:tcPr>
                <w:p w14:paraId="0688BCD6">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rPr>
                  </w:pPr>
                </w:p>
              </w:tc>
              <w:tc>
                <w:tcPr>
                  <w:tcW w:w="851" w:type="dxa"/>
                  <w:vMerge w:val="continue"/>
                  <w:tcBorders>
                    <w:tl2br w:val="nil"/>
                    <w:tr2bl w:val="nil"/>
                  </w:tcBorders>
                  <w:noWrap w:val="0"/>
                  <w:vAlign w:val="center"/>
                </w:tcPr>
                <w:p w14:paraId="62458E4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highlight w:val="none"/>
                      <w:lang w:val="en-US" w:eastAsia="zh-CN"/>
                    </w:rPr>
                  </w:pPr>
                </w:p>
              </w:tc>
              <w:tc>
                <w:tcPr>
                  <w:tcW w:w="713" w:type="dxa"/>
                  <w:tcBorders>
                    <w:tl2br w:val="nil"/>
                    <w:tr2bl w:val="nil"/>
                  </w:tcBorders>
                  <w:noWrap w:val="0"/>
                  <w:vAlign w:val="center"/>
                </w:tcPr>
                <w:p w14:paraId="18970670">
                  <w:pPr>
                    <w:pStyle w:val="51"/>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lang w:val="en-US" w:eastAsia="zh-CN"/>
                    </w:rPr>
                    <w:t>0.00001</w:t>
                  </w:r>
                </w:p>
              </w:tc>
              <w:tc>
                <w:tcPr>
                  <w:tcW w:w="1112" w:type="dxa"/>
                  <w:tcBorders>
                    <w:tl2br w:val="nil"/>
                    <w:tr2bl w:val="nil"/>
                  </w:tcBorders>
                  <w:noWrap w:val="0"/>
                  <w:vAlign w:val="center"/>
                </w:tcPr>
                <w:p w14:paraId="2280E4B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0.0045</w:t>
                  </w:r>
                </w:p>
              </w:tc>
              <w:tc>
                <w:tcPr>
                  <w:tcW w:w="688" w:type="dxa"/>
                  <w:tcBorders>
                    <w:tl2br w:val="nil"/>
                    <w:tr2bl w:val="nil"/>
                  </w:tcBorders>
                  <w:noWrap w:val="0"/>
                  <w:vAlign w:val="center"/>
                </w:tcPr>
                <w:p w14:paraId="07F2F8C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706" w:type="dxa"/>
                  <w:tcBorders>
                    <w:tl2br w:val="nil"/>
                    <w:tr2bl w:val="nil"/>
                  </w:tcBorders>
                  <w:noWrap w:val="0"/>
                  <w:vAlign w:val="center"/>
                </w:tcPr>
                <w:p w14:paraId="1801F08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1296" w:type="dxa"/>
                  <w:tcBorders>
                    <w:tl2br w:val="nil"/>
                    <w:tr2bl w:val="nil"/>
                  </w:tcBorders>
                  <w:noWrap w:val="0"/>
                  <w:vAlign w:val="center"/>
                </w:tcPr>
                <w:p w14:paraId="5CA0016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0.0045</w:t>
                  </w:r>
                </w:p>
              </w:tc>
            </w:tr>
            <w:tr w14:paraId="0FD1146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144" w:type="dxa"/>
                  <w:gridSpan w:val="5"/>
                  <w:tcBorders>
                    <w:tl2br w:val="nil"/>
                    <w:tr2bl w:val="nil"/>
                  </w:tcBorders>
                  <w:noWrap w:val="0"/>
                  <w:vAlign w:val="center"/>
                </w:tcPr>
                <w:p w14:paraId="3D88818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val="0"/>
                      <w:bCs w:val="0"/>
                      <w:color w:val="auto"/>
                      <w:spacing w:val="7"/>
                      <w:sz w:val="21"/>
                      <w:szCs w:val="21"/>
                      <w:vertAlign w:val="baseline"/>
                      <w:lang w:eastAsia="zh-CN"/>
                    </w:rPr>
                    <w:t>合计</w:t>
                  </w:r>
                </w:p>
              </w:tc>
              <w:tc>
                <w:tcPr>
                  <w:tcW w:w="1112" w:type="dxa"/>
                  <w:tcBorders>
                    <w:tl2br w:val="nil"/>
                    <w:tr2bl w:val="nil"/>
                  </w:tcBorders>
                  <w:noWrap w:val="0"/>
                  <w:vAlign w:val="center"/>
                </w:tcPr>
                <w:p w14:paraId="3C44D6B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7.1177</w:t>
                  </w:r>
                </w:p>
              </w:tc>
              <w:tc>
                <w:tcPr>
                  <w:tcW w:w="688" w:type="dxa"/>
                  <w:tcBorders>
                    <w:tl2br w:val="nil"/>
                    <w:tr2bl w:val="nil"/>
                  </w:tcBorders>
                  <w:noWrap w:val="0"/>
                  <w:vAlign w:val="center"/>
                </w:tcPr>
                <w:p w14:paraId="71031AD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706" w:type="dxa"/>
                  <w:tcBorders>
                    <w:tl2br w:val="nil"/>
                    <w:tr2bl w:val="nil"/>
                  </w:tcBorders>
                  <w:noWrap w:val="0"/>
                  <w:vAlign w:val="center"/>
                </w:tcPr>
                <w:p w14:paraId="7050EE1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1296" w:type="dxa"/>
                  <w:tcBorders>
                    <w:tl2br w:val="nil"/>
                    <w:tr2bl w:val="nil"/>
                  </w:tcBorders>
                  <w:noWrap w:val="0"/>
                  <w:vAlign w:val="center"/>
                </w:tcPr>
                <w:p w14:paraId="1829EBE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1.0263</w:t>
                  </w:r>
                </w:p>
              </w:tc>
            </w:tr>
            <w:tr w14:paraId="126518C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946" w:type="dxa"/>
                  <w:gridSpan w:val="9"/>
                  <w:tcBorders>
                    <w:tl2br w:val="nil"/>
                    <w:tr2bl w:val="nil"/>
                  </w:tcBorders>
                  <w:noWrap w:val="0"/>
                  <w:vAlign w:val="center"/>
                </w:tcPr>
                <w:p w14:paraId="7FE9EDBE">
                  <w:pPr>
                    <w:pStyle w:val="51"/>
                    <w:spacing w:before="51" w:line="228" w:lineRule="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bCs/>
                      <w:color w:val="auto"/>
                      <w:spacing w:val="7"/>
                      <w:sz w:val="21"/>
                      <w:szCs w:val="21"/>
                    </w:rPr>
                    <w:t>注：柴油不进行油气回收。</w:t>
                  </w:r>
                </w:p>
              </w:tc>
            </w:tr>
          </w:tbl>
          <w:p w14:paraId="363047FB">
            <w:pPr>
              <w:spacing w:line="49" w:lineRule="auto"/>
              <w:rPr>
                <w:rFonts w:hint="default" w:ascii="Times New Roman" w:hAnsi="Times New Roman" w:eastAsia="仿宋_GB2312" w:cs="Times New Roman"/>
                <w:color w:val="auto"/>
                <w:sz w:val="24"/>
                <w:szCs w:val="24"/>
              </w:rPr>
            </w:pPr>
          </w:p>
          <w:p w14:paraId="62FB6327">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（4）污染源排放源强</w:t>
            </w:r>
          </w:p>
          <w:p w14:paraId="47758AC8">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本加油站在油罐大小呼吸、加油/加气机作业等环节排放的非甲烷总烃总计为1.0263t/a，计算排放速率为0.117kg/h（非甲烷总烃年排放时间按8760h计）。无组织废气污染源源强参数如表4-2。</w:t>
            </w:r>
          </w:p>
          <w:p w14:paraId="1EC5DD56">
            <w:pPr>
              <w:pStyle w:val="57"/>
              <w:keepNext w:val="0"/>
              <w:keepLines w:val="0"/>
              <w:pageBreakBefore w:val="0"/>
              <w:widowControl w:val="0"/>
              <w:kinsoku/>
              <w:wordWrap/>
              <w:overflowPunct/>
              <w:topLinePunct w:val="0"/>
              <w:autoSpaceDE/>
              <w:autoSpaceDN/>
              <w:bidi w:val="0"/>
              <w:adjustRightInd/>
              <w:snapToGrid/>
              <w:spacing w:beforeLines="0" w:afterLines="0" w:line="240" w:lineRule="auto"/>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highlight w:val="none"/>
                <w:lang w:eastAsia="zh-CN"/>
              </w:rPr>
              <w:t>表4-2 项目无组织废气排放源强</w:t>
            </w:r>
          </w:p>
          <w:tbl>
            <w:tblPr>
              <w:tblStyle w:val="52"/>
              <w:tblW w:w="7950" w:type="dxa"/>
              <w:tblInd w:w="-7"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777"/>
              <w:gridCol w:w="1465"/>
              <w:gridCol w:w="1510"/>
              <w:gridCol w:w="1312"/>
              <w:gridCol w:w="760"/>
              <w:gridCol w:w="1063"/>
              <w:gridCol w:w="1063"/>
            </w:tblGrid>
            <w:tr w14:paraId="5E720A35">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777" w:type="dxa"/>
                  <w:tcBorders>
                    <w:tl2br w:val="nil"/>
                    <w:tr2bl w:val="nil"/>
                  </w:tcBorders>
                  <w:noWrap w:val="0"/>
                  <w:vAlign w:val="center"/>
                </w:tcPr>
                <w:p w14:paraId="00F6498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类别</w:t>
                  </w:r>
                </w:p>
              </w:tc>
              <w:tc>
                <w:tcPr>
                  <w:tcW w:w="1465" w:type="dxa"/>
                  <w:tcBorders>
                    <w:tl2br w:val="nil"/>
                    <w:tr2bl w:val="nil"/>
                  </w:tcBorders>
                  <w:noWrap w:val="0"/>
                  <w:vAlign w:val="center"/>
                </w:tcPr>
                <w:p w14:paraId="453F64C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污染工序</w:t>
                  </w:r>
                </w:p>
              </w:tc>
              <w:tc>
                <w:tcPr>
                  <w:tcW w:w="1510" w:type="dxa"/>
                  <w:tcBorders>
                    <w:tl2br w:val="nil"/>
                    <w:tr2bl w:val="nil"/>
                  </w:tcBorders>
                  <w:noWrap w:val="0"/>
                  <w:vAlign w:val="center"/>
                </w:tcPr>
                <w:p w14:paraId="00F247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污染物</w:t>
                  </w:r>
                </w:p>
              </w:tc>
              <w:tc>
                <w:tcPr>
                  <w:tcW w:w="1312" w:type="dxa"/>
                  <w:tcBorders>
                    <w:tl2br w:val="nil"/>
                    <w:tr2bl w:val="nil"/>
                  </w:tcBorders>
                  <w:noWrap w:val="0"/>
                  <w:vAlign w:val="center"/>
                </w:tcPr>
                <w:p w14:paraId="34567F5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产生量</w:t>
                  </w:r>
                </w:p>
                <w:p w14:paraId="399D38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（t/a）</w:t>
                  </w:r>
                </w:p>
              </w:tc>
              <w:tc>
                <w:tcPr>
                  <w:tcW w:w="760" w:type="dxa"/>
                  <w:tcBorders>
                    <w:tl2br w:val="nil"/>
                    <w:tr2bl w:val="nil"/>
                  </w:tcBorders>
                  <w:noWrap w:val="0"/>
                  <w:vAlign w:val="center"/>
                </w:tcPr>
                <w:p w14:paraId="176638F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处理</w:t>
                  </w:r>
                </w:p>
                <w:p w14:paraId="7FA393B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措施</w:t>
                  </w:r>
                </w:p>
              </w:tc>
              <w:tc>
                <w:tcPr>
                  <w:tcW w:w="1063" w:type="dxa"/>
                  <w:tcBorders>
                    <w:tl2br w:val="nil"/>
                    <w:tr2bl w:val="nil"/>
                  </w:tcBorders>
                  <w:noWrap w:val="0"/>
                  <w:vAlign w:val="center"/>
                </w:tcPr>
                <w:p w14:paraId="26889B2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排放量（t/a）</w:t>
                  </w:r>
                </w:p>
              </w:tc>
              <w:tc>
                <w:tcPr>
                  <w:tcW w:w="1063" w:type="dxa"/>
                  <w:tcBorders>
                    <w:tl2br w:val="nil"/>
                    <w:tr2bl w:val="nil"/>
                  </w:tcBorders>
                  <w:noWrap w:val="0"/>
                  <w:vAlign w:val="center"/>
                </w:tcPr>
                <w:p w14:paraId="0A745B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排放速率（kg/h）</w:t>
                  </w:r>
                </w:p>
              </w:tc>
            </w:tr>
            <w:tr w14:paraId="43E41DEF">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77" w:type="dxa"/>
                  <w:tcBorders>
                    <w:tl2br w:val="nil"/>
                    <w:tr2bl w:val="nil"/>
                  </w:tcBorders>
                  <w:noWrap w:val="0"/>
                  <w:vAlign w:val="center"/>
                </w:tcPr>
                <w:p w14:paraId="69049C1D">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val="en-US" w:eastAsia="zh-CN"/>
                    </w:rPr>
                  </w:pPr>
                  <w:r>
                    <w:rPr>
                      <w:rFonts w:hint="default" w:ascii="Times New Roman" w:hAnsi="Times New Roman" w:eastAsia="仿宋_GB2312" w:cs="Times New Roman"/>
                      <w:b w:val="0"/>
                      <w:bCs w:val="0"/>
                      <w:color w:val="auto"/>
                      <w:spacing w:val="7"/>
                      <w:sz w:val="21"/>
                      <w:szCs w:val="21"/>
                      <w:vertAlign w:val="baseline"/>
                      <w:lang w:val="en-US" w:eastAsia="zh-CN"/>
                    </w:rPr>
                    <w:t>无组织</w:t>
                  </w:r>
                </w:p>
              </w:tc>
              <w:tc>
                <w:tcPr>
                  <w:tcW w:w="1465" w:type="dxa"/>
                  <w:tcBorders>
                    <w:tl2br w:val="nil"/>
                    <w:tr2bl w:val="nil"/>
                  </w:tcBorders>
                  <w:noWrap w:val="0"/>
                  <w:vAlign w:val="center"/>
                </w:tcPr>
                <w:p w14:paraId="36A05F5A">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val="en-US" w:eastAsia="zh-CN"/>
                    </w:rPr>
                  </w:pPr>
                  <w:r>
                    <w:rPr>
                      <w:rFonts w:hint="default" w:ascii="Times New Roman" w:hAnsi="Times New Roman" w:eastAsia="仿宋_GB2312" w:cs="Times New Roman"/>
                      <w:b w:val="0"/>
                      <w:bCs w:val="0"/>
                      <w:color w:val="auto"/>
                      <w:spacing w:val="7"/>
                      <w:sz w:val="21"/>
                      <w:szCs w:val="21"/>
                      <w:vertAlign w:val="baseline"/>
                      <w:lang w:val="en-US" w:eastAsia="zh-CN"/>
                    </w:rPr>
                    <w:t>卸油、储油、</w:t>
                  </w:r>
                </w:p>
                <w:p w14:paraId="33DAD36D">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val="en-US" w:eastAsia="zh-CN"/>
                    </w:rPr>
                  </w:pPr>
                  <w:r>
                    <w:rPr>
                      <w:rFonts w:hint="default" w:ascii="Times New Roman" w:hAnsi="Times New Roman" w:eastAsia="仿宋_GB2312" w:cs="Times New Roman"/>
                      <w:b w:val="0"/>
                      <w:bCs w:val="0"/>
                      <w:color w:val="auto"/>
                      <w:spacing w:val="7"/>
                      <w:sz w:val="21"/>
                      <w:szCs w:val="21"/>
                      <w:vertAlign w:val="baseline"/>
                      <w:lang w:val="en-US" w:eastAsia="zh-CN"/>
                    </w:rPr>
                    <w:t>加油、加气</w:t>
                  </w:r>
                </w:p>
              </w:tc>
              <w:tc>
                <w:tcPr>
                  <w:tcW w:w="1510" w:type="dxa"/>
                  <w:tcBorders>
                    <w:tl2br w:val="nil"/>
                    <w:tr2bl w:val="nil"/>
                  </w:tcBorders>
                  <w:noWrap w:val="0"/>
                  <w:vAlign w:val="center"/>
                </w:tcPr>
                <w:p w14:paraId="558A2EDC">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val="en-US" w:eastAsia="zh-CN"/>
                    </w:rPr>
                  </w:pPr>
                  <w:r>
                    <w:rPr>
                      <w:rFonts w:hint="default" w:ascii="Times New Roman" w:hAnsi="Times New Roman" w:eastAsia="仿宋_GB2312" w:cs="Times New Roman"/>
                      <w:b w:val="0"/>
                      <w:bCs w:val="0"/>
                      <w:color w:val="auto"/>
                      <w:spacing w:val="7"/>
                      <w:sz w:val="21"/>
                      <w:szCs w:val="21"/>
                      <w:vertAlign w:val="baseline"/>
                      <w:lang w:val="en-US" w:eastAsia="zh-CN"/>
                    </w:rPr>
                    <w:t>非甲烷总烃</w:t>
                  </w:r>
                </w:p>
              </w:tc>
              <w:tc>
                <w:tcPr>
                  <w:tcW w:w="1312" w:type="dxa"/>
                  <w:tcBorders>
                    <w:tl2br w:val="nil"/>
                    <w:tr2bl w:val="nil"/>
                  </w:tcBorders>
                  <w:noWrap w:val="0"/>
                  <w:vAlign w:val="center"/>
                </w:tcPr>
                <w:p w14:paraId="66A73B68">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val="en-US" w:eastAsia="zh-CN"/>
                    </w:rPr>
                  </w:pPr>
                  <w:r>
                    <w:rPr>
                      <w:rFonts w:hint="default" w:ascii="Times New Roman" w:hAnsi="Times New Roman" w:eastAsia="仿宋_GB2312" w:cs="Times New Roman"/>
                      <w:b w:val="0"/>
                      <w:bCs w:val="0"/>
                      <w:color w:val="auto"/>
                      <w:spacing w:val="7"/>
                      <w:sz w:val="21"/>
                      <w:szCs w:val="21"/>
                      <w:vertAlign w:val="baseline"/>
                      <w:lang w:val="en-US" w:eastAsia="zh-CN"/>
                    </w:rPr>
                    <w:t>7.1177</w:t>
                  </w:r>
                </w:p>
              </w:tc>
              <w:tc>
                <w:tcPr>
                  <w:tcW w:w="760" w:type="dxa"/>
                  <w:tcBorders>
                    <w:tl2br w:val="nil"/>
                    <w:tr2bl w:val="nil"/>
                  </w:tcBorders>
                  <w:noWrap w:val="0"/>
                  <w:vAlign w:val="center"/>
                </w:tcPr>
                <w:p w14:paraId="1DD38D72">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val="en-US" w:eastAsia="zh-CN"/>
                    </w:rPr>
                  </w:pPr>
                  <w:r>
                    <w:rPr>
                      <w:rFonts w:hint="default" w:ascii="Times New Roman" w:hAnsi="Times New Roman" w:eastAsia="仿宋_GB2312" w:cs="Times New Roman"/>
                      <w:b w:val="0"/>
                      <w:bCs w:val="0"/>
                      <w:color w:val="auto"/>
                      <w:spacing w:val="7"/>
                      <w:sz w:val="21"/>
                      <w:szCs w:val="21"/>
                      <w:vertAlign w:val="baseline"/>
                      <w:lang w:val="en-US" w:eastAsia="zh-CN"/>
                    </w:rPr>
                    <w:t>油气</w:t>
                  </w:r>
                </w:p>
                <w:p w14:paraId="6E59FABD">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7"/>
                      <w:sz w:val="21"/>
                      <w:szCs w:val="21"/>
                      <w:vertAlign w:val="baseline"/>
                      <w:lang w:val="en-US" w:eastAsia="zh-CN"/>
                    </w:rPr>
                  </w:pPr>
                  <w:r>
                    <w:rPr>
                      <w:rFonts w:hint="default" w:ascii="Times New Roman" w:hAnsi="Times New Roman" w:eastAsia="仿宋_GB2312" w:cs="Times New Roman"/>
                      <w:b w:val="0"/>
                      <w:bCs w:val="0"/>
                      <w:color w:val="auto"/>
                      <w:spacing w:val="7"/>
                      <w:sz w:val="21"/>
                      <w:szCs w:val="21"/>
                      <w:vertAlign w:val="baseline"/>
                      <w:lang w:val="en-US" w:eastAsia="zh-CN"/>
                    </w:rPr>
                    <w:t>回收</w:t>
                  </w:r>
                </w:p>
              </w:tc>
              <w:tc>
                <w:tcPr>
                  <w:tcW w:w="1063" w:type="dxa"/>
                  <w:tcBorders>
                    <w:tl2br w:val="nil"/>
                    <w:tr2bl w:val="nil"/>
                  </w:tcBorders>
                  <w:noWrap w:val="0"/>
                  <w:vAlign w:val="center"/>
                </w:tcPr>
                <w:p w14:paraId="63AB26A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1.0263</w:t>
                  </w:r>
                </w:p>
              </w:tc>
              <w:tc>
                <w:tcPr>
                  <w:tcW w:w="1063" w:type="dxa"/>
                  <w:tcBorders>
                    <w:tl2br w:val="nil"/>
                    <w:tr2bl w:val="nil"/>
                  </w:tcBorders>
                  <w:noWrap w:val="0"/>
                  <w:vAlign w:val="center"/>
                </w:tcPr>
                <w:p w14:paraId="7734560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0.117</w:t>
                  </w:r>
                </w:p>
              </w:tc>
            </w:tr>
          </w:tbl>
          <w:p w14:paraId="06641883">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（5）非正常排放污染源源强分析</w:t>
            </w:r>
          </w:p>
          <w:p w14:paraId="3BA58395">
            <w:pPr>
              <w:autoSpaceDE w:val="0"/>
              <w:autoSpaceDN w:val="0"/>
              <w:adjustRightInd w:val="0"/>
              <w:spacing w:line="360" w:lineRule="auto"/>
              <w:ind w:firstLine="468"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pacing w:val="-3"/>
                <w:sz w:val="24"/>
                <w:szCs w:val="24"/>
                <w:lang w:eastAsia="zh-CN"/>
              </w:rPr>
              <w:t>根据项目特点，运营期非正常工况主要为环保设施达不到正常工况，</w:t>
            </w:r>
            <w:r>
              <w:rPr>
                <w:rFonts w:hint="default" w:ascii="Times New Roman" w:hAnsi="Times New Roman" w:eastAsia="仿宋_GB2312" w:cs="Times New Roman"/>
                <w:color w:val="auto"/>
                <w:spacing w:val="2"/>
                <w:sz w:val="24"/>
                <w:szCs w:val="24"/>
              </w:rPr>
              <w:t>非正常排放考虑</w:t>
            </w:r>
            <w:r>
              <w:rPr>
                <w:rFonts w:hint="default" w:ascii="Times New Roman" w:hAnsi="Times New Roman" w:eastAsia="仿宋_GB2312" w:cs="Times New Roman"/>
                <w:color w:val="auto"/>
                <w:spacing w:val="2"/>
                <w:sz w:val="24"/>
                <w:szCs w:val="24"/>
                <w:lang w:eastAsia="zh-CN"/>
              </w:rPr>
              <w:t>最不利条件（</w:t>
            </w:r>
            <w:r>
              <w:rPr>
                <w:rFonts w:hint="default" w:ascii="Times New Roman" w:hAnsi="Times New Roman" w:eastAsia="仿宋_GB2312" w:cs="Times New Roman"/>
                <w:color w:val="auto"/>
                <w:spacing w:val="2"/>
                <w:sz w:val="24"/>
                <w:szCs w:val="24"/>
              </w:rPr>
              <w:t>废气处理</w:t>
            </w:r>
            <w:r>
              <w:rPr>
                <w:rFonts w:hint="default" w:ascii="Times New Roman" w:hAnsi="Times New Roman" w:eastAsia="仿宋_GB2312" w:cs="Times New Roman"/>
                <w:color w:val="auto"/>
                <w:spacing w:val="2"/>
                <w:sz w:val="24"/>
                <w:szCs w:val="24"/>
                <w:lang w:eastAsia="zh-CN"/>
              </w:rPr>
              <w:t>设施去除效率为“0”）时，废气排放情况。非正常排放状况</w:t>
            </w:r>
            <w:r>
              <w:rPr>
                <w:rFonts w:hint="default" w:ascii="Times New Roman" w:hAnsi="Times New Roman" w:eastAsia="仿宋_GB2312" w:cs="Times New Roman"/>
                <w:color w:val="auto"/>
                <w:sz w:val="24"/>
                <w:szCs w:val="24"/>
                <w:lang w:val="en-US" w:eastAsia="zh-CN"/>
              </w:rPr>
              <w:t>详见表4-3。</w:t>
            </w:r>
          </w:p>
          <w:p w14:paraId="7B488AED">
            <w:pPr>
              <w:pStyle w:val="51"/>
              <w:spacing w:before="7" w:line="229" w:lineRule="auto"/>
              <w:ind w:left="2670"/>
              <w:rPr>
                <w:rFonts w:hint="default" w:ascii="Times New Roman" w:hAnsi="Times New Roman" w:eastAsia="仿宋_GB2312" w:cs="Times New Roman"/>
                <w:color w:val="auto"/>
                <w:sz w:val="24"/>
                <w:szCs w:val="24"/>
              </w:rPr>
            </w:pPr>
            <w:r>
              <w:rPr>
                <w:rFonts w:hint="default" w:ascii="Times New Roman" w:hAnsi="Times New Roman" w:eastAsia="仿宋_GB2312" w:cs="Times New Roman"/>
                <w:b/>
                <w:bCs/>
                <w:color w:val="auto"/>
                <w:spacing w:val="6"/>
                <w:sz w:val="24"/>
                <w:szCs w:val="24"/>
              </w:rPr>
              <w:t>表4-3 非正常工况下污染物排放源强</w:t>
            </w:r>
          </w:p>
          <w:tbl>
            <w:tblPr>
              <w:tblStyle w:val="52"/>
              <w:tblW w:w="7950" w:type="dxa"/>
              <w:tblInd w:w="-7"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1200"/>
              <w:gridCol w:w="1218"/>
              <w:gridCol w:w="1270"/>
              <w:gridCol w:w="852"/>
              <w:gridCol w:w="852"/>
              <w:gridCol w:w="852"/>
              <w:gridCol w:w="852"/>
              <w:gridCol w:w="854"/>
            </w:tblGrid>
            <w:tr w14:paraId="5C0AAE63">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09" w:hRule="atLeast"/>
              </w:trPr>
              <w:tc>
                <w:tcPr>
                  <w:tcW w:w="1200" w:type="dxa"/>
                  <w:vMerge w:val="restart"/>
                  <w:tcBorders>
                    <w:tl2br w:val="nil"/>
                    <w:tr2bl w:val="nil"/>
                  </w:tcBorders>
                  <w:noWrap w:val="0"/>
                  <w:vAlign w:val="center"/>
                </w:tcPr>
                <w:p w14:paraId="1ECB00C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污染源</w:t>
                  </w:r>
                </w:p>
              </w:tc>
              <w:tc>
                <w:tcPr>
                  <w:tcW w:w="1218" w:type="dxa"/>
                  <w:vMerge w:val="restart"/>
                  <w:tcBorders>
                    <w:tl2br w:val="nil"/>
                    <w:tr2bl w:val="nil"/>
                  </w:tcBorders>
                  <w:noWrap w:val="0"/>
                  <w:vAlign w:val="center"/>
                </w:tcPr>
                <w:p w14:paraId="4908CA6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非正常</w:t>
                  </w:r>
                </w:p>
                <w:p w14:paraId="69A41CF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排放原因</w:t>
                  </w:r>
                </w:p>
              </w:tc>
              <w:tc>
                <w:tcPr>
                  <w:tcW w:w="1270" w:type="dxa"/>
                  <w:vMerge w:val="restart"/>
                  <w:tcBorders>
                    <w:tl2br w:val="nil"/>
                    <w:tr2bl w:val="nil"/>
                  </w:tcBorders>
                  <w:noWrap w:val="0"/>
                  <w:vAlign w:val="center"/>
                </w:tcPr>
                <w:p w14:paraId="7B2B18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污染物</w:t>
                  </w:r>
                </w:p>
              </w:tc>
              <w:tc>
                <w:tcPr>
                  <w:tcW w:w="3408" w:type="dxa"/>
                  <w:gridSpan w:val="4"/>
                  <w:tcBorders>
                    <w:tl2br w:val="nil"/>
                    <w:tr2bl w:val="nil"/>
                  </w:tcBorders>
                  <w:noWrap w:val="0"/>
                  <w:vAlign w:val="center"/>
                </w:tcPr>
                <w:p w14:paraId="09CBA97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非正常排放状况</w:t>
                  </w:r>
                </w:p>
              </w:tc>
              <w:tc>
                <w:tcPr>
                  <w:tcW w:w="854" w:type="dxa"/>
                  <w:vMerge w:val="restart"/>
                  <w:tcBorders>
                    <w:tl2br w:val="nil"/>
                    <w:tr2bl w:val="nil"/>
                  </w:tcBorders>
                  <w:noWrap w:val="0"/>
                  <w:vAlign w:val="center"/>
                </w:tcPr>
                <w:p w14:paraId="0B778FC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应对措施</w:t>
                  </w:r>
                </w:p>
              </w:tc>
            </w:tr>
            <w:tr w14:paraId="1FC6AE5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200" w:type="dxa"/>
                  <w:vMerge w:val="continue"/>
                  <w:tcBorders>
                    <w:tl2br w:val="nil"/>
                    <w:tr2bl w:val="nil"/>
                  </w:tcBorders>
                  <w:noWrap w:val="0"/>
                  <w:vAlign w:val="center"/>
                </w:tcPr>
                <w:p w14:paraId="4DC5112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c>
                <w:tcPr>
                  <w:tcW w:w="1218" w:type="dxa"/>
                  <w:vMerge w:val="continue"/>
                  <w:tcBorders>
                    <w:tl2br w:val="nil"/>
                    <w:tr2bl w:val="nil"/>
                  </w:tcBorders>
                  <w:noWrap w:val="0"/>
                  <w:vAlign w:val="center"/>
                </w:tcPr>
                <w:p w14:paraId="44752A4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c>
                <w:tcPr>
                  <w:tcW w:w="1270" w:type="dxa"/>
                  <w:vMerge w:val="continue"/>
                  <w:tcBorders>
                    <w:tl2br w:val="nil"/>
                    <w:tr2bl w:val="nil"/>
                  </w:tcBorders>
                  <w:noWrap w:val="0"/>
                  <w:vAlign w:val="center"/>
                </w:tcPr>
                <w:p w14:paraId="0B8D5B0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c>
                <w:tcPr>
                  <w:tcW w:w="852" w:type="dxa"/>
                  <w:tcBorders>
                    <w:tl2br w:val="nil"/>
                    <w:tr2bl w:val="nil"/>
                  </w:tcBorders>
                  <w:noWrap w:val="0"/>
                  <w:vAlign w:val="center"/>
                </w:tcPr>
                <w:p w14:paraId="389209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浓度</w:t>
                  </w:r>
                </w:p>
                <w:p w14:paraId="55AEEE2D">
                  <w:pPr>
                    <w:keepNext w:val="0"/>
                    <w:keepLines w:val="0"/>
                    <w:pageBreakBefore w:val="0"/>
                    <w:widowControl w:val="0"/>
                    <w:kinsoku/>
                    <w:wordWrap/>
                    <w:overflowPunct/>
                    <w:topLinePunct w:val="0"/>
                    <w:autoSpaceDE w:val="0"/>
                    <w:autoSpaceDN w:val="0"/>
                    <w:bidi w:val="0"/>
                    <w:adjustRightInd w:val="0"/>
                    <w:snapToGrid/>
                    <w:spacing w:line="240" w:lineRule="auto"/>
                    <w:ind w:left="-63" w:leftChars="-30" w:right="-63" w:rightChars="-30"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（mg/m</w:t>
                  </w:r>
                  <w:r>
                    <w:rPr>
                      <w:rFonts w:hint="default" w:ascii="Times New Roman" w:hAnsi="Times New Roman" w:eastAsia="仿宋_GB2312" w:cs="Times New Roman"/>
                      <w:b/>
                      <w:bCs/>
                      <w:color w:val="auto"/>
                      <w:sz w:val="21"/>
                      <w:szCs w:val="21"/>
                      <w:vertAlign w:val="superscript"/>
                      <w:lang w:val="en-US" w:eastAsia="zh-CN"/>
                    </w:rPr>
                    <w:t>3</w:t>
                  </w:r>
                  <w:r>
                    <w:rPr>
                      <w:rFonts w:hint="default" w:ascii="Times New Roman" w:hAnsi="Times New Roman" w:eastAsia="仿宋_GB2312" w:cs="Times New Roman"/>
                      <w:b/>
                      <w:bCs/>
                      <w:color w:val="auto"/>
                      <w:sz w:val="21"/>
                      <w:szCs w:val="21"/>
                      <w:lang w:val="en-US" w:eastAsia="zh-CN"/>
                    </w:rPr>
                    <w:t>）</w:t>
                  </w:r>
                </w:p>
              </w:tc>
              <w:tc>
                <w:tcPr>
                  <w:tcW w:w="852" w:type="dxa"/>
                  <w:tcBorders>
                    <w:tl2br w:val="nil"/>
                    <w:tr2bl w:val="nil"/>
                  </w:tcBorders>
                  <w:noWrap w:val="0"/>
                  <w:vAlign w:val="center"/>
                </w:tcPr>
                <w:p w14:paraId="62A7DE5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速率</w:t>
                  </w:r>
                </w:p>
                <w:p w14:paraId="607273F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（kg/h）</w:t>
                  </w:r>
                </w:p>
              </w:tc>
              <w:tc>
                <w:tcPr>
                  <w:tcW w:w="852" w:type="dxa"/>
                  <w:tcBorders>
                    <w:tl2br w:val="nil"/>
                    <w:tr2bl w:val="nil"/>
                  </w:tcBorders>
                  <w:noWrap w:val="0"/>
                  <w:vAlign w:val="center"/>
                </w:tcPr>
                <w:p w14:paraId="015EDEB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频次及持 续时间</w:t>
                  </w:r>
                </w:p>
              </w:tc>
              <w:tc>
                <w:tcPr>
                  <w:tcW w:w="852" w:type="dxa"/>
                  <w:tcBorders>
                    <w:tl2br w:val="nil"/>
                    <w:tr2bl w:val="nil"/>
                  </w:tcBorders>
                  <w:noWrap w:val="0"/>
                  <w:vAlign w:val="center"/>
                </w:tcPr>
                <w:p w14:paraId="24E337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排放量</w:t>
                  </w:r>
                </w:p>
                <w:p w14:paraId="2A3E242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（kg/a）</w:t>
                  </w:r>
                </w:p>
              </w:tc>
              <w:tc>
                <w:tcPr>
                  <w:tcW w:w="854" w:type="dxa"/>
                  <w:vMerge w:val="continue"/>
                  <w:tcBorders>
                    <w:tl2br w:val="nil"/>
                    <w:tr2bl w:val="nil"/>
                  </w:tcBorders>
                  <w:noWrap w:val="0"/>
                  <w:vAlign w:val="center"/>
                </w:tcPr>
                <w:p w14:paraId="6A4C8E4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r>
            <w:tr w14:paraId="16250560">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200" w:type="dxa"/>
                  <w:tcBorders>
                    <w:tl2br w:val="nil"/>
                    <w:tr2bl w:val="nil"/>
                  </w:tcBorders>
                  <w:noWrap w:val="0"/>
                  <w:vAlign w:val="center"/>
                </w:tcPr>
                <w:p w14:paraId="6925926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储罐区、</w:t>
                  </w:r>
                </w:p>
                <w:p w14:paraId="53EB7F8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加油区</w:t>
                  </w:r>
                </w:p>
              </w:tc>
              <w:tc>
                <w:tcPr>
                  <w:tcW w:w="1218" w:type="dxa"/>
                  <w:tcBorders>
                    <w:tl2br w:val="nil"/>
                    <w:tr2bl w:val="nil"/>
                  </w:tcBorders>
                  <w:noWrap w:val="0"/>
                  <w:vAlign w:val="center"/>
                </w:tcPr>
                <w:p w14:paraId="0919252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油气回收</w:t>
                  </w:r>
                </w:p>
                <w:p w14:paraId="6883E6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装置故障</w:t>
                  </w:r>
                </w:p>
              </w:tc>
              <w:tc>
                <w:tcPr>
                  <w:tcW w:w="1270" w:type="dxa"/>
                  <w:tcBorders>
                    <w:tl2br w:val="nil"/>
                    <w:tr2bl w:val="nil"/>
                  </w:tcBorders>
                  <w:noWrap w:val="0"/>
                  <w:vAlign w:val="center"/>
                </w:tcPr>
                <w:p w14:paraId="39FB675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非甲烷总烃</w:t>
                  </w:r>
                </w:p>
              </w:tc>
              <w:tc>
                <w:tcPr>
                  <w:tcW w:w="852" w:type="dxa"/>
                  <w:tcBorders>
                    <w:tl2br w:val="nil"/>
                    <w:tr2bl w:val="nil"/>
                  </w:tcBorders>
                  <w:noWrap w:val="0"/>
                  <w:vAlign w:val="center"/>
                </w:tcPr>
                <w:p w14:paraId="30577D1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c>
                <w:tcPr>
                  <w:tcW w:w="852" w:type="dxa"/>
                  <w:tcBorders>
                    <w:tl2br w:val="nil"/>
                    <w:tr2bl w:val="nil"/>
                  </w:tcBorders>
                  <w:noWrap w:val="0"/>
                  <w:vAlign w:val="center"/>
                </w:tcPr>
                <w:p w14:paraId="4EBEC85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0.781</w:t>
                  </w:r>
                </w:p>
              </w:tc>
              <w:tc>
                <w:tcPr>
                  <w:tcW w:w="852" w:type="dxa"/>
                  <w:tcBorders>
                    <w:tl2br w:val="nil"/>
                    <w:tr2bl w:val="nil"/>
                  </w:tcBorders>
                  <w:noWrap w:val="0"/>
                  <w:vAlign w:val="center"/>
                </w:tcPr>
                <w:p w14:paraId="14BDC8E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1次/a，</w:t>
                  </w:r>
                </w:p>
                <w:p w14:paraId="590304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1h/次</w:t>
                  </w:r>
                </w:p>
              </w:tc>
              <w:tc>
                <w:tcPr>
                  <w:tcW w:w="852" w:type="dxa"/>
                  <w:tcBorders>
                    <w:tl2br w:val="nil"/>
                    <w:tr2bl w:val="nil"/>
                  </w:tcBorders>
                  <w:noWrap w:val="0"/>
                  <w:vAlign w:val="center"/>
                </w:tcPr>
                <w:p w14:paraId="0D58E47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0.781</w:t>
                  </w:r>
                </w:p>
              </w:tc>
              <w:tc>
                <w:tcPr>
                  <w:tcW w:w="854" w:type="dxa"/>
                  <w:tcBorders>
                    <w:tl2br w:val="nil"/>
                    <w:tr2bl w:val="nil"/>
                  </w:tcBorders>
                  <w:noWrap w:val="0"/>
                  <w:vAlign w:val="center"/>
                </w:tcPr>
                <w:p w14:paraId="1E7C00B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定期检修保养，暂停生产</w:t>
                  </w:r>
                </w:p>
              </w:tc>
            </w:tr>
          </w:tbl>
          <w:p w14:paraId="7A5E6BD8">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根据上表，非正常工况下污染物排放量明显增大，建设单位应加强环保设备的运行管理，严格控制废气非正常排放，并采取以下措施：</w:t>
            </w:r>
          </w:p>
          <w:p w14:paraId="311D4450">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汽油油罐车卸油废气以及加油机加油废气采用卸油、加油油气回收系统进行回收，油罐车卸油废气回收到油罐车内，加油废气回收到储油罐内，企业应制定加油站油气回收装置定期检查维护保养制度，发现故障应立即对设备或管道进行维修。同时提高作业人员技术水平，严格遵守操作规程，完善管理机制，建立严格的生产管理制度。</w:t>
            </w:r>
          </w:p>
          <w:p w14:paraId="24A6A846">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项目非正常工况持续时间较短，年发生频次较低，污染物排放总量较少，因此对周围环境影响不大。</w:t>
            </w:r>
          </w:p>
          <w:p w14:paraId="2D7BF49E">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（6）废气治理措施可行性分析</w:t>
            </w:r>
          </w:p>
          <w:p w14:paraId="7E23336B">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本项目采取的油气回收系统与《排污许可证申请与核发技术规范 储油库、加油站》（HJ 1118-2020）推荐的污染治理设施对照如下：</w:t>
            </w:r>
          </w:p>
          <w:p w14:paraId="074CD5C5">
            <w:pPr>
              <w:pStyle w:val="51"/>
              <w:spacing w:before="7" w:line="229" w:lineRule="auto"/>
              <w:jc w:val="center"/>
              <w:rPr>
                <w:rFonts w:hint="default" w:ascii="Times New Roman" w:hAnsi="Times New Roman" w:eastAsia="仿宋_GB2312" w:cs="Times New Roman"/>
                <w:b/>
                <w:bCs/>
                <w:color w:val="auto"/>
                <w:spacing w:val="6"/>
                <w:sz w:val="24"/>
                <w:szCs w:val="24"/>
                <w:lang w:val="en-US" w:eastAsia="zh-CN"/>
              </w:rPr>
            </w:pPr>
            <w:r>
              <w:rPr>
                <w:rFonts w:hint="default" w:ascii="Times New Roman" w:hAnsi="Times New Roman" w:eastAsia="仿宋_GB2312" w:cs="Times New Roman"/>
                <w:b/>
                <w:bCs/>
                <w:color w:val="auto"/>
                <w:spacing w:val="6"/>
                <w:sz w:val="24"/>
                <w:szCs w:val="24"/>
                <w:lang w:val="en-US" w:eastAsia="zh-CN"/>
              </w:rPr>
              <w:t>表4-4 本项目废气处理设施与排污许可技术规范推荐治理设施对照表</w:t>
            </w:r>
          </w:p>
          <w:tbl>
            <w:tblPr>
              <w:tblStyle w:val="20"/>
              <w:tblW w:w="7946"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65"/>
              <w:gridCol w:w="855"/>
              <w:gridCol w:w="980"/>
              <w:gridCol w:w="767"/>
              <w:gridCol w:w="1095"/>
              <w:gridCol w:w="910"/>
              <w:gridCol w:w="1590"/>
              <w:gridCol w:w="984"/>
            </w:tblGrid>
            <w:tr w14:paraId="56E71DD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5" w:type="dxa"/>
                  <w:vMerge w:val="restart"/>
                  <w:tcBorders>
                    <w:tl2br w:val="nil"/>
                    <w:tr2bl w:val="nil"/>
                  </w:tcBorders>
                  <w:noWrap w:val="0"/>
                  <w:vAlign w:val="center"/>
                </w:tcPr>
                <w:p w14:paraId="1A89E10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生产</w:t>
                  </w:r>
                </w:p>
                <w:p w14:paraId="55AEA2B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设施</w:t>
                  </w:r>
                </w:p>
              </w:tc>
              <w:tc>
                <w:tcPr>
                  <w:tcW w:w="855" w:type="dxa"/>
                  <w:vMerge w:val="restart"/>
                  <w:tcBorders>
                    <w:tl2br w:val="nil"/>
                    <w:tr2bl w:val="nil"/>
                  </w:tcBorders>
                  <w:noWrap w:val="0"/>
                  <w:vAlign w:val="center"/>
                </w:tcPr>
                <w:p w14:paraId="1D0E356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产污</w:t>
                  </w:r>
                </w:p>
                <w:p w14:paraId="540026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环节</w:t>
                  </w:r>
                </w:p>
              </w:tc>
              <w:tc>
                <w:tcPr>
                  <w:tcW w:w="980" w:type="dxa"/>
                  <w:vMerge w:val="restart"/>
                  <w:tcBorders>
                    <w:tl2br w:val="nil"/>
                    <w:tr2bl w:val="nil"/>
                  </w:tcBorders>
                  <w:noWrap w:val="0"/>
                  <w:vAlign w:val="center"/>
                </w:tcPr>
                <w:p w14:paraId="46146F7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污染物</w:t>
                  </w:r>
                </w:p>
                <w:p w14:paraId="4629F0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种类</w:t>
                  </w:r>
                </w:p>
              </w:tc>
              <w:tc>
                <w:tcPr>
                  <w:tcW w:w="767" w:type="dxa"/>
                  <w:vMerge w:val="restart"/>
                  <w:tcBorders>
                    <w:tl2br w:val="nil"/>
                    <w:tr2bl w:val="nil"/>
                  </w:tcBorders>
                  <w:noWrap w:val="0"/>
                  <w:vAlign w:val="center"/>
                </w:tcPr>
                <w:p w14:paraId="05122FA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排放</w:t>
                  </w:r>
                </w:p>
                <w:p w14:paraId="400D4F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方式</w:t>
                  </w:r>
                </w:p>
              </w:tc>
              <w:tc>
                <w:tcPr>
                  <w:tcW w:w="1095" w:type="dxa"/>
                  <w:vMerge w:val="restart"/>
                  <w:tcBorders>
                    <w:tl2br w:val="nil"/>
                    <w:tr2bl w:val="nil"/>
                  </w:tcBorders>
                  <w:noWrap w:val="0"/>
                  <w:vAlign w:val="center"/>
                </w:tcPr>
                <w:p w14:paraId="65AA99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污染治理设施</w:t>
                  </w:r>
                </w:p>
              </w:tc>
              <w:tc>
                <w:tcPr>
                  <w:tcW w:w="910" w:type="dxa"/>
                  <w:vMerge w:val="restart"/>
                  <w:tcBorders>
                    <w:tl2br w:val="nil"/>
                    <w:tr2bl w:val="nil"/>
                  </w:tcBorders>
                  <w:noWrap w:val="0"/>
                  <w:vAlign w:val="center"/>
                </w:tcPr>
                <w:p w14:paraId="289EE0A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污染治理工艺</w:t>
                  </w:r>
                </w:p>
              </w:tc>
              <w:tc>
                <w:tcPr>
                  <w:tcW w:w="2574" w:type="dxa"/>
                  <w:gridSpan w:val="2"/>
                  <w:tcBorders>
                    <w:tl2br w:val="nil"/>
                    <w:tr2bl w:val="nil"/>
                  </w:tcBorders>
                  <w:noWrap w:val="0"/>
                  <w:vAlign w:val="center"/>
                </w:tcPr>
                <w:p w14:paraId="374B0B7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本项目污染防治设施</w:t>
                  </w:r>
                </w:p>
              </w:tc>
            </w:tr>
            <w:tr w14:paraId="5A92A8B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5" w:type="dxa"/>
                  <w:vMerge w:val="continue"/>
                  <w:tcBorders>
                    <w:tl2br w:val="nil"/>
                    <w:tr2bl w:val="nil"/>
                  </w:tcBorders>
                  <w:noWrap w:val="0"/>
                  <w:vAlign w:val="center"/>
                </w:tcPr>
                <w:p w14:paraId="42A0DA0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c>
                <w:tcPr>
                  <w:tcW w:w="855" w:type="dxa"/>
                  <w:vMerge w:val="continue"/>
                  <w:tcBorders>
                    <w:tl2br w:val="nil"/>
                    <w:tr2bl w:val="nil"/>
                  </w:tcBorders>
                  <w:noWrap w:val="0"/>
                  <w:vAlign w:val="center"/>
                </w:tcPr>
                <w:p w14:paraId="2A7DF58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c>
                <w:tcPr>
                  <w:tcW w:w="980" w:type="dxa"/>
                  <w:vMerge w:val="continue"/>
                  <w:tcBorders>
                    <w:tl2br w:val="nil"/>
                    <w:tr2bl w:val="nil"/>
                  </w:tcBorders>
                  <w:noWrap w:val="0"/>
                  <w:vAlign w:val="center"/>
                </w:tcPr>
                <w:p w14:paraId="583BB06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c>
                <w:tcPr>
                  <w:tcW w:w="767" w:type="dxa"/>
                  <w:vMerge w:val="continue"/>
                  <w:tcBorders>
                    <w:tl2br w:val="nil"/>
                    <w:tr2bl w:val="nil"/>
                  </w:tcBorders>
                  <w:noWrap w:val="0"/>
                  <w:vAlign w:val="center"/>
                </w:tcPr>
                <w:p w14:paraId="3F5A43D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c>
                <w:tcPr>
                  <w:tcW w:w="1095" w:type="dxa"/>
                  <w:vMerge w:val="continue"/>
                  <w:tcBorders>
                    <w:tl2br w:val="nil"/>
                    <w:tr2bl w:val="nil"/>
                  </w:tcBorders>
                  <w:noWrap w:val="0"/>
                  <w:vAlign w:val="center"/>
                </w:tcPr>
                <w:p w14:paraId="72A183E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c>
                <w:tcPr>
                  <w:tcW w:w="910" w:type="dxa"/>
                  <w:vMerge w:val="continue"/>
                  <w:tcBorders>
                    <w:tl2br w:val="nil"/>
                    <w:tr2bl w:val="nil"/>
                  </w:tcBorders>
                  <w:noWrap w:val="0"/>
                  <w:vAlign w:val="center"/>
                </w:tcPr>
                <w:p w14:paraId="34FEE4A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p>
              </w:tc>
              <w:tc>
                <w:tcPr>
                  <w:tcW w:w="1590" w:type="dxa"/>
                  <w:tcBorders>
                    <w:tl2br w:val="nil"/>
                    <w:tr2bl w:val="nil"/>
                  </w:tcBorders>
                  <w:noWrap w:val="0"/>
                  <w:vAlign w:val="center"/>
                </w:tcPr>
                <w:p w14:paraId="0538ABF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污染防治设施</w:t>
                  </w:r>
                </w:p>
                <w:p w14:paraId="6C024B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名称及工艺</w:t>
                  </w:r>
                </w:p>
              </w:tc>
              <w:tc>
                <w:tcPr>
                  <w:tcW w:w="984" w:type="dxa"/>
                  <w:tcBorders>
                    <w:tl2br w:val="nil"/>
                    <w:tr2bl w:val="nil"/>
                  </w:tcBorders>
                  <w:noWrap w:val="0"/>
                  <w:vAlign w:val="center"/>
                </w:tcPr>
                <w:p w14:paraId="3954C6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是否为</w:t>
                  </w:r>
                </w:p>
                <w:p w14:paraId="6EF9F996">
                  <w:pPr>
                    <w:keepNext w:val="0"/>
                    <w:keepLines w:val="0"/>
                    <w:pageBreakBefore w:val="0"/>
                    <w:widowControl w:val="0"/>
                    <w:kinsoku/>
                    <w:wordWrap/>
                    <w:overflowPunct/>
                    <w:topLinePunct w:val="0"/>
                    <w:autoSpaceDE w:val="0"/>
                    <w:autoSpaceDN w:val="0"/>
                    <w:bidi w:val="0"/>
                    <w:adjustRightInd w:val="0"/>
                    <w:snapToGrid/>
                    <w:spacing w:line="240" w:lineRule="auto"/>
                    <w:ind w:left="-63" w:leftChars="-30" w:right="-63" w:rightChars="-30"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可行技术</w:t>
                  </w:r>
                </w:p>
              </w:tc>
            </w:tr>
            <w:tr w14:paraId="49559E8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5" w:type="dxa"/>
                  <w:tcBorders>
                    <w:tl2br w:val="nil"/>
                    <w:tr2bl w:val="nil"/>
                  </w:tcBorders>
                  <w:noWrap w:val="0"/>
                  <w:vAlign w:val="center"/>
                </w:tcPr>
                <w:p w14:paraId="2F1C17B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汽油</w:t>
                  </w:r>
                </w:p>
                <w:p w14:paraId="6ABF9DD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储罐</w:t>
                  </w:r>
                </w:p>
              </w:tc>
              <w:tc>
                <w:tcPr>
                  <w:tcW w:w="855" w:type="dxa"/>
                  <w:tcBorders>
                    <w:tl2br w:val="nil"/>
                    <w:tr2bl w:val="nil"/>
                  </w:tcBorders>
                  <w:noWrap w:val="0"/>
                  <w:vAlign w:val="center"/>
                </w:tcPr>
                <w:p w14:paraId="05167C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储罐</w:t>
                  </w:r>
                </w:p>
                <w:p w14:paraId="4A5873C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挥发</w:t>
                  </w:r>
                </w:p>
              </w:tc>
              <w:tc>
                <w:tcPr>
                  <w:tcW w:w="980" w:type="dxa"/>
                  <w:tcBorders>
                    <w:tl2br w:val="nil"/>
                    <w:tr2bl w:val="nil"/>
                  </w:tcBorders>
                  <w:noWrap w:val="0"/>
                  <w:vAlign w:val="center"/>
                </w:tcPr>
                <w:p w14:paraId="5017BFD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挥发性</w:t>
                  </w:r>
                </w:p>
                <w:p w14:paraId="2B9595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有机物</w:t>
                  </w:r>
                </w:p>
              </w:tc>
              <w:tc>
                <w:tcPr>
                  <w:tcW w:w="767" w:type="dxa"/>
                  <w:tcBorders>
                    <w:tl2br w:val="nil"/>
                    <w:tr2bl w:val="nil"/>
                  </w:tcBorders>
                  <w:noWrap w:val="0"/>
                  <w:vAlign w:val="center"/>
                </w:tcPr>
                <w:p w14:paraId="1DE87D8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无组织</w:t>
                  </w:r>
                </w:p>
              </w:tc>
              <w:tc>
                <w:tcPr>
                  <w:tcW w:w="1095" w:type="dxa"/>
                  <w:tcBorders>
                    <w:tl2br w:val="nil"/>
                    <w:tr2bl w:val="nil"/>
                  </w:tcBorders>
                  <w:noWrap w:val="0"/>
                  <w:vAlign w:val="center"/>
                </w:tcPr>
                <w:p w14:paraId="56D153D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卸油油气回收系统</w:t>
                  </w:r>
                </w:p>
              </w:tc>
              <w:tc>
                <w:tcPr>
                  <w:tcW w:w="910" w:type="dxa"/>
                  <w:tcBorders>
                    <w:tl2br w:val="nil"/>
                    <w:tr2bl w:val="nil"/>
                  </w:tcBorders>
                  <w:noWrap w:val="0"/>
                  <w:vAlign w:val="center"/>
                </w:tcPr>
                <w:p w14:paraId="66B15AD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油气</w:t>
                  </w:r>
                </w:p>
                <w:p w14:paraId="0F7BB30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平衡</w:t>
                  </w:r>
                </w:p>
              </w:tc>
              <w:tc>
                <w:tcPr>
                  <w:tcW w:w="1590" w:type="dxa"/>
                  <w:tcBorders>
                    <w:tl2br w:val="nil"/>
                    <w:tr2bl w:val="nil"/>
                  </w:tcBorders>
                  <w:noWrap w:val="0"/>
                  <w:vAlign w:val="center"/>
                </w:tcPr>
                <w:p w14:paraId="7E035B4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卸油油气回收系统，油气平衡</w:t>
                  </w:r>
                </w:p>
              </w:tc>
              <w:tc>
                <w:tcPr>
                  <w:tcW w:w="984" w:type="dxa"/>
                  <w:tcBorders>
                    <w:tl2br w:val="nil"/>
                    <w:tr2bl w:val="nil"/>
                  </w:tcBorders>
                  <w:noWrap w:val="0"/>
                  <w:vAlign w:val="center"/>
                </w:tcPr>
                <w:p w14:paraId="5D05531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是</w:t>
                  </w:r>
                </w:p>
              </w:tc>
            </w:tr>
            <w:tr w14:paraId="61C1CF6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65" w:type="dxa"/>
                  <w:tcBorders>
                    <w:tl2br w:val="nil"/>
                    <w:tr2bl w:val="nil"/>
                  </w:tcBorders>
                  <w:noWrap w:val="0"/>
                  <w:vAlign w:val="center"/>
                </w:tcPr>
                <w:p w14:paraId="52E433B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汽油</w:t>
                  </w:r>
                </w:p>
                <w:p w14:paraId="1CED2F7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加油枪</w:t>
                  </w:r>
                </w:p>
              </w:tc>
              <w:tc>
                <w:tcPr>
                  <w:tcW w:w="855" w:type="dxa"/>
                  <w:tcBorders>
                    <w:tl2br w:val="nil"/>
                    <w:tr2bl w:val="nil"/>
                  </w:tcBorders>
                  <w:noWrap w:val="0"/>
                  <w:vAlign w:val="center"/>
                </w:tcPr>
                <w:p w14:paraId="552B05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加油枪挥发</w:t>
                  </w:r>
                </w:p>
              </w:tc>
              <w:tc>
                <w:tcPr>
                  <w:tcW w:w="980" w:type="dxa"/>
                  <w:tcBorders>
                    <w:tl2br w:val="nil"/>
                    <w:tr2bl w:val="nil"/>
                  </w:tcBorders>
                  <w:noWrap w:val="0"/>
                  <w:vAlign w:val="center"/>
                </w:tcPr>
                <w:p w14:paraId="4B22235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挥发性</w:t>
                  </w:r>
                </w:p>
                <w:p w14:paraId="1AAC14C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有机物</w:t>
                  </w:r>
                </w:p>
              </w:tc>
              <w:tc>
                <w:tcPr>
                  <w:tcW w:w="767" w:type="dxa"/>
                  <w:tcBorders>
                    <w:tl2br w:val="nil"/>
                    <w:tr2bl w:val="nil"/>
                  </w:tcBorders>
                  <w:noWrap w:val="0"/>
                  <w:vAlign w:val="center"/>
                </w:tcPr>
                <w:p w14:paraId="1507A2A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无组织</w:t>
                  </w:r>
                </w:p>
              </w:tc>
              <w:tc>
                <w:tcPr>
                  <w:tcW w:w="1095" w:type="dxa"/>
                  <w:tcBorders>
                    <w:tl2br w:val="nil"/>
                    <w:tr2bl w:val="nil"/>
                  </w:tcBorders>
                  <w:noWrap w:val="0"/>
                  <w:vAlign w:val="center"/>
                </w:tcPr>
                <w:p w14:paraId="4ECE1B3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加油油气回收系统</w:t>
                  </w:r>
                </w:p>
              </w:tc>
              <w:tc>
                <w:tcPr>
                  <w:tcW w:w="910" w:type="dxa"/>
                  <w:tcBorders>
                    <w:tl2br w:val="nil"/>
                    <w:tr2bl w:val="nil"/>
                  </w:tcBorders>
                  <w:noWrap w:val="0"/>
                  <w:vAlign w:val="center"/>
                </w:tcPr>
                <w:p w14:paraId="1014E6F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油气</w:t>
                  </w:r>
                </w:p>
                <w:p w14:paraId="1BCE265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回收</w:t>
                  </w:r>
                </w:p>
              </w:tc>
              <w:tc>
                <w:tcPr>
                  <w:tcW w:w="1590" w:type="dxa"/>
                  <w:tcBorders>
                    <w:tl2br w:val="nil"/>
                    <w:tr2bl w:val="nil"/>
                  </w:tcBorders>
                  <w:noWrap w:val="0"/>
                  <w:vAlign w:val="center"/>
                </w:tcPr>
                <w:p w14:paraId="446FB4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加油油气回收系统，油气回收</w:t>
                  </w:r>
                </w:p>
              </w:tc>
              <w:tc>
                <w:tcPr>
                  <w:tcW w:w="984" w:type="dxa"/>
                  <w:tcBorders>
                    <w:tl2br w:val="nil"/>
                    <w:tr2bl w:val="nil"/>
                  </w:tcBorders>
                  <w:noWrap w:val="0"/>
                  <w:vAlign w:val="center"/>
                </w:tcPr>
                <w:p w14:paraId="467F8D6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是</w:t>
                  </w:r>
                </w:p>
              </w:tc>
            </w:tr>
          </w:tbl>
          <w:p w14:paraId="67463DC5">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本项目废气治理措施均为《排污许可证申请与核发技术规范 储油库、加油站》（HJ 1118-2020）表F.1加油站排污单位废气治理可行技术，废气治理措施可行。</w:t>
            </w:r>
          </w:p>
          <w:p w14:paraId="4B382F7C">
            <w:pPr>
              <w:keepNext w:val="0"/>
              <w:keepLines w:val="0"/>
              <w:pageBreakBefore w:val="0"/>
              <w:widowControl w:val="0"/>
              <w:numPr>
                <w:ilvl w:val="0"/>
                <w:numId w:val="10"/>
              </w:numPr>
              <w:kinsoku/>
              <w:wordWrap/>
              <w:overflowPunct/>
              <w:topLinePunct w:val="0"/>
              <w:autoSpaceDE w:val="0"/>
              <w:autoSpaceDN w:val="0"/>
              <w:bidi w:val="0"/>
              <w:adjustRightInd w:val="0"/>
              <w:snapToGrid/>
              <w:spacing w:before="157" w:beforeLines="50" w:line="360" w:lineRule="auto"/>
              <w:ind w:firstLine="480" w:firstLineChars="200"/>
              <w:textAlignment w:val="auto"/>
              <w:rPr>
                <w:rFonts w:hint="eastAsia" w:ascii="Times New Roman" w:hAnsi="Times New Roman" w:eastAsia="仿宋_GB2312" w:cs="Times New Roman"/>
                <w:color w:val="auto"/>
                <w:sz w:val="24"/>
                <w:szCs w:val="24"/>
                <w:lang w:val="en-US" w:eastAsia="zh-CN"/>
              </w:rPr>
            </w:pPr>
            <w:r>
              <w:rPr>
                <w:rFonts w:hint="eastAsia" w:ascii="Times New Roman" w:hAnsi="Times New Roman" w:eastAsia="仿宋_GB2312" w:cs="Times New Roman"/>
                <w:color w:val="auto"/>
                <w:sz w:val="24"/>
                <w:szCs w:val="24"/>
                <w:lang w:val="en-US" w:eastAsia="zh-CN"/>
              </w:rPr>
              <w:t>卫生防护距离</w:t>
            </w:r>
          </w:p>
          <w:p w14:paraId="4A3A9C4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80" w:lineRule="exact"/>
              <w:ind w:left="0" w:right="0"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①主要特征大气</w:t>
            </w:r>
            <w:r>
              <w:rPr>
                <w:rFonts w:hint="default" w:ascii="Times New Roman" w:hAnsi="Times New Roman" w:eastAsia="仿宋_GB2312" w:cs="Times New Roman"/>
                <w:color w:val="auto"/>
                <w:kern w:val="0"/>
                <w:sz w:val="24"/>
                <w:szCs w:val="21"/>
                <w:highlight w:val="none"/>
                <w:lang w:val="en-US" w:eastAsia="zh-CN"/>
              </w:rPr>
              <w:t>有害</w:t>
            </w:r>
            <w:r>
              <w:rPr>
                <w:rFonts w:hint="default" w:ascii="Times New Roman" w:hAnsi="Times New Roman" w:eastAsia="仿宋_GB2312" w:cs="Times New Roman"/>
                <w:color w:val="auto"/>
                <w:sz w:val="24"/>
                <w:szCs w:val="24"/>
                <w:lang w:val="en-US" w:eastAsia="zh-CN"/>
              </w:rPr>
              <w:t>物质筛选</w:t>
            </w:r>
          </w:p>
          <w:p w14:paraId="2B77CFF8">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根据《大气有害物质无组织排放卫生防护距离推导技术导则》（GB/T 39499-2020），不同行业及生产工艺产生无组织排放的特征大气有害物质差别较大。在选取特征大气有害物质时，应首先考虑其对人体健康损害毒性特点，并根据目标行业企业的产品产量及其原辅材料、工艺特征、中间产物、产排污特点等具体情况，确定单个大气有害物质的无组织排放量及等标排放量（Q</w:t>
            </w:r>
            <w:r>
              <w:rPr>
                <w:rFonts w:hint="default" w:ascii="Times New Roman" w:hAnsi="Times New Roman" w:eastAsia="仿宋_GB2312" w:cs="Times New Roman"/>
                <w:color w:val="auto"/>
                <w:sz w:val="24"/>
                <w:szCs w:val="24"/>
                <w:vertAlign w:val="subscript"/>
                <w:lang w:val="en-US" w:eastAsia="zh-CN"/>
              </w:rPr>
              <w:t>C</w:t>
            </w:r>
            <w:r>
              <w:rPr>
                <w:rFonts w:hint="default" w:ascii="Times New Roman" w:hAnsi="Times New Roman" w:eastAsia="仿宋_GB2312" w:cs="Times New Roman"/>
                <w:color w:val="auto"/>
                <w:sz w:val="24"/>
                <w:szCs w:val="24"/>
                <w:lang w:val="en-US" w:eastAsia="zh-CN"/>
              </w:rPr>
              <w:t>/</w:t>
            </w:r>
            <w:r>
              <w:rPr>
                <w:rFonts w:hint="eastAsia" w:eastAsia="仿宋_GB2312" w:cs="Times New Roman"/>
                <w:color w:val="auto"/>
                <w:sz w:val="24"/>
                <w:szCs w:val="24"/>
                <w:lang w:val="en-US" w:eastAsia="zh-CN"/>
              </w:rPr>
              <w:t>c</w:t>
            </w:r>
            <w:r>
              <w:rPr>
                <w:rFonts w:hint="default" w:ascii="Times New Roman" w:hAnsi="Times New Roman" w:eastAsia="仿宋_GB2312" w:cs="Times New Roman"/>
                <w:color w:val="auto"/>
                <w:sz w:val="24"/>
                <w:szCs w:val="24"/>
                <w:vertAlign w:val="subscript"/>
                <w:lang w:val="en-US" w:eastAsia="zh-CN"/>
              </w:rPr>
              <w:t>m</w:t>
            </w:r>
            <w:r>
              <w:rPr>
                <w:rFonts w:hint="default" w:ascii="Times New Roman" w:hAnsi="Times New Roman" w:eastAsia="仿宋_GB2312" w:cs="Times New Roman"/>
                <w:color w:val="auto"/>
                <w:sz w:val="24"/>
                <w:szCs w:val="24"/>
                <w:lang w:val="en-US" w:eastAsia="zh-CN"/>
              </w:rPr>
              <w:t>），最终确定卫生防护距离相关的主要特征大气有害物质1</w:t>
            </w:r>
            <w:r>
              <w:rPr>
                <w:rFonts w:hint="eastAsia" w:eastAsia="仿宋_GB2312" w:cs="Times New Roman"/>
                <w:color w:val="auto"/>
                <w:sz w:val="24"/>
                <w:szCs w:val="24"/>
                <w:lang w:val="en-US" w:eastAsia="zh-CN"/>
              </w:rPr>
              <w:t>~</w:t>
            </w:r>
            <w:r>
              <w:rPr>
                <w:rFonts w:hint="default" w:ascii="Times New Roman" w:hAnsi="Times New Roman" w:eastAsia="仿宋_GB2312" w:cs="Times New Roman"/>
                <w:color w:val="auto"/>
                <w:sz w:val="24"/>
                <w:szCs w:val="24"/>
                <w:lang w:val="en-US" w:eastAsia="zh-CN"/>
              </w:rPr>
              <w:t>2种。</w:t>
            </w:r>
          </w:p>
          <w:p w14:paraId="4F4E6FCC">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当目标企业无组织排放存在多种有毒有害污染物时，基于单个污染物的等标排放量计算结果，优先选择等标排放量最大的污染物为企业无组织排放的主要特征大气有害物质。当前两种污染物的等标排放量相差在10%以内时，需要同时选择这两种特征大气有害物质分别计算卫生防护距离初值。</w:t>
            </w:r>
            <w:r>
              <w:rPr>
                <w:rFonts w:hint="eastAsia" w:eastAsia="仿宋_GB2312" w:cs="Times New Roman"/>
                <w:color w:val="auto"/>
                <w:sz w:val="24"/>
                <w:szCs w:val="24"/>
                <w:lang w:val="en-US" w:eastAsia="zh-CN"/>
              </w:rPr>
              <w:t>本</w:t>
            </w:r>
            <w:r>
              <w:rPr>
                <w:rFonts w:hint="default" w:ascii="Times New Roman" w:hAnsi="Times New Roman" w:eastAsia="仿宋_GB2312" w:cs="Times New Roman"/>
                <w:color w:val="auto"/>
                <w:sz w:val="24"/>
                <w:szCs w:val="24"/>
                <w:lang w:val="en-US" w:eastAsia="zh-CN"/>
              </w:rPr>
              <w:t>项目无组织污染物为</w:t>
            </w:r>
            <w:r>
              <w:rPr>
                <w:rFonts w:hint="eastAsia" w:eastAsia="仿宋_GB2312" w:cs="Times New Roman"/>
                <w:color w:val="auto"/>
                <w:sz w:val="24"/>
                <w:szCs w:val="24"/>
                <w:lang w:val="en-US" w:eastAsia="zh-CN"/>
              </w:rPr>
              <w:t>非甲烷总烃</w:t>
            </w:r>
            <w:r>
              <w:rPr>
                <w:rFonts w:hint="default" w:ascii="Times New Roman" w:hAnsi="Times New Roman" w:eastAsia="仿宋_GB2312" w:cs="Times New Roman"/>
                <w:color w:val="auto"/>
                <w:sz w:val="24"/>
                <w:szCs w:val="24"/>
                <w:lang w:val="en-US" w:eastAsia="zh-CN"/>
              </w:rPr>
              <w:t>，故</w:t>
            </w:r>
            <w:r>
              <w:rPr>
                <w:rFonts w:hint="eastAsia" w:eastAsia="仿宋_GB2312" w:cs="Times New Roman"/>
                <w:color w:val="auto"/>
                <w:sz w:val="24"/>
                <w:szCs w:val="24"/>
                <w:lang w:val="en-US" w:eastAsia="zh-CN"/>
              </w:rPr>
              <w:t>加油区非甲烷总烃</w:t>
            </w:r>
            <w:r>
              <w:rPr>
                <w:rFonts w:hint="default" w:ascii="Times New Roman" w:hAnsi="Times New Roman" w:eastAsia="仿宋_GB2312" w:cs="Times New Roman"/>
                <w:color w:val="auto"/>
                <w:sz w:val="24"/>
                <w:szCs w:val="24"/>
                <w:lang w:val="en-US" w:eastAsia="zh-CN"/>
              </w:rPr>
              <w:t>为无组织排放的主要特征大气有害物质。</w:t>
            </w:r>
          </w:p>
          <w:p w14:paraId="56F363C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80" w:lineRule="exact"/>
              <w:ind w:left="0" w:right="0" w:firstLine="480" w:firstLineChars="200"/>
              <w:textAlignment w:val="auto"/>
              <w:rPr>
                <w:rFonts w:hint="default" w:ascii="Times New Roman" w:hAnsi="Times New Roman" w:eastAsia="仿宋_GB2312" w:cs="Times New Roman"/>
                <w:color w:val="auto"/>
                <w:kern w:val="0"/>
                <w:sz w:val="24"/>
                <w:szCs w:val="21"/>
                <w:highlight w:val="none"/>
                <w:lang w:val="en-US" w:eastAsia="zh-CN"/>
              </w:rPr>
            </w:pPr>
            <w:r>
              <w:rPr>
                <w:rFonts w:hint="default" w:ascii="Times New Roman" w:hAnsi="Times New Roman" w:eastAsia="仿宋_GB2312" w:cs="Times New Roman"/>
                <w:color w:val="auto"/>
                <w:kern w:val="0"/>
                <w:sz w:val="24"/>
                <w:szCs w:val="21"/>
                <w:highlight w:val="none"/>
                <w:lang w:eastAsia="zh-CN"/>
              </w:rPr>
              <w:t>②</w:t>
            </w:r>
            <w:r>
              <w:rPr>
                <w:rFonts w:hint="eastAsia" w:ascii="Times New Roman" w:hAnsi="Times New Roman" w:eastAsia="仿宋_GB2312" w:cs="Times New Roman"/>
                <w:color w:val="auto"/>
                <w:kern w:val="0"/>
                <w:sz w:val="24"/>
                <w:szCs w:val="21"/>
                <w:highlight w:val="none"/>
                <w:lang w:val="en-US" w:eastAsia="zh-CN"/>
              </w:rPr>
              <w:t>初值计算</w:t>
            </w:r>
          </w:p>
          <w:p w14:paraId="5904221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80" w:lineRule="exact"/>
              <w:ind w:left="0" w:right="0" w:firstLine="480" w:firstLineChars="200"/>
              <w:textAlignment w:val="auto"/>
              <w:rPr>
                <w:rFonts w:hint="default" w:ascii="Times New Roman" w:hAnsi="Times New Roman" w:eastAsia="仿宋_GB2312" w:cs="Times New Roman"/>
                <w:color w:val="auto"/>
                <w:kern w:val="0"/>
                <w:sz w:val="24"/>
                <w:szCs w:val="21"/>
                <w:highlight w:val="none"/>
              </w:rPr>
            </w:pPr>
            <w:r>
              <w:rPr>
                <w:rFonts w:hint="default" w:ascii="Times New Roman" w:hAnsi="Times New Roman" w:eastAsia="仿宋_GB2312" w:cs="Times New Roman"/>
                <w:color w:val="auto"/>
                <w:kern w:val="0"/>
                <w:sz w:val="24"/>
                <w:szCs w:val="21"/>
                <w:highlight w:val="none"/>
              </w:rPr>
              <w:t>根据《大气有害物质无组织排放卫生防护距离推导技术导则》（GB/T 39499-2020）的有关规定，无组织排放有害气体的生产单元（生产区、车间、工段）与居民区之间应设置卫生防护距离，计算公式如下：</w:t>
            </w:r>
          </w:p>
          <w:p w14:paraId="18B545C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仿宋_GB2312" w:cs="Times New Roman"/>
                <w:color w:val="auto"/>
                <w:kern w:val="0"/>
                <w:sz w:val="24"/>
                <w:szCs w:val="21"/>
                <w:highlight w:val="none"/>
              </w:rPr>
            </w:pPr>
            <w:r>
              <w:rPr>
                <w:rFonts w:hint="default" w:ascii="Times New Roman" w:hAnsi="Times New Roman" w:eastAsia="宋体" w:cs="Times New Roman"/>
                <w:color w:val="auto"/>
                <w:szCs w:val="21"/>
              </w:rPr>
              <w:drawing>
                <wp:anchor distT="0" distB="0" distL="114300" distR="114300" simplePos="0" relativeHeight="251670528" behindDoc="0" locked="0" layoutInCell="1" allowOverlap="1">
                  <wp:simplePos x="0" y="0"/>
                  <wp:positionH relativeFrom="column">
                    <wp:posOffset>1484630</wp:posOffset>
                  </wp:positionH>
                  <wp:positionV relativeFrom="paragraph">
                    <wp:posOffset>41910</wp:posOffset>
                  </wp:positionV>
                  <wp:extent cx="2351405" cy="499745"/>
                  <wp:effectExtent l="0" t="0" r="10795" b="14605"/>
                  <wp:wrapTopAndBottom/>
                  <wp:docPr id="9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3"/>
                          <pic:cNvPicPr>
                            <a:picLocks noChangeAspect="1"/>
                          </pic:cNvPicPr>
                        </pic:nvPicPr>
                        <pic:blipFill>
                          <a:blip r:embed="rId31"/>
                          <a:stretch>
                            <a:fillRect/>
                          </a:stretch>
                        </pic:blipFill>
                        <pic:spPr>
                          <a:xfrm>
                            <a:off x="0" y="0"/>
                            <a:ext cx="2351405" cy="499745"/>
                          </a:xfrm>
                          <a:prstGeom prst="rect">
                            <a:avLst/>
                          </a:prstGeom>
                          <a:noFill/>
                          <a:ln>
                            <a:noFill/>
                          </a:ln>
                        </pic:spPr>
                      </pic:pic>
                    </a:graphicData>
                  </a:graphic>
                </wp:anchor>
              </w:drawing>
            </w:r>
            <w:r>
              <w:rPr>
                <w:rFonts w:hint="default" w:ascii="Times New Roman" w:hAnsi="Times New Roman" w:eastAsia="仿宋_GB2312" w:cs="Times New Roman"/>
                <w:color w:val="auto"/>
                <w:kern w:val="0"/>
                <w:sz w:val="24"/>
                <w:szCs w:val="21"/>
                <w:highlight w:val="none"/>
              </w:rPr>
              <w:t>式中：</w:t>
            </w:r>
          </w:p>
          <w:p w14:paraId="1AE33F24">
            <w:pPr>
              <w:keepNext w:val="0"/>
              <w:keepLines w:val="0"/>
              <w:suppressLineNumbers w:val="0"/>
              <w:autoSpaceDE w:val="0"/>
              <w:autoSpaceDN w:val="0"/>
              <w:adjustRightInd w:val="0"/>
              <w:snapToGrid w:val="0"/>
              <w:spacing w:before="0" w:beforeAutospacing="0" w:after="0" w:afterAutospacing="0" w:line="500" w:lineRule="exact"/>
              <w:ind w:left="0" w:right="0" w:firstLine="480" w:firstLineChars="200"/>
              <w:rPr>
                <w:rFonts w:hint="default" w:ascii="Times New Roman" w:hAnsi="Times New Roman" w:eastAsia="仿宋_GB2312" w:cs="Times New Roman"/>
                <w:color w:val="auto"/>
                <w:kern w:val="0"/>
                <w:sz w:val="24"/>
                <w:szCs w:val="21"/>
                <w:highlight w:val="none"/>
              </w:rPr>
            </w:pPr>
            <w:r>
              <w:rPr>
                <w:rFonts w:hint="default" w:ascii="Times New Roman" w:hAnsi="Times New Roman" w:eastAsia="仿宋_GB2312" w:cs="Times New Roman"/>
                <w:color w:val="auto"/>
                <w:kern w:val="0"/>
                <w:sz w:val="24"/>
                <w:szCs w:val="21"/>
                <w:highlight w:val="none"/>
              </w:rPr>
              <w:t>Qc</w:t>
            </w:r>
            <w:r>
              <w:rPr>
                <w:rFonts w:hint="eastAsia" w:ascii="Times New Roman" w:hAnsi="Times New Roman" w:eastAsia="仿宋_GB2312" w:cs="Times New Roman"/>
                <w:color w:val="auto"/>
                <w:kern w:val="0"/>
                <w:sz w:val="24"/>
                <w:szCs w:val="21"/>
                <w:highlight w:val="none"/>
                <w:lang w:eastAsia="zh-CN"/>
              </w:rPr>
              <w:t>——</w:t>
            </w:r>
            <w:r>
              <w:rPr>
                <w:rFonts w:hint="default" w:ascii="Times New Roman" w:hAnsi="Times New Roman" w:eastAsia="仿宋_GB2312" w:cs="Times New Roman"/>
                <w:color w:val="auto"/>
                <w:kern w:val="0"/>
                <w:sz w:val="24"/>
                <w:szCs w:val="21"/>
                <w:highlight w:val="none"/>
              </w:rPr>
              <w:t>大气有害物质的无组织排放量，kg/h；</w:t>
            </w:r>
          </w:p>
          <w:p w14:paraId="74D85A2F">
            <w:pPr>
              <w:keepNext w:val="0"/>
              <w:keepLines w:val="0"/>
              <w:suppressLineNumbers w:val="0"/>
              <w:autoSpaceDE w:val="0"/>
              <w:autoSpaceDN w:val="0"/>
              <w:adjustRightInd w:val="0"/>
              <w:snapToGrid w:val="0"/>
              <w:spacing w:before="0" w:beforeAutospacing="0" w:after="0" w:afterAutospacing="0" w:line="500" w:lineRule="exact"/>
              <w:ind w:left="0" w:right="0" w:firstLine="480" w:firstLineChars="200"/>
              <w:rPr>
                <w:rFonts w:hint="eastAsia" w:ascii="Times New Roman" w:hAnsi="Times New Roman" w:eastAsia="仿宋_GB2312" w:cs="Times New Roman"/>
                <w:color w:val="auto"/>
                <w:kern w:val="0"/>
                <w:sz w:val="24"/>
                <w:szCs w:val="21"/>
                <w:highlight w:val="none"/>
                <w:lang w:eastAsia="zh-CN"/>
              </w:rPr>
            </w:pPr>
            <w:r>
              <w:rPr>
                <w:rFonts w:hint="default" w:ascii="Times New Roman" w:hAnsi="Times New Roman" w:eastAsia="仿宋_GB2312" w:cs="Times New Roman"/>
                <w:color w:val="auto"/>
                <w:kern w:val="0"/>
                <w:sz w:val="24"/>
                <w:szCs w:val="21"/>
                <w:highlight w:val="none"/>
              </w:rPr>
              <w:t>C</w:t>
            </w:r>
            <w:r>
              <w:rPr>
                <w:rFonts w:hint="default" w:ascii="Times New Roman" w:hAnsi="Times New Roman" w:eastAsia="仿宋_GB2312" w:cs="Times New Roman"/>
                <w:color w:val="auto"/>
                <w:kern w:val="0"/>
                <w:sz w:val="24"/>
                <w:szCs w:val="21"/>
                <w:highlight w:val="none"/>
                <w:vertAlign w:val="subscript"/>
              </w:rPr>
              <w:t>m</w:t>
            </w:r>
            <w:r>
              <w:rPr>
                <w:rFonts w:hint="eastAsia" w:ascii="Times New Roman" w:hAnsi="Times New Roman" w:eastAsia="仿宋_GB2312" w:cs="Times New Roman"/>
                <w:color w:val="auto"/>
                <w:kern w:val="0"/>
                <w:sz w:val="24"/>
                <w:szCs w:val="21"/>
                <w:highlight w:val="none"/>
                <w:lang w:eastAsia="zh-CN"/>
              </w:rPr>
              <w:t>——</w:t>
            </w:r>
            <w:r>
              <w:rPr>
                <w:rFonts w:hint="default" w:ascii="Times New Roman" w:hAnsi="Times New Roman" w:eastAsia="仿宋_GB2312" w:cs="Times New Roman"/>
                <w:color w:val="auto"/>
                <w:kern w:val="0"/>
                <w:sz w:val="24"/>
                <w:szCs w:val="21"/>
                <w:highlight w:val="none"/>
              </w:rPr>
              <w:t>大气有害物质环境空气质量的</w:t>
            </w:r>
            <w:r>
              <w:rPr>
                <w:rFonts w:hint="default" w:ascii="Times New Roman" w:hAnsi="Times New Roman" w:eastAsia="仿宋_GB2312" w:cs="Times New Roman"/>
                <w:color w:val="auto"/>
                <w:kern w:val="0"/>
                <w:sz w:val="24"/>
                <w:szCs w:val="21"/>
                <w:highlight w:val="none"/>
                <w:lang w:eastAsia="zh-CN"/>
              </w:rPr>
              <w:t>标准限值</w:t>
            </w:r>
            <w:r>
              <w:rPr>
                <w:rFonts w:hint="default" w:ascii="Times New Roman" w:hAnsi="Times New Roman" w:eastAsia="仿宋_GB2312" w:cs="Times New Roman"/>
                <w:color w:val="auto"/>
                <w:kern w:val="0"/>
                <w:sz w:val="24"/>
                <w:szCs w:val="21"/>
                <w:highlight w:val="none"/>
              </w:rPr>
              <w:t>，mg/m</w:t>
            </w:r>
            <w:r>
              <w:rPr>
                <w:rFonts w:hint="default" w:ascii="Times New Roman" w:hAnsi="Times New Roman" w:eastAsia="仿宋_GB2312" w:cs="Times New Roman"/>
                <w:color w:val="auto"/>
                <w:kern w:val="0"/>
                <w:sz w:val="24"/>
                <w:szCs w:val="21"/>
                <w:highlight w:val="none"/>
                <w:vertAlign w:val="superscript"/>
              </w:rPr>
              <w:t>3</w:t>
            </w:r>
            <w:r>
              <w:rPr>
                <w:rFonts w:hint="eastAsia" w:ascii="Times New Roman" w:hAnsi="Times New Roman" w:eastAsia="仿宋_GB2312" w:cs="Times New Roman"/>
                <w:color w:val="auto"/>
                <w:kern w:val="0"/>
                <w:sz w:val="24"/>
                <w:szCs w:val="21"/>
                <w:highlight w:val="none"/>
                <w:lang w:eastAsia="zh-CN"/>
              </w:rPr>
              <w:t>；</w:t>
            </w:r>
          </w:p>
          <w:p w14:paraId="725932F1">
            <w:pPr>
              <w:keepNext w:val="0"/>
              <w:keepLines w:val="0"/>
              <w:suppressLineNumbers w:val="0"/>
              <w:autoSpaceDE w:val="0"/>
              <w:autoSpaceDN w:val="0"/>
              <w:adjustRightInd w:val="0"/>
              <w:snapToGrid w:val="0"/>
              <w:spacing w:before="0" w:beforeAutospacing="0" w:after="0" w:afterAutospacing="0" w:line="500" w:lineRule="exact"/>
              <w:ind w:left="0" w:right="0" w:firstLine="480" w:firstLineChars="200"/>
              <w:rPr>
                <w:rFonts w:hint="default" w:ascii="Times New Roman" w:hAnsi="Times New Roman" w:eastAsia="仿宋_GB2312" w:cs="Times New Roman"/>
                <w:color w:val="auto"/>
                <w:kern w:val="0"/>
                <w:sz w:val="24"/>
                <w:szCs w:val="21"/>
                <w:highlight w:val="none"/>
              </w:rPr>
            </w:pPr>
            <w:r>
              <w:rPr>
                <w:rFonts w:hint="default" w:ascii="Times New Roman" w:hAnsi="Times New Roman" w:eastAsia="仿宋_GB2312" w:cs="Times New Roman"/>
                <w:color w:val="auto"/>
                <w:kern w:val="0"/>
                <w:sz w:val="24"/>
                <w:szCs w:val="21"/>
                <w:highlight w:val="none"/>
              </w:rPr>
              <w:t>L</w:t>
            </w:r>
            <w:r>
              <w:rPr>
                <w:rFonts w:hint="eastAsia" w:ascii="Times New Roman" w:hAnsi="Times New Roman" w:eastAsia="仿宋_GB2312" w:cs="Times New Roman"/>
                <w:color w:val="auto"/>
                <w:kern w:val="0"/>
                <w:sz w:val="24"/>
                <w:szCs w:val="21"/>
                <w:highlight w:val="none"/>
                <w:lang w:eastAsia="zh-CN"/>
              </w:rPr>
              <w:t>——</w:t>
            </w:r>
            <w:r>
              <w:rPr>
                <w:rFonts w:hint="default" w:ascii="Times New Roman" w:hAnsi="Times New Roman" w:eastAsia="仿宋_GB2312" w:cs="Times New Roman"/>
                <w:color w:val="auto"/>
                <w:kern w:val="0"/>
                <w:sz w:val="24"/>
                <w:szCs w:val="21"/>
                <w:highlight w:val="none"/>
              </w:rPr>
              <w:t>大气有害物质卫生防护距离初值，m</w:t>
            </w:r>
            <w:r>
              <w:rPr>
                <w:rFonts w:hint="eastAsia" w:ascii="Times New Roman" w:hAnsi="Times New Roman" w:eastAsia="仿宋_GB2312" w:cs="Times New Roman"/>
                <w:color w:val="auto"/>
                <w:kern w:val="0"/>
                <w:sz w:val="24"/>
                <w:szCs w:val="21"/>
                <w:highlight w:val="none"/>
                <w:lang w:eastAsia="zh-CN"/>
              </w:rPr>
              <w:t>；</w:t>
            </w:r>
          </w:p>
          <w:p w14:paraId="5873D87A">
            <w:pPr>
              <w:keepNext w:val="0"/>
              <w:keepLines w:val="0"/>
              <w:suppressLineNumbers w:val="0"/>
              <w:autoSpaceDE w:val="0"/>
              <w:autoSpaceDN w:val="0"/>
              <w:adjustRightInd w:val="0"/>
              <w:snapToGrid w:val="0"/>
              <w:spacing w:before="0" w:beforeAutospacing="0" w:after="0" w:afterAutospacing="0" w:line="500" w:lineRule="exact"/>
              <w:ind w:left="0" w:right="0" w:firstLine="480" w:firstLineChars="200"/>
              <w:rPr>
                <w:rFonts w:hint="default" w:ascii="Times New Roman" w:hAnsi="Times New Roman" w:eastAsia="仿宋_GB2312" w:cs="Times New Roman"/>
                <w:color w:val="auto"/>
                <w:kern w:val="0"/>
                <w:sz w:val="24"/>
                <w:szCs w:val="21"/>
                <w:highlight w:val="none"/>
              </w:rPr>
            </w:pPr>
            <w:r>
              <w:rPr>
                <w:rFonts w:hint="eastAsia" w:ascii="Times New Roman" w:hAnsi="Times New Roman" w:eastAsia="仿宋_GB2312" w:cs="Times New Roman"/>
                <w:color w:val="auto"/>
                <w:kern w:val="0"/>
                <w:sz w:val="24"/>
                <w:szCs w:val="21"/>
                <w:highlight w:val="none"/>
                <w:lang w:val="en-US" w:eastAsia="zh-CN"/>
              </w:rPr>
              <w:t>r</w:t>
            </w:r>
            <w:r>
              <w:rPr>
                <w:rFonts w:hint="eastAsia" w:ascii="Times New Roman" w:hAnsi="Times New Roman" w:eastAsia="仿宋_GB2312" w:cs="Times New Roman"/>
                <w:color w:val="auto"/>
                <w:kern w:val="0"/>
                <w:sz w:val="24"/>
                <w:szCs w:val="21"/>
                <w:highlight w:val="none"/>
                <w:lang w:eastAsia="zh-CN"/>
              </w:rPr>
              <w:t>——</w:t>
            </w:r>
            <w:r>
              <w:rPr>
                <w:rFonts w:hint="default" w:ascii="Times New Roman" w:hAnsi="Times New Roman" w:eastAsia="仿宋_GB2312" w:cs="Times New Roman"/>
                <w:color w:val="auto"/>
                <w:kern w:val="0"/>
                <w:sz w:val="24"/>
                <w:szCs w:val="21"/>
                <w:highlight w:val="none"/>
              </w:rPr>
              <w:t>大气有害物质无组织排放源所在生产单元的等效半径，</w:t>
            </w:r>
            <w:r>
              <w:rPr>
                <w:rFonts w:hint="eastAsia" w:ascii="Times New Roman" w:hAnsi="Times New Roman" w:eastAsia="仿宋_GB2312" w:cs="Times New Roman"/>
                <w:color w:val="auto"/>
                <w:kern w:val="0"/>
                <w:sz w:val="24"/>
                <w:szCs w:val="21"/>
                <w:highlight w:val="none"/>
                <w:lang w:val="en-US" w:eastAsia="zh-CN"/>
              </w:rPr>
              <w:t>m</w:t>
            </w:r>
            <w:r>
              <w:rPr>
                <w:rFonts w:hint="default" w:ascii="Times New Roman" w:hAnsi="Times New Roman" w:eastAsia="仿宋_GB2312" w:cs="Times New Roman"/>
                <w:color w:val="auto"/>
                <w:kern w:val="0"/>
                <w:sz w:val="24"/>
                <w:szCs w:val="21"/>
                <w:highlight w:val="none"/>
              </w:rPr>
              <w:t>；</w:t>
            </w:r>
          </w:p>
          <w:p w14:paraId="59923BAF">
            <w:pPr>
              <w:keepNext w:val="0"/>
              <w:keepLines w:val="0"/>
              <w:suppressLineNumbers w:val="0"/>
              <w:autoSpaceDE w:val="0"/>
              <w:autoSpaceDN w:val="0"/>
              <w:adjustRightInd w:val="0"/>
              <w:snapToGrid w:val="0"/>
              <w:spacing w:before="0" w:beforeAutospacing="0" w:after="0" w:afterAutospacing="0" w:line="500" w:lineRule="exact"/>
              <w:ind w:left="0" w:right="0" w:firstLine="480" w:firstLineChars="200"/>
              <w:rPr>
                <w:rFonts w:hint="default" w:ascii="Times New Roman" w:hAnsi="Times New Roman" w:eastAsia="仿宋_GB2312" w:cs="Times New Roman"/>
                <w:color w:val="auto"/>
                <w:kern w:val="0"/>
                <w:sz w:val="24"/>
                <w:szCs w:val="21"/>
                <w:highlight w:val="none"/>
              </w:rPr>
            </w:pPr>
            <w:r>
              <w:rPr>
                <w:rFonts w:hint="default" w:ascii="Times New Roman" w:hAnsi="Times New Roman" w:eastAsia="仿宋_GB2312" w:cs="Times New Roman"/>
                <w:color w:val="auto"/>
                <w:kern w:val="0"/>
                <w:sz w:val="24"/>
                <w:szCs w:val="21"/>
                <w:highlight w:val="none"/>
              </w:rPr>
              <w:t>A、B、C、D</w:t>
            </w:r>
            <w:r>
              <w:rPr>
                <w:rFonts w:hint="eastAsia" w:ascii="Times New Roman" w:hAnsi="Times New Roman" w:eastAsia="仿宋_GB2312" w:cs="Times New Roman"/>
                <w:color w:val="auto"/>
                <w:kern w:val="0"/>
                <w:sz w:val="24"/>
                <w:szCs w:val="21"/>
                <w:highlight w:val="none"/>
                <w:lang w:eastAsia="zh-CN"/>
              </w:rPr>
              <w:t>——</w:t>
            </w:r>
            <w:r>
              <w:rPr>
                <w:rFonts w:hint="default" w:ascii="Times New Roman" w:hAnsi="Times New Roman" w:eastAsia="仿宋_GB2312" w:cs="Times New Roman"/>
                <w:color w:val="auto"/>
                <w:kern w:val="0"/>
                <w:sz w:val="24"/>
                <w:szCs w:val="21"/>
                <w:highlight w:val="none"/>
              </w:rPr>
              <w:t>卫生防护距离初值计算系数</w:t>
            </w:r>
            <w:r>
              <w:rPr>
                <w:rFonts w:hint="eastAsia" w:ascii="Times New Roman" w:hAnsi="Times New Roman" w:eastAsia="仿宋_GB2312" w:cs="Times New Roman"/>
                <w:color w:val="auto"/>
                <w:kern w:val="0"/>
                <w:sz w:val="24"/>
                <w:szCs w:val="21"/>
                <w:highlight w:val="none"/>
                <w:lang w:eastAsia="zh-CN"/>
              </w:rPr>
              <w:t>，无因次，根据工业企业所在地区近5年平均风速及大气污染源构成类别查取。</w:t>
            </w:r>
          </w:p>
          <w:p w14:paraId="43563A09">
            <w:pPr>
              <w:keepNext w:val="0"/>
              <w:keepLines w:val="0"/>
              <w:suppressLineNumbers w:val="0"/>
              <w:autoSpaceDE w:val="0"/>
              <w:autoSpaceDN w:val="0"/>
              <w:adjustRightInd w:val="0"/>
              <w:snapToGrid w:val="0"/>
              <w:spacing w:before="0" w:beforeAutospacing="0" w:after="0" w:afterAutospacing="0" w:line="500" w:lineRule="exact"/>
              <w:ind w:left="0" w:right="0"/>
              <w:jc w:val="center"/>
              <w:rPr>
                <w:rFonts w:hint="default" w:ascii="Times New Roman" w:hAnsi="Times New Roman" w:eastAsia="仿宋_GB2312" w:cs="Times New Roman"/>
                <w:b/>
                <w:bCs/>
                <w:color w:val="auto"/>
                <w:kern w:val="0"/>
                <w:sz w:val="24"/>
                <w:szCs w:val="21"/>
                <w:highlight w:val="none"/>
              </w:rPr>
            </w:pPr>
            <w:r>
              <w:rPr>
                <w:rFonts w:hint="default" w:ascii="Times New Roman" w:hAnsi="Times New Roman" w:eastAsia="仿宋_GB2312" w:cs="Times New Roman"/>
                <w:b/>
                <w:bCs/>
                <w:color w:val="auto"/>
                <w:kern w:val="0"/>
                <w:sz w:val="24"/>
                <w:szCs w:val="21"/>
                <w:highlight w:val="none"/>
              </w:rPr>
              <w:t>表4-</w:t>
            </w:r>
            <w:r>
              <w:rPr>
                <w:rFonts w:hint="eastAsia" w:ascii="Times New Roman" w:hAnsi="Times New Roman" w:eastAsia="仿宋_GB2312" w:cs="Times New Roman"/>
                <w:b/>
                <w:bCs/>
                <w:color w:val="auto"/>
                <w:kern w:val="0"/>
                <w:sz w:val="24"/>
                <w:szCs w:val="21"/>
                <w:highlight w:val="none"/>
                <w:lang w:val="en-US" w:eastAsia="zh-CN"/>
              </w:rPr>
              <w:t>5</w:t>
            </w:r>
            <w:r>
              <w:rPr>
                <w:rFonts w:hint="default" w:ascii="Times New Roman" w:hAnsi="Times New Roman" w:eastAsia="仿宋_GB2312" w:cs="Times New Roman"/>
                <w:b/>
                <w:bCs/>
                <w:color w:val="auto"/>
                <w:kern w:val="0"/>
                <w:sz w:val="24"/>
                <w:szCs w:val="21"/>
                <w:highlight w:val="none"/>
              </w:rPr>
              <w:t xml:space="preserve"> 卫生防护距离</w:t>
            </w:r>
            <w:r>
              <w:rPr>
                <w:rFonts w:hint="eastAsia" w:ascii="Times New Roman" w:hAnsi="Times New Roman" w:eastAsia="仿宋_GB2312" w:cs="Times New Roman"/>
                <w:b/>
                <w:bCs/>
                <w:color w:val="auto"/>
                <w:kern w:val="0"/>
                <w:sz w:val="24"/>
                <w:szCs w:val="21"/>
                <w:highlight w:val="none"/>
                <w:lang w:val="en-US" w:eastAsia="zh-CN"/>
              </w:rPr>
              <w:t>初值</w:t>
            </w:r>
            <w:r>
              <w:rPr>
                <w:rFonts w:hint="default" w:ascii="Times New Roman" w:hAnsi="Times New Roman" w:eastAsia="仿宋_GB2312" w:cs="Times New Roman"/>
                <w:b/>
                <w:bCs/>
                <w:color w:val="auto"/>
                <w:kern w:val="0"/>
                <w:sz w:val="24"/>
                <w:szCs w:val="21"/>
                <w:highlight w:val="none"/>
              </w:rPr>
              <w:t>计算参数</w:t>
            </w:r>
          </w:p>
          <w:tbl>
            <w:tblPr>
              <w:tblStyle w:val="1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05"/>
              <w:gridCol w:w="723"/>
              <w:gridCol w:w="723"/>
              <w:gridCol w:w="723"/>
              <w:gridCol w:w="724"/>
              <w:gridCol w:w="721"/>
              <w:gridCol w:w="721"/>
              <w:gridCol w:w="724"/>
              <w:gridCol w:w="721"/>
              <w:gridCol w:w="722"/>
              <w:gridCol w:w="736"/>
            </w:tblGrid>
            <w:tr w14:paraId="315E34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749" w:type="dxa"/>
                  <w:vMerge w:val="restart"/>
                  <w:noWrap w:val="0"/>
                  <w:vAlign w:val="center"/>
                </w:tcPr>
                <w:p w14:paraId="323DAA1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b/>
                      <w:bCs/>
                      <w:color w:val="auto"/>
                      <w:szCs w:val="21"/>
                      <w:highlight w:val="none"/>
                    </w:rPr>
                  </w:pPr>
                  <w:r>
                    <w:rPr>
                      <w:rFonts w:hint="default" w:ascii="Times New Roman" w:hAnsi="Times New Roman" w:eastAsia="仿宋_GB2312" w:cs="Times New Roman"/>
                      <w:b/>
                      <w:bCs/>
                      <w:color w:val="auto"/>
                      <w:szCs w:val="21"/>
                      <w:highlight w:val="none"/>
                    </w:rPr>
                    <w:t>计算系数</w:t>
                  </w:r>
                </w:p>
              </w:tc>
              <w:tc>
                <w:tcPr>
                  <w:tcW w:w="769" w:type="dxa"/>
                  <w:vMerge w:val="restart"/>
                  <w:noWrap w:val="0"/>
                  <w:vAlign w:val="center"/>
                </w:tcPr>
                <w:p w14:paraId="4F9C0A1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b/>
                      <w:bCs/>
                      <w:color w:val="auto"/>
                      <w:szCs w:val="21"/>
                      <w:highlight w:val="none"/>
                    </w:rPr>
                  </w:pPr>
                  <w:r>
                    <w:rPr>
                      <w:rFonts w:hint="default" w:ascii="Times New Roman" w:hAnsi="Times New Roman" w:eastAsia="仿宋_GB2312" w:cs="Times New Roman"/>
                      <w:b/>
                      <w:bCs/>
                      <w:color w:val="auto"/>
                      <w:szCs w:val="21"/>
                      <w:highlight w:val="none"/>
                    </w:rPr>
                    <w:t>年平均风速m/s</w:t>
                  </w:r>
                </w:p>
              </w:tc>
              <w:tc>
                <w:tcPr>
                  <w:tcW w:w="6928" w:type="dxa"/>
                  <w:gridSpan w:val="9"/>
                  <w:noWrap w:val="0"/>
                  <w:vAlign w:val="center"/>
                </w:tcPr>
                <w:p w14:paraId="4274CBE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b/>
                      <w:bCs/>
                      <w:color w:val="auto"/>
                      <w:szCs w:val="21"/>
                      <w:highlight w:val="none"/>
                    </w:rPr>
                  </w:pPr>
                  <w:r>
                    <w:rPr>
                      <w:rFonts w:hint="eastAsia" w:ascii="Times New Roman" w:hAnsi="Times New Roman" w:eastAsia="仿宋_GB2312" w:cs="Times New Roman"/>
                      <w:b/>
                      <w:bCs/>
                      <w:color w:val="auto"/>
                      <w:szCs w:val="21"/>
                      <w:highlight w:val="none"/>
                      <w:lang w:val="en-US" w:eastAsia="zh-CN"/>
                    </w:rPr>
                    <w:t xml:space="preserve"> </w:t>
                  </w:r>
                  <w:r>
                    <w:rPr>
                      <w:rFonts w:hint="default" w:ascii="Times New Roman" w:hAnsi="Times New Roman" w:eastAsia="仿宋_GB2312" w:cs="Times New Roman"/>
                      <w:b/>
                      <w:bCs/>
                      <w:color w:val="auto"/>
                      <w:szCs w:val="21"/>
                      <w:highlight w:val="none"/>
                    </w:rPr>
                    <w:t>卫生防护距离L，m</w:t>
                  </w:r>
                </w:p>
              </w:tc>
            </w:tr>
            <w:tr w14:paraId="4C1E01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8446" w:type="dxa"/>
                  <w:vMerge w:val="continue"/>
                  <w:noWrap w:val="0"/>
                  <w:vAlign w:val="center"/>
                </w:tcPr>
                <w:p w14:paraId="41196E0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b/>
                      <w:bCs/>
                      <w:color w:val="auto"/>
                      <w:szCs w:val="21"/>
                      <w:highlight w:val="none"/>
                    </w:rPr>
                  </w:pPr>
                </w:p>
              </w:tc>
              <w:tc>
                <w:tcPr>
                  <w:tcW w:w="769" w:type="dxa"/>
                  <w:vMerge w:val="continue"/>
                  <w:noWrap w:val="0"/>
                  <w:vAlign w:val="center"/>
                </w:tcPr>
                <w:p w14:paraId="753C260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b/>
                      <w:bCs/>
                      <w:color w:val="auto"/>
                      <w:szCs w:val="21"/>
                      <w:highlight w:val="none"/>
                    </w:rPr>
                  </w:pPr>
                </w:p>
              </w:tc>
              <w:tc>
                <w:tcPr>
                  <w:tcW w:w="2308" w:type="dxa"/>
                  <w:gridSpan w:val="3"/>
                  <w:noWrap w:val="0"/>
                  <w:vAlign w:val="center"/>
                </w:tcPr>
                <w:p w14:paraId="24F8EB11">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L≤1000</w:t>
                  </w:r>
                </w:p>
              </w:tc>
              <w:tc>
                <w:tcPr>
                  <w:tcW w:w="2304" w:type="dxa"/>
                  <w:gridSpan w:val="3"/>
                  <w:noWrap w:val="0"/>
                  <w:vAlign w:val="center"/>
                </w:tcPr>
                <w:p w14:paraId="2FAFD679">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1000</w:t>
                  </w:r>
                  <w:r>
                    <w:rPr>
                      <w:rFonts w:hint="default" w:ascii="Times New Roman" w:hAnsi="Times New Roman" w:eastAsia="仿宋_GB2312" w:cs="Times New Roman"/>
                      <w:color w:val="auto"/>
                      <w:szCs w:val="21"/>
                      <w:highlight w:val="none"/>
                      <w:lang w:eastAsia="zh-CN"/>
                    </w:rPr>
                    <w:t>&lt;</w:t>
                  </w:r>
                  <w:r>
                    <w:rPr>
                      <w:rFonts w:hint="default" w:ascii="Times New Roman" w:hAnsi="Times New Roman" w:eastAsia="仿宋_GB2312" w:cs="Times New Roman"/>
                      <w:color w:val="auto"/>
                      <w:szCs w:val="21"/>
                      <w:highlight w:val="none"/>
                    </w:rPr>
                    <w:t>L≤2000</w:t>
                  </w:r>
                </w:p>
              </w:tc>
              <w:tc>
                <w:tcPr>
                  <w:tcW w:w="2316" w:type="dxa"/>
                  <w:gridSpan w:val="3"/>
                  <w:noWrap w:val="0"/>
                  <w:vAlign w:val="center"/>
                </w:tcPr>
                <w:p w14:paraId="575AA7B3">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L</w:t>
                  </w:r>
                  <w:r>
                    <w:rPr>
                      <w:rFonts w:hint="default" w:ascii="Times New Roman" w:hAnsi="Times New Roman" w:eastAsia="仿宋_GB2312" w:cs="Times New Roman"/>
                      <w:color w:val="auto"/>
                      <w:szCs w:val="21"/>
                      <w:highlight w:val="none"/>
                      <w:lang w:eastAsia="zh-CN"/>
                    </w:rPr>
                    <w:t>&gt;</w:t>
                  </w:r>
                  <w:r>
                    <w:rPr>
                      <w:rFonts w:hint="default" w:ascii="Times New Roman" w:hAnsi="Times New Roman" w:eastAsia="仿宋_GB2312" w:cs="Times New Roman"/>
                      <w:color w:val="auto"/>
                      <w:szCs w:val="21"/>
                      <w:highlight w:val="none"/>
                    </w:rPr>
                    <w:t>2000</w:t>
                  </w:r>
                </w:p>
              </w:tc>
            </w:tr>
            <w:tr w14:paraId="1D9CCD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8446" w:type="dxa"/>
                  <w:vMerge w:val="continue"/>
                  <w:noWrap w:val="0"/>
                  <w:vAlign w:val="center"/>
                </w:tcPr>
                <w:p w14:paraId="6704873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b/>
                      <w:bCs/>
                      <w:color w:val="auto"/>
                      <w:szCs w:val="21"/>
                      <w:highlight w:val="none"/>
                    </w:rPr>
                  </w:pPr>
                </w:p>
              </w:tc>
              <w:tc>
                <w:tcPr>
                  <w:tcW w:w="769" w:type="dxa"/>
                  <w:vMerge w:val="continue"/>
                  <w:noWrap w:val="0"/>
                  <w:vAlign w:val="center"/>
                </w:tcPr>
                <w:p w14:paraId="4307844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b/>
                      <w:bCs/>
                      <w:color w:val="auto"/>
                      <w:szCs w:val="21"/>
                      <w:highlight w:val="none"/>
                    </w:rPr>
                  </w:pPr>
                </w:p>
              </w:tc>
              <w:tc>
                <w:tcPr>
                  <w:tcW w:w="6928" w:type="dxa"/>
                  <w:gridSpan w:val="9"/>
                  <w:noWrap w:val="0"/>
                  <w:vAlign w:val="center"/>
                </w:tcPr>
                <w:p w14:paraId="5D943A86">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工业大气污染源构成类别</w:t>
                  </w:r>
                </w:p>
              </w:tc>
            </w:tr>
            <w:tr w14:paraId="5ED6EA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8446" w:type="dxa"/>
                  <w:vMerge w:val="continue"/>
                  <w:noWrap w:val="0"/>
                  <w:vAlign w:val="center"/>
                </w:tcPr>
                <w:p w14:paraId="14FC458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b/>
                      <w:bCs/>
                      <w:color w:val="auto"/>
                      <w:szCs w:val="21"/>
                      <w:highlight w:val="none"/>
                    </w:rPr>
                  </w:pPr>
                </w:p>
              </w:tc>
              <w:tc>
                <w:tcPr>
                  <w:tcW w:w="769" w:type="dxa"/>
                  <w:vMerge w:val="continue"/>
                  <w:noWrap w:val="0"/>
                  <w:vAlign w:val="center"/>
                </w:tcPr>
                <w:p w14:paraId="2C137F0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b/>
                      <w:bCs/>
                      <w:color w:val="auto"/>
                      <w:szCs w:val="21"/>
                      <w:highlight w:val="none"/>
                    </w:rPr>
                  </w:pPr>
                </w:p>
              </w:tc>
              <w:tc>
                <w:tcPr>
                  <w:tcW w:w="769" w:type="dxa"/>
                  <w:noWrap w:val="0"/>
                  <w:vAlign w:val="center"/>
                </w:tcPr>
                <w:p w14:paraId="42223C27">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Ⅰ</w:t>
                  </w:r>
                </w:p>
              </w:tc>
              <w:tc>
                <w:tcPr>
                  <w:tcW w:w="769" w:type="dxa"/>
                  <w:noWrap w:val="0"/>
                  <w:vAlign w:val="center"/>
                </w:tcPr>
                <w:p w14:paraId="6E5DF043">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Ⅱ</w:t>
                  </w:r>
                </w:p>
              </w:tc>
              <w:tc>
                <w:tcPr>
                  <w:tcW w:w="770" w:type="dxa"/>
                  <w:noWrap w:val="0"/>
                  <w:vAlign w:val="center"/>
                </w:tcPr>
                <w:p w14:paraId="4815E08B">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Ⅲ</w:t>
                  </w:r>
                </w:p>
              </w:tc>
              <w:tc>
                <w:tcPr>
                  <w:tcW w:w="767" w:type="dxa"/>
                  <w:noWrap w:val="0"/>
                  <w:vAlign w:val="center"/>
                </w:tcPr>
                <w:p w14:paraId="0248F9C5">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Ⅰ</w:t>
                  </w:r>
                </w:p>
              </w:tc>
              <w:tc>
                <w:tcPr>
                  <w:tcW w:w="767" w:type="dxa"/>
                  <w:noWrap w:val="0"/>
                  <w:vAlign w:val="center"/>
                </w:tcPr>
                <w:p w14:paraId="12CF68E7">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Ⅱ</w:t>
                  </w:r>
                </w:p>
              </w:tc>
              <w:tc>
                <w:tcPr>
                  <w:tcW w:w="770" w:type="dxa"/>
                  <w:noWrap w:val="0"/>
                  <w:vAlign w:val="center"/>
                </w:tcPr>
                <w:p w14:paraId="79ADD8E9">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Ⅲ</w:t>
                  </w:r>
                </w:p>
              </w:tc>
              <w:tc>
                <w:tcPr>
                  <w:tcW w:w="767" w:type="dxa"/>
                  <w:noWrap w:val="0"/>
                  <w:vAlign w:val="center"/>
                </w:tcPr>
                <w:p w14:paraId="1B48F9A6">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Ⅰ</w:t>
                  </w:r>
                </w:p>
              </w:tc>
              <w:tc>
                <w:tcPr>
                  <w:tcW w:w="767" w:type="dxa"/>
                  <w:noWrap w:val="0"/>
                  <w:vAlign w:val="center"/>
                </w:tcPr>
                <w:p w14:paraId="138D01D9">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Ⅱ</w:t>
                  </w:r>
                </w:p>
              </w:tc>
              <w:tc>
                <w:tcPr>
                  <w:tcW w:w="782" w:type="dxa"/>
                  <w:noWrap w:val="0"/>
                  <w:vAlign w:val="center"/>
                </w:tcPr>
                <w:p w14:paraId="2C573188">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Ⅲ</w:t>
                  </w:r>
                </w:p>
              </w:tc>
            </w:tr>
            <w:tr w14:paraId="6ED56B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749" w:type="dxa"/>
                  <w:vMerge w:val="restart"/>
                  <w:noWrap w:val="0"/>
                  <w:vAlign w:val="center"/>
                </w:tcPr>
                <w:p w14:paraId="42B1161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A</w:t>
                  </w:r>
                </w:p>
              </w:tc>
              <w:tc>
                <w:tcPr>
                  <w:tcW w:w="769" w:type="dxa"/>
                  <w:noWrap w:val="0"/>
                  <w:vAlign w:val="center"/>
                </w:tcPr>
                <w:p w14:paraId="4C0D90C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lang w:eastAsia="zh-CN"/>
                    </w:rPr>
                    <w:t>&lt;</w:t>
                  </w:r>
                  <w:r>
                    <w:rPr>
                      <w:rFonts w:hint="default" w:ascii="Times New Roman" w:hAnsi="Times New Roman" w:eastAsia="仿宋_GB2312" w:cs="Times New Roman"/>
                      <w:color w:val="auto"/>
                      <w:szCs w:val="21"/>
                      <w:highlight w:val="none"/>
                    </w:rPr>
                    <w:t>2</w:t>
                  </w:r>
                </w:p>
              </w:tc>
              <w:tc>
                <w:tcPr>
                  <w:tcW w:w="769" w:type="dxa"/>
                  <w:noWrap w:val="0"/>
                  <w:vAlign w:val="center"/>
                </w:tcPr>
                <w:p w14:paraId="71F7677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400</w:t>
                  </w:r>
                </w:p>
              </w:tc>
              <w:tc>
                <w:tcPr>
                  <w:tcW w:w="769" w:type="dxa"/>
                  <w:noWrap w:val="0"/>
                  <w:vAlign w:val="center"/>
                </w:tcPr>
                <w:p w14:paraId="20F4324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400</w:t>
                  </w:r>
                </w:p>
              </w:tc>
              <w:tc>
                <w:tcPr>
                  <w:tcW w:w="770" w:type="dxa"/>
                  <w:noWrap w:val="0"/>
                  <w:vAlign w:val="center"/>
                </w:tcPr>
                <w:p w14:paraId="193ED62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400</w:t>
                  </w:r>
                </w:p>
              </w:tc>
              <w:tc>
                <w:tcPr>
                  <w:tcW w:w="767" w:type="dxa"/>
                  <w:noWrap w:val="0"/>
                  <w:vAlign w:val="center"/>
                </w:tcPr>
                <w:p w14:paraId="1A0B070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400</w:t>
                  </w:r>
                </w:p>
              </w:tc>
              <w:tc>
                <w:tcPr>
                  <w:tcW w:w="767" w:type="dxa"/>
                  <w:noWrap w:val="0"/>
                  <w:vAlign w:val="center"/>
                </w:tcPr>
                <w:p w14:paraId="6BB4EF7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400</w:t>
                  </w:r>
                </w:p>
              </w:tc>
              <w:tc>
                <w:tcPr>
                  <w:tcW w:w="770" w:type="dxa"/>
                  <w:noWrap w:val="0"/>
                  <w:vAlign w:val="center"/>
                </w:tcPr>
                <w:p w14:paraId="7D3AC46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400</w:t>
                  </w:r>
                </w:p>
              </w:tc>
              <w:tc>
                <w:tcPr>
                  <w:tcW w:w="767" w:type="dxa"/>
                  <w:noWrap w:val="0"/>
                  <w:vAlign w:val="center"/>
                </w:tcPr>
                <w:p w14:paraId="09D85B2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80</w:t>
                  </w:r>
                </w:p>
              </w:tc>
              <w:tc>
                <w:tcPr>
                  <w:tcW w:w="767" w:type="dxa"/>
                  <w:noWrap w:val="0"/>
                  <w:vAlign w:val="center"/>
                </w:tcPr>
                <w:p w14:paraId="0A8FB27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80</w:t>
                  </w:r>
                </w:p>
              </w:tc>
              <w:tc>
                <w:tcPr>
                  <w:tcW w:w="782" w:type="dxa"/>
                  <w:noWrap w:val="0"/>
                  <w:vAlign w:val="center"/>
                </w:tcPr>
                <w:p w14:paraId="6639653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80</w:t>
                  </w:r>
                </w:p>
              </w:tc>
            </w:tr>
            <w:tr w14:paraId="045613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8446" w:type="dxa"/>
                  <w:vMerge w:val="continue"/>
                  <w:noWrap w:val="0"/>
                  <w:vAlign w:val="center"/>
                </w:tcPr>
                <w:p w14:paraId="0E53B69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p>
              </w:tc>
              <w:tc>
                <w:tcPr>
                  <w:tcW w:w="769" w:type="dxa"/>
                  <w:noWrap w:val="0"/>
                  <w:vAlign w:val="center"/>
                </w:tcPr>
                <w:p w14:paraId="2C77303F">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2</w:t>
                  </w:r>
                  <w:r>
                    <w:rPr>
                      <w:rFonts w:hint="default" w:ascii="Times New Roman" w:hAnsi="Times New Roman" w:eastAsia="仿宋_GB2312" w:cs="Times New Roman"/>
                      <w:color w:val="auto"/>
                      <w:szCs w:val="21"/>
                      <w:highlight w:val="none"/>
                      <w:lang w:eastAsia="zh-CN"/>
                    </w:rPr>
                    <w:t>~</w:t>
                  </w:r>
                  <w:r>
                    <w:rPr>
                      <w:rFonts w:hint="default" w:ascii="Times New Roman" w:hAnsi="Times New Roman" w:eastAsia="仿宋_GB2312" w:cs="Times New Roman"/>
                      <w:color w:val="auto"/>
                      <w:szCs w:val="21"/>
                      <w:highlight w:val="none"/>
                    </w:rPr>
                    <w:t>4</w:t>
                  </w:r>
                </w:p>
              </w:tc>
              <w:tc>
                <w:tcPr>
                  <w:tcW w:w="769" w:type="dxa"/>
                  <w:shd w:val="clear" w:color="auto" w:fill="auto"/>
                  <w:noWrap w:val="0"/>
                  <w:vAlign w:val="center"/>
                </w:tcPr>
                <w:p w14:paraId="585560BB">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700</w:t>
                  </w:r>
                </w:p>
              </w:tc>
              <w:tc>
                <w:tcPr>
                  <w:tcW w:w="769" w:type="dxa"/>
                  <w:shd w:val="clear" w:color="auto" w:fill="BEBEBE" w:themeFill="background1" w:themeFillShade="BF"/>
                  <w:noWrap w:val="0"/>
                  <w:vAlign w:val="center"/>
                </w:tcPr>
                <w:p w14:paraId="1213DAC7">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470</w:t>
                  </w:r>
                </w:p>
              </w:tc>
              <w:tc>
                <w:tcPr>
                  <w:tcW w:w="770" w:type="dxa"/>
                  <w:shd w:val="clear" w:color="auto" w:fill="auto"/>
                  <w:noWrap w:val="0"/>
                  <w:vAlign w:val="center"/>
                </w:tcPr>
                <w:p w14:paraId="23244C40">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350</w:t>
                  </w:r>
                </w:p>
              </w:tc>
              <w:tc>
                <w:tcPr>
                  <w:tcW w:w="767" w:type="dxa"/>
                  <w:noWrap w:val="0"/>
                  <w:vAlign w:val="center"/>
                </w:tcPr>
                <w:p w14:paraId="1F752FC6">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700</w:t>
                  </w:r>
                </w:p>
              </w:tc>
              <w:tc>
                <w:tcPr>
                  <w:tcW w:w="767" w:type="dxa"/>
                  <w:noWrap w:val="0"/>
                  <w:vAlign w:val="center"/>
                </w:tcPr>
                <w:p w14:paraId="7122498E">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470</w:t>
                  </w:r>
                </w:p>
              </w:tc>
              <w:tc>
                <w:tcPr>
                  <w:tcW w:w="770" w:type="dxa"/>
                  <w:noWrap w:val="0"/>
                  <w:vAlign w:val="center"/>
                </w:tcPr>
                <w:p w14:paraId="38905439">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350</w:t>
                  </w:r>
                </w:p>
              </w:tc>
              <w:tc>
                <w:tcPr>
                  <w:tcW w:w="767" w:type="dxa"/>
                  <w:noWrap w:val="0"/>
                  <w:vAlign w:val="center"/>
                </w:tcPr>
                <w:p w14:paraId="1EBDE921">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380</w:t>
                  </w:r>
                </w:p>
              </w:tc>
              <w:tc>
                <w:tcPr>
                  <w:tcW w:w="767" w:type="dxa"/>
                  <w:noWrap w:val="0"/>
                  <w:vAlign w:val="center"/>
                </w:tcPr>
                <w:p w14:paraId="26B497F4">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250</w:t>
                  </w:r>
                </w:p>
              </w:tc>
              <w:tc>
                <w:tcPr>
                  <w:tcW w:w="782" w:type="dxa"/>
                  <w:noWrap w:val="0"/>
                  <w:vAlign w:val="center"/>
                </w:tcPr>
                <w:p w14:paraId="20975189">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190</w:t>
                  </w:r>
                </w:p>
              </w:tc>
            </w:tr>
            <w:tr w14:paraId="2E3229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8446" w:type="dxa"/>
                  <w:vMerge w:val="continue"/>
                  <w:noWrap w:val="0"/>
                  <w:vAlign w:val="center"/>
                </w:tcPr>
                <w:p w14:paraId="781EF21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p>
              </w:tc>
              <w:tc>
                <w:tcPr>
                  <w:tcW w:w="769" w:type="dxa"/>
                  <w:noWrap w:val="0"/>
                  <w:vAlign w:val="center"/>
                </w:tcPr>
                <w:p w14:paraId="44D78F6B">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lang w:eastAsia="zh-CN"/>
                    </w:rPr>
                    <w:t>&gt;</w:t>
                  </w:r>
                  <w:r>
                    <w:rPr>
                      <w:rFonts w:hint="default" w:ascii="Times New Roman" w:hAnsi="Times New Roman" w:eastAsia="仿宋_GB2312" w:cs="Times New Roman"/>
                      <w:color w:val="auto"/>
                      <w:szCs w:val="21"/>
                      <w:highlight w:val="none"/>
                    </w:rPr>
                    <w:t>4</w:t>
                  </w:r>
                </w:p>
              </w:tc>
              <w:tc>
                <w:tcPr>
                  <w:tcW w:w="769" w:type="dxa"/>
                  <w:shd w:val="clear" w:color="auto" w:fill="auto"/>
                  <w:noWrap w:val="0"/>
                  <w:vAlign w:val="center"/>
                </w:tcPr>
                <w:p w14:paraId="29C9BC7D">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530</w:t>
                  </w:r>
                </w:p>
              </w:tc>
              <w:tc>
                <w:tcPr>
                  <w:tcW w:w="769" w:type="dxa"/>
                  <w:shd w:val="clear" w:color="auto" w:fill="auto"/>
                  <w:noWrap w:val="0"/>
                  <w:vAlign w:val="center"/>
                </w:tcPr>
                <w:p w14:paraId="5CE1800D">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350</w:t>
                  </w:r>
                </w:p>
              </w:tc>
              <w:tc>
                <w:tcPr>
                  <w:tcW w:w="770" w:type="dxa"/>
                  <w:shd w:val="clear" w:color="auto" w:fill="auto"/>
                  <w:noWrap w:val="0"/>
                  <w:vAlign w:val="center"/>
                </w:tcPr>
                <w:p w14:paraId="5D2C064F">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260</w:t>
                  </w:r>
                </w:p>
              </w:tc>
              <w:tc>
                <w:tcPr>
                  <w:tcW w:w="767" w:type="dxa"/>
                  <w:noWrap w:val="0"/>
                  <w:vAlign w:val="center"/>
                </w:tcPr>
                <w:p w14:paraId="296968EF">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530</w:t>
                  </w:r>
                </w:p>
              </w:tc>
              <w:tc>
                <w:tcPr>
                  <w:tcW w:w="767" w:type="dxa"/>
                  <w:noWrap w:val="0"/>
                  <w:vAlign w:val="center"/>
                </w:tcPr>
                <w:p w14:paraId="7F7FFE4E">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350</w:t>
                  </w:r>
                </w:p>
              </w:tc>
              <w:tc>
                <w:tcPr>
                  <w:tcW w:w="770" w:type="dxa"/>
                  <w:noWrap w:val="0"/>
                  <w:vAlign w:val="center"/>
                </w:tcPr>
                <w:p w14:paraId="50E62B29">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260</w:t>
                  </w:r>
                </w:p>
              </w:tc>
              <w:tc>
                <w:tcPr>
                  <w:tcW w:w="767" w:type="dxa"/>
                  <w:noWrap w:val="0"/>
                  <w:vAlign w:val="center"/>
                </w:tcPr>
                <w:p w14:paraId="5ED07FD4">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290</w:t>
                  </w:r>
                </w:p>
              </w:tc>
              <w:tc>
                <w:tcPr>
                  <w:tcW w:w="767" w:type="dxa"/>
                  <w:noWrap w:val="0"/>
                  <w:vAlign w:val="center"/>
                </w:tcPr>
                <w:p w14:paraId="283CEAF6">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190</w:t>
                  </w:r>
                </w:p>
              </w:tc>
              <w:tc>
                <w:tcPr>
                  <w:tcW w:w="782" w:type="dxa"/>
                  <w:noWrap w:val="0"/>
                  <w:vAlign w:val="center"/>
                </w:tcPr>
                <w:p w14:paraId="0EBF485E">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w:t>
                  </w:r>
                  <w:r>
                    <w:rPr>
                      <w:rFonts w:hint="eastAsia" w:ascii="Times New Roman" w:hAnsi="Times New Roman" w:eastAsia="仿宋_GB2312" w:cs="Times New Roman"/>
                      <w:color w:val="auto"/>
                      <w:szCs w:val="21"/>
                      <w:highlight w:val="none"/>
                      <w:lang w:val="en-US" w:eastAsia="zh-CN"/>
                    </w:rPr>
                    <w:t>1</w:t>
                  </w:r>
                  <w:r>
                    <w:rPr>
                      <w:rFonts w:hint="default" w:ascii="Times New Roman" w:hAnsi="Times New Roman" w:eastAsia="仿宋_GB2312" w:cs="Times New Roman"/>
                      <w:color w:val="auto"/>
                      <w:szCs w:val="21"/>
                      <w:highlight w:val="none"/>
                    </w:rPr>
                    <w:t>0</w:t>
                  </w:r>
                </w:p>
              </w:tc>
            </w:tr>
            <w:tr w14:paraId="73336F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749" w:type="dxa"/>
                  <w:vMerge w:val="restart"/>
                  <w:noWrap w:val="0"/>
                  <w:vAlign w:val="center"/>
                </w:tcPr>
                <w:p w14:paraId="241DDB2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B</w:t>
                  </w:r>
                </w:p>
              </w:tc>
              <w:tc>
                <w:tcPr>
                  <w:tcW w:w="769" w:type="dxa"/>
                  <w:noWrap w:val="0"/>
                  <w:vAlign w:val="center"/>
                </w:tcPr>
                <w:p w14:paraId="3868B33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lang w:eastAsia="zh-CN"/>
                    </w:rPr>
                    <w:t>&lt;</w:t>
                  </w:r>
                  <w:r>
                    <w:rPr>
                      <w:rFonts w:hint="default" w:ascii="Times New Roman" w:hAnsi="Times New Roman" w:eastAsia="仿宋_GB2312" w:cs="Times New Roman"/>
                      <w:color w:val="auto"/>
                      <w:szCs w:val="21"/>
                      <w:highlight w:val="none"/>
                    </w:rPr>
                    <w:t>2</w:t>
                  </w:r>
                </w:p>
              </w:tc>
              <w:tc>
                <w:tcPr>
                  <w:tcW w:w="2308" w:type="dxa"/>
                  <w:gridSpan w:val="3"/>
                  <w:shd w:val="clear" w:color="auto" w:fill="auto"/>
                  <w:noWrap w:val="0"/>
                  <w:vAlign w:val="center"/>
                </w:tcPr>
                <w:p w14:paraId="76CE922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0.01</w:t>
                  </w:r>
                </w:p>
              </w:tc>
              <w:tc>
                <w:tcPr>
                  <w:tcW w:w="2304" w:type="dxa"/>
                  <w:gridSpan w:val="3"/>
                  <w:noWrap w:val="0"/>
                  <w:vAlign w:val="center"/>
                </w:tcPr>
                <w:p w14:paraId="4C3B1FD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0.015</w:t>
                  </w:r>
                </w:p>
              </w:tc>
              <w:tc>
                <w:tcPr>
                  <w:tcW w:w="2316" w:type="dxa"/>
                  <w:gridSpan w:val="3"/>
                  <w:noWrap w:val="0"/>
                  <w:vAlign w:val="center"/>
                </w:tcPr>
                <w:p w14:paraId="00476BB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0.015</w:t>
                  </w:r>
                </w:p>
              </w:tc>
            </w:tr>
            <w:tr w14:paraId="5E6EEBE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8446" w:type="dxa"/>
                  <w:vMerge w:val="continue"/>
                  <w:noWrap w:val="0"/>
                  <w:vAlign w:val="center"/>
                </w:tcPr>
                <w:p w14:paraId="2D84089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p>
              </w:tc>
              <w:tc>
                <w:tcPr>
                  <w:tcW w:w="769" w:type="dxa"/>
                  <w:noWrap w:val="0"/>
                  <w:vAlign w:val="center"/>
                </w:tcPr>
                <w:p w14:paraId="69A9A51F">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lang w:eastAsia="zh-CN"/>
                    </w:rPr>
                    <w:t>&gt;</w:t>
                  </w:r>
                  <w:r>
                    <w:rPr>
                      <w:rFonts w:hint="default" w:ascii="Times New Roman" w:hAnsi="Times New Roman" w:eastAsia="仿宋_GB2312" w:cs="Times New Roman"/>
                      <w:color w:val="auto"/>
                      <w:szCs w:val="21"/>
                      <w:highlight w:val="none"/>
                    </w:rPr>
                    <w:t>2</w:t>
                  </w:r>
                </w:p>
              </w:tc>
              <w:tc>
                <w:tcPr>
                  <w:tcW w:w="2308" w:type="dxa"/>
                  <w:gridSpan w:val="3"/>
                  <w:shd w:val="clear" w:color="auto" w:fill="BEBEBE" w:themeFill="background1" w:themeFillShade="BF"/>
                  <w:noWrap w:val="0"/>
                  <w:vAlign w:val="center"/>
                </w:tcPr>
                <w:p w14:paraId="5185971E">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0.021</w:t>
                  </w:r>
                </w:p>
              </w:tc>
              <w:tc>
                <w:tcPr>
                  <w:tcW w:w="2304" w:type="dxa"/>
                  <w:gridSpan w:val="3"/>
                  <w:noWrap w:val="0"/>
                  <w:vAlign w:val="center"/>
                </w:tcPr>
                <w:p w14:paraId="071D5BCE">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0.036</w:t>
                  </w:r>
                </w:p>
              </w:tc>
              <w:tc>
                <w:tcPr>
                  <w:tcW w:w="2316" w:type="dxa"/>
                  <w:gridSpan w:val="3"/>
                  <w:noWrap w:val="0"/>
                  <w:vAlign w:val="center"/>
                </w:tcPr>
                <w:p w14:paraId="4F08F282">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0.036</w:t>
                  </w:r>
                </w:p>
              </w:tc>
            </w:tr>
            <w:tr w14:paraId="7CAF1D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749" w:type="dxa"/>
                  <w:vMerge w:val="restart"/>
                  <w:noWrap w:val="0"/>
                  <w:vAlign w:val="center"/>
                </w:tcPr>
                <w:p w14:paraId="2353DCC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C</w:t>
                  </w:r>
                </w:p>
              </w:tc>
              <w:tc>
                <w:tcPr>
                  <w:tcW w:w="769" w:type="dxa"/>
                  <w:noWrap w:val="0"/>
                  <w:vAlign w:val="center"/>
                </w:tcPr>
                <w:p w14:paraId="50157E9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lang w:eastAsia="zh-CN"/>
                    </w:rPr>
                    <w:t>&gt;</w:t>
                  </w:r>
                  <w:r>
                    <w:rPr>
                      <w:rFonts w:hint="default" w:ascii="Times New Roman" w:hAnsi="Times New Roman" w:eastAsia="仿宋_GB2312" w:cs="Times New Roman"/>
                      <w:color w:val="auto"/>
                      <w:szCs w:val="21"/>
                      <w:highlight w:val="none"/>
                    </w:rPr>
                    <w:t>2</w:t>
                  </w:r>
                </w:p>
              </w:tc>
              <w:tc>
                <w:tcPr>
                  <w:tcW w:w="2308" w:type="dxa"/>
                  <w:gridSpan w:val="3"/>
                  <w:shd w:val="clear" w:color="auto" w:fill="auto"/>
                  <w:noWrap w:val="0"/>
                  <w:vAlign w:val="center"/>
                </w:tcPr>
                <w:p w14:paraId="5F36D1F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1.85</w:t>
                  </w:r>
                </w:p>
              </w:tc>
              <w:tc>
                <w:tcPr>
                  <w:tcW w:w="2304" w:type="dxa"/>
                  <w:gridSpan w:val="3"/>
                  <w:noWrap w:val="0"/>
                  <w:vAlign w:val="center"/>
                </w:tcPr>
                <w:p w14:paraId="18BDD96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1.79</w:t>
                  </w:r>
                </w:p>
              </w:tc>
              <w:tc>
                <w:tcPr>
                  <w:tcW w:w="2316" w:type="dxa"/>
                  <w:gridSpan w:val="3"/>
                  <w:noWrap w:val="0"/>
                  <w:vAlign w:val="center"/>
                </w:tcPr>
                <w:p w14:paraId="0076E2B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1.79</w:t>
                  </w:r>
                </w:p>
              </w:tc>
            </w:tr>
            <w:tr w14:paraId="1499BC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8446" w:type="dxa"/>
                  <w:vMerge w:val="continue"/>
                  <w:noWrap w:val="0"/>
                  <w:vAlign w:val="center"/>
                </w:tcPr>
                <w:p w14:paraId="255AFB6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p>
              </w:tc>
              <w:tc>
                <w:tcPr>
                  <w:tcW w:w="769" w:type="dxa"/>
                  <w:noWrap w:val="0"/>
                  <w:vAlign w:val="center"/>
                </w:tcPr>
                <w:p w14:paraId="410CD3B9">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lang w:eastAsia="zh-CN"/>
                    </w:rPr>
                    <w:t>&gt;</w:t>
                  </w:r>
                  <w:r>
                    <w:rPr>
                      <w:rFonts w:hint="default" w:ascii="Times New Roman" w:hAnsi="Times New Roman" w:eastAsia="仿宋_GB2312" w:cs="Times New Roman"/>
                      <w:color w:val="auto"/>
                      <w:szCs w:val="21"/>
                      <w:highlight w:val="none"/>
                    </w:rPr>
                    <w:t>2</w:t>
                  </w:r>
                </w:p>
              </w:tc>
              <w:tc>
                <w:tcPr>
                  <w:tcW w:w="2308" w:type="dxa"/>
                  <w:gridSpan w:val="3"/>
                  <w:shd w:val="clear" w:color="auto" w:fill="BEBEBE" w:themeFill="background1" w:themeFillShade="BF"/>
                  <w:noWrap w:val="0"/>
                  <w:vAlign w:val="center"/>
                </w:tcPr>
                <w:p w14:paraId="2DB7189A">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1.85</w:t>
                  </w:r>
                </w:p>
              </w:tc>
              <w:tc>
                <w:tcPr>
                  <w:tcW w:w="2304" w:type="dxa"/>
                  <w:gridSpan w:val="3"/>
                  <w:noWrap w:val="0"/>
                  <w:vAlign w:val="center"/>
                </w:tcPr>
                <w:p w14:paraId="27F1EB61">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1.77</w:t>
                  </w:r>
                </w:p>
              </w:tc>
              <w:tc>
                <w:tcPr>
                  <w:tcW w:w="2316" w:type="dxa"/>
                  <w:gridSpan w:val="3"/>
                  <w:noWrap w:val="0"/>
                  <w:vAlign w:val="center"/>
                </w:tcPr>
                <w:p w14:paraId="550AD4D0">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1.77</w:t>
                  </w:r>
                </w:p>
              </w:tc>
            </w:tr>
            <w:tr w14:paraId="740028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749" w:type="dxa"/>
                  <w:vMerge w:val="restart"/>
                  <w:noWrap w:val="0"/>
                  <w:vAlign w:val="center"/>
                </w:tcPr>
                <w:p w14:paraId="09C4867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D</w:t>
                  </w:r>
                </w:p>
              </w:tc>
              <w:tc>
                <w:tcPr>
                  <w:tcW w:w="769" w:type="dxa"/>
                  <w:noWrap w:val="0"/>
                  <w:vAlign w:val="center"/>
                </w:tcPr>
                <w:p w14:paraId="2F7C7F0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lang w:eastAsia="zh-CN"/>
                    </w:rPr>
                    <w:t>&lt;</w:t>
                  </w:r>
                  <w:r>
                    <w:rPr>
                      <w:rFonts w:hint="default" w:ascii="Times New Roman" w:hAnsi="Times New Roman" w:eastAsia="仿宋_GB2312" w:cs="Times New Roman"/>
                      <w:color w:val="auto"/>
                      <w:szCs w:val="21"/>
                      <w:highlight w:val="none"/>
                    </w:rPr>
                    <w:t>2</w:t>
                  </w:r>
                </w:p>
              </w:tc>
              <w:tc>
                <w:tcPr>
                  <w:tcW w:w="2308" w:type="dxa"/>
                  <w:gridSpan w:val="3"/>
                  <w:shd w:val="clear" w:color="auto" w:fill="auto"/>
                  <w:noWrap w:val="0"/>
                  <w:vAlign w:val="center"/>
                </w:tcPr>
                <w:p w14:paraId="4E307A8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0.78</w:t>
                  </w:r>
                </w:p>
              </w:tc>
              <w:tc>
                <w:tcPr>
                  <w:tcW w:w="2304" w:type="dxa"/>
                  <w:gridSpan w:val="3"/>
                  <w:noWrap w:val="0"/>
                  <w:vAlign w:val="center"/>
                </w:tcPr>
                <w:p w14:paraId="632292B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0.78</w:t>
                  </w:r>
                </w:p>
              </w:tc>
              <w:tc>
                <w:tcPr>
                  <w:tcW w:w="2316" w:type="dxa"/>
                  <w:gridSpan w:val="3"/>
                  <w:noWrap w:val="0"/>
                  <w:vAlign w:val="center"/>
                </w:tcPr>
                <w:p w14:paraId="5EE0384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0.57</w:t>
                  </w:r>
                </w:p>
              </w:tc>
            </w:tr>
            <w:tr w14:paraId="39F12C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8446" w:type="dxa"/>
                  <w:vMerge w:val="continue"/>
                  <w:noWrap w:val="0"/>
                  <w:vAlign w:val="center"/>
                </w:tcPr>
                <w:p w14:paraId="79AA25D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仿宋_GB2312" w:cs="Times New Roman"/>
                      <w:color w:val="auto"/>
                      <w:szCs w:val="21"/>
                      <w:highlight w:val="none"/>
                    </w:rPr>
                  </w:pPr>
                </w:p>
              </w:tc>
              <w:tc>
                <w:tcPr>
                  <w:tcW w:w="769" w:type="dxa"/>
                  <w:noWrap w:val="0"/>
                  <w:vAlign w:val="center"/>
                </w:tcPr>
                <w:p w14:paraId="18B033B4">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lang w:eastAsia="zh-CN"/>
                    </w:rPr>
                    <w:t>&gt;</w:t>
                  </w:r>
                  <w:r>
                    <w:rPr>
                      <w:rFonts w:hint="default" w:ascii="Times New Roman" w:hAnsi="Times New Roman" w:eastAsia="仿宋_GB2312" w:cs="Times New Roman"/>
                      <w:color w:val="auto"/>
                      <w:szCs w:val="21"/>
                      <w:highlight w:val="none"/>
                    </w:rPr>
                    <w:t>2</w:t>
                  </w:r>
                </w:p>
              </w:tc>
              <w:tc>
                <w:tcPr>
                  <w:tcW w:w="2308" w:type="dxa"/>
                  <w:gridSpan w:val="3"/>
                  <w:shd w:val="clear" w:color="auto" w:fill="BEBEBE" w:themeFill="background1" w:themeFillShade="BF"/>
                  <w:noWrap w:val="0"/>
                  <w:vAlign w:val="center"/>
                </w:tcPr>
                <w:p w14:paraId="3E4820D9">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0.84</w:t>
                  </w:r>
                </w:p>
              </w:tc>
              <w:tc>
                <w:tcPr>
                  <w:tcW w:w="2304" w:type="dxa"/>
                  <w:gridSpan w:val="3"/>
                  <w:noWrap w:val="0"/>
                  <w:vAlign w:val="center"/>
                </w:tcPr>
                <w:p w14:paraId="5DF86396">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0.84</w:t>
                  </w:r>
                </w:p>
              </w:tc>
              <w:tc>
                <w:tcPr>
                  <w:tcW w:w="2316" w:type="dxa"/>
                  <w:gridSpan w:val="3"/>
                  <w:noWrap w:val="0"/>
                  <w:vAlign w:val="center"/>
                </w:tcPr>
                <w:p w14:paraId="1F999FA3">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default" w:ascii="Times New Roman" w:hAnsi="Times New Roman" w:eastAsia="仿宋_GB2312" w:cs="Times New Roman"/>
                      <w:color w:val="auto"/>
                      <w:szCs w:val="21"/>
                      <w:highlight w:val="none"/>
                    </w:rPr>
                    <w:t>0.76</w:t>
                  </w:r>
                </w:p>
              </w:tc>
            </w:tr>
            <w:tr w14:paraId="27DC08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46" w:type="dxa"/>
                  <w:gridSpan w:val="11"/>
                  <w:noWrap w:val="0"/>
                  <w:vAlign w:val="center"/>
                </w:tcPr>
                <w:p w14:paraId="6D8B86C0">
                  <w:pPr>
                    <w:keepNext w:val="0"/>
                    <w:keepLines w:val="0"/>
                    <w:suppressLineNumbers w:val="0"/>
                    <w:adjustRightInd w:val="0"/>
                    <w:snapToGrid w:val="0"/>
                    <w:spacing w:before="0" w:beforeAutospacing="0" w:after="0" w:afterAutospacing="0"/>
                    <w:ind w:left="0" w:right="0"/>
                    <w:jc w:val="both"/>
                    <w:rPr>
                      <w:rFonts w:hint="default" w:ascii="Times New Roman" w:hAnsi="Times New Roman" w:eastAsia="仿宋_GB2312" w:cs="Times New Roman"/>
                      <w:color w:val="auto"/>
                      <w:sz w:val="18"/>
                      <w:szCs w:val="18"/>
                      <w:highlight w:val="none"/>
                    </w:rPr>
                  </w:pPr>
                  <w:r>
                    <w:rPr>
                      <w:rFonts w:hint="default" w:ascii="Times New Roman" w:hAnsi="Times New Roman" w:eastAsia="仿宋_GB2312" w:cs="Times New Roman"/>
                      <w:color w:val="auto"/>
                      <w:sz w:val="18"/>
                      <w:szCs w:val="18"/>
                      <w:highlight w:val="none"/>
                    </w:rPr>
                    <w:t>注：Ⅰ类：与无组织排放源共存的排放同种有害气体的排气筒的排放量，大于或等于标准规定的允许排放量的1/3者。</w:t>
                  </w:r>
                </w:p>
                <w:p w14:paraId="50B66F9D">
                  <w:pPr>
                    <w:keepNext w:val="0"/>
                    <w:keepLines w:val="0"/>
                    <w:suppressLineNumbers w:val="0"/>
                    <w:adjustRightInd w:val="0"/>
                    <w:snapToGrid w:val="0"/>
                    <w:spacing w:before="0" w:beforeAutospacing="0" w:after="0" w:afterAutospacing="0"/>
                    <w:ind w:left="0" w:right="0"/>
                    <w:jc w:val="both"/>
                    <w:rPr>
                      <w:rFonts w:hint="default" w:ascii="Times New Roman" w:hAnsi="Times New Roman" w:eastAsia="仿宋_GB2312" w:cs="Times New Roman"/>
                      <w:color w:val="auto"/>
                      <w:sz w:val="18"/>
                      <w:szCs w:val="18"/>
                      <w:highlight w:val="none"/>
                    </w:rPr>
                  </w:pPr>
                  <w:r>
                    <w:rPr>
                      <w:rFonts w:hint="default" w:ascii="Times New Roman" w:hAnsi="Times New Roman" w:eastAsia="仿宋_GB2312" w:cs="Times New Roman"/>
                      <w:color w:val="auto"/>
                      <w:sz w:val="18"/>
                      <w:szCs w:val="18"/>
                      <w:highlight w:val="none"/>
                    </w:rPr>
                    <w:t>Ⅱ类：与无组织排放源共存的排放同种有害气体的排气筒的排放量，小于标准规定的允许排放量的1/3者，或虽无排放同种大气污染物之排气筒共存，但无组织排放的有害物质的容许指标是按急性反应指标确定者。</w:t>
                  </w:r>
                </w:p>
                <w:p w14:paraId="0459086C">
                  <w:pPr>
                    <w:keepNext w:val="0"/>
                    <w:keepLines w:val="0"/>
                    <w:suppressLineNumbers w:val="0"/>
                    <w:adjustRightInd w:val="0"/>
                    <w:snapToGrid w:val="0"/>
                    <w:spacing w:before="0" w:beforeAutospacing="0" w:after="0" w:afterAutospacing="0"/>
                    <w:ind w:left="0" w:right="0"/>
                    <w:jc w:val="both"/>
                    <w:rPr>
                      <w:rFonts w:hint="default" w:ascii="Times New Roman" w:hAnsi="Times New Roman" w:eastAsia="仿宋_GB2312" w:cs="Times New Roman"/>
                      <w:color w:val="auto"/>
                      <w:sz w:val="18"/>
                      <w:szCs w:val="18"/>
                      <w:highlight w:val="none"/>
                    </w:rPr>
                  </w:pPr>
                  <w:r>
                    <w:rPr>
                      <w:rFonts w:hint="default" w:ascii="Times New Roman" w:hAnsi="Times New Roman" w:eastAsia="仿宋_GB2312" w:cs="Times New Roman"/>
                      <w:color w:val="auto"/>
                      <w:sz w:val="18"/>
                      <w:szCs w:val="18"/>
                      <w:highlight w:val="none"/>
                    </w:rPr>
                    <w:t>Ⅲ类：无排放同种有害物质的排气筒与无组织排放源共存，但无组织排放的有害物质的容许指标是按慢性反应指标确定者。</w:t>
                  </w:r>
                </w:p>
              </w:tc>
            </w:tr>
          </w:tbl>
          <w:p w14:paraId="20741847">
            <w:pPr>
              <w:keepNext w:val="0"/>
              <w:keepLines w:val="0"/>
              <w:suppressLineNumbers w:val="0"/>
              <w:autoSpaceDE w:val="0"/>
              <w:autoSpaceDN w:val="0"/>
              <w:adjustRightInd w:val="0"/>
              <w:snapToGrid w:val="0"/>
              <w:spacing w:before="0" w:beforeAutospacing="0" w:after="0" w:afterAutospacing="0" w:line="500" w:lineRule="exact"/>
              <w:ind w:left="0" w:right="0" w:firstLine="480" w:firstLineChars="200"/>
              <w:rPr>
                <w:rFonts w:hint="default" w:ascii="Times New Roman" w:hAnsi="Times New Roman" w:eastAsia="仿宋_GB2312" w:cs="Times New Roman"/>
                <w:color w:val="auto"/>
                <w:kern w:val="0"/>
                <w:sz w:val="24"/>
                <w:szCs w:val="21"/>
                <w:highlight w:val="none"/>
              </w:rPr>
            </w:pPr>
            <w:r>
              <w:rPr>
                <w:rFonts w:hint="default" w:ascii="Times New Roman" w:hAnsi="Times New Roman" w:eastAsia="仿宋_GB2312" w:cs="Times New Roman"/>
                <w:color w:val="auto"/>
                <w:kern w:val="0"/>
                <w:sz w:val="24"/>
                <w:szCs w:val="21"/>
                <w:highlight w:val="none"/>
              </w:rPr>
              <w:t>根据所在地区近五年来平均风速及工业企业大气污染物源构成类别查询，A、B、C、D值分别取470、0.021、1.85、0.84。</w:t>
            </w:r>
          </w:p>
          <w:p w14:paraId="20C46883">
            <w:pPr>
              <w:keepNext w:val="0"/>
              <w:keepLines w:val="0"/>
              <w:suppressLineNumbers w:val="0"/>
              <w:autoSpaceDE w:val="0"/>
              <w:autoSpaceDN w:val="0"/>
              <w:adjustRightInd w:val="0"/>
              <w:snapToGrid w:val="0"/>
              <w:spacing w:before="0" w:beforeAutospacing="0" w:after="0" w:afterAutospacing="0" w:line="500" w:lineRule="exact"/>
              <w:ind w:left="0" w:right="0"/>
              <w:jc w:val="center"/>
              <w:rPr>
                <w:rFonts w:hint="default" w:ascii="Times New Roman" w:hAnsi="Times New Roman" w:eastAsia="仿宋_GB2312" w:cs="Times New Roman"/>
                <w:b/>
                <w:bCs/>
                <w:color w:val="auto"/>
                <w:kern w:val="0"/>
                <w:sz w:val="24"/>
                <w:szCs w:val="21"/>
                <w:highlight w:val="none"/>
              </w:rPr>
            </w:pPr>
            <w:r>
              <w:rPr>
                <w:rFonts w:hint="default" w:ascii="Times New Roman" w:hAnsi="Times New Roman" w:eastAsia="仿宋_GB2312" w:cs="Times New Roman"/>
                <w:b/>
                <w:bCs/>
                <w:color w:val="auto"/>
                <w:kern w:val="0"/>
                <w:sz w:val="24"/>
                <w:szCs w:val="21"/>
                <w:highlight w:val="none"/>
              </w:rPr>
              <w:t>表4-</w:t>
            </w:r>
            <w:r>
              <w:rPr>
                <w:rFonts w:hint="eastAsia" w:ascii="Times New Roman" w:hAnsi="Times New Roman" w:eastAsia="仿宋_GB2312" w:cs="Times New Roman"/>
                <w:b/>
                <w:bCs/>
                <w:color w:val="auto"/>
                <w:kern w:val="0"/>
                <w:sz w:val="24"/>
                <w:szCs w:val="21"/>
                <w:highlight w:val="none"/>
                <w:lang w:val="en-US" w:eastAsia="zh-CN"/>
              </w:rPr>
              <w:t>6</w:t>
            </w:r>
            <w:r>
              <w:rPr>
                <w:rFonts w:hint="default" w:ascii="Times New Roman" w:hAnsi="Times New Roman" w:eastAsia="仿宋_GB2312" w:cs="Times New Roman"/>
                <w:b/>
                <w:bCs/>
                <w:color w:val="auto"/>
                <w:kern w:val="0"/>
                <w:sz w:val="24"/>
                <w:szCs w:val="21"/>
                <w:highlight w:val="none"/>
              </w:rPr>
              <w:t xml:space="preserve"> 大气卫生防护距离计算结果</w:t>
            </w:r>
          </w:p>
          <w:tbl>
            <w:tblPr>
              <w:tblStyle w:val="19"/>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23" w:type="dxa"/>
                <w:bottom w:w="0" w:type="dxa"/>
                <w:right w:w="23" w:type="dxa"/>
              </w:tblCellMar>
            </w:tblPr>
            <w:tblGrid>
              <w:gridCol w:w="1111"/>
              <w:gridCol w:w="2025"/>
              <w:gridCol w:w="2130"/>
              <w:gridCol w:w="1325"/>
              <w:gridCol w:w="1352"/>
            </w:tblGrid>
            <w:tr w14:paraId="5A3399E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3" w:type="dxa"/>
                  <w:bottom w:w="0" w:type="dxa"/>
                  <w:right w:w="23" w:type="dxa"/>
                </w:tblCellMar>
              </w:tblPrEx>
              <w:trPr>
                <w:trHeight w:val="545" w:hRule="atLeast"/>
                <w:jc w:val="center"/>
              </w:trPr>
              <w:tc>
                <w:tcPr>
                  <w:tcW w:w="699" w:type="pct"/>
                  <w:noWrap w:val="0"/>
                  <w:vAlign w:val="center"/>
                </w:tcPr>
                <w:p w14:paraId="766F5C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仿宋_GB2312" w:cs="Times New Roman"/>
                      <w:b/>
                      <w:bCs/>
                      <w:color w:val="auto"/>
                      <w:szCs w:val="21"/>
                      <w:highlight w:val="none"/>
                    </w:rPr>
                  </w:pPr>
                  <w:r>
                    <w:rPr>
                      <w:rFonts w:hint="default" w:ascii="Times New Roman" w:hAnsi="Times New Roman" w:eastAsia="仿宋_GB2312" w:cs="Times New Roman"/>
                      <w:b/>
                      <w:bCs/>
                      <w:color w:val="auto"/>
                      <w:szCs w:val="21"/>
                      <w:highlight w:val="none"/>
                    </w:rPr>
                    <w:t>污染源</w:t>
                  </w:r>
                </w:p>
              </w:tc>
              <w:tc>
                <w:tcPr>
                  <w:tcW w:w="1274" w:type="pct"/>
                  <w:noWrap w:val="0"/>
                  <w:vAlign w:val="center"/>
                </w:tcPr>
                <w:p w14:paraId="033AC8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仿宋_GB2312" w:cs="Times New Roman"/>
                      <w:b/>
                      <w:bCs/>
                      <w:color w:val="auto"/>
                      <w:szCs w:val="21"/>
                      <w:highlight w:val="none"/>
                    </w:rPr>
                  </w:pPr>
                  <w:r>
                    <w:rPr>
                      <w:rFonts w:hint="default" w:ascii="Times New Roman" w:hAnsi="Times New Roman" w:eastAsia="仿宋_GB2312" w:cs="Times New Roman"/>
                      <w:b/>
                      <w:bCs/>
                      <w:color w:val="auto"/>
                      <w:szCs w:val="21"/>
                      <w:highlight w:val="none"/>
                    </w:rPr>
                    <w:t>污染物</w:t>
                  </w:r>
                </w:p>
              </w:tc>
              <w:tc>
                <w:tcPr>
                  <w:tcW w:w="1340" w:type="pct"/>
                  <w:noWrap w:val="0"/>
                  <w:vAlign w:val="center"/>
                </w:tcPr>
                <w:p w14:paraId="0F37FB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仿宋_GB2312" w:cs="Times New Roman"/>
                      <w:b/>
                      <w:bCs/>
                      <w:color w:val="auto"/>
                      <w:szCs w:val="21"/>
                      <w:highlight w:val="none"/>
                    </w:rPr>
                  </w:pPr>
                  <w:r>
                    <w:rPr>
                      <w:rFonts w:hint="default" w:ascii="Times New Roman" w:hAnsi="Times New Roman" w:eastAsia="仿宋_GB2312" w:cs="Times New Roman"/>
                      <w:b/>
                      <w:bCs/>
                      <w:color w:val="auto"/>
                      <w:szCs w:val="21"/>
                      <w:highlight w:val="none"/>
                    </w:rPr>
                    <w:t>无组织</w:t>
                  </w:r>
                  <w:r>
                    <w:rPr>
                      <w:rFonts w:hint="default" w:ascii="Times New Roman" w:hAnsi="Times New Roman" w:eastAsia="仿宋_GB2312" w:cs="Times New Roman"/>
                      <w:b/>
                      <w:bCs/>
                      <w:color w:val="auto"/>
                      <w:szCs w:val="21"/>
                      <w:highlight w:val="none"/>
                      <w:lang w:val="en-US" w:eastAsia="zh-CN"/>
                    </w:rPr>
                    <w:t>排放速率</w:t>
                  </w:r>
                  <w:r>
                    <w:rPr>
                      <w:rFonts w:hint="default" w:ascii="Times New Roman" w:hAnsi="Times New Roman" w:eastAsia="仿宋_GB2312" w:cs="Times New Roman"/>
                      <w:b/>
                      <w:bCs/>
                      <w:color w:val="auto"/>
                      <w:szCs w:val="21"/>
                      <w:highlight w:val="none"/>
                    </w:rPr>
                    <w:t>（kg/h）</w:t>
                  </w:r>
                </w:p>
              </w:tc>
              <w:tc>
                <w:tcPr>
                  <w:tcW w:w="834" w:type="pct"/>
                  <w:noWrap w:val="0"/>
                  <w:vAlign w:val="center"/>
                </w:tcPr>
                <w:p w14:paraId="228EC0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仿宋_GB2312" w:cs="Times New Roman"/>
                      <w:b/>
                      <w:bCs/>
                      <w:color w:val="auto"/>
                      <w:szCs w:val="21"/>
                      <w:highlight w:val="none"/>
                    </w:rPr>
                  </w:pPr>
                  <w:r>
                    <w:rPr>
                      <w:rFonts w:hint="default" w:ascii="Times New Roman" w:hAnsi="Times New Roman" w:eastAsia="仿宋_GB2312" w:cs="Times New Roman"/>
                      <w:b/>
                      <w:bCs/>
                      <w:color w:val="auto"/>
                      <w:szCs w:val="21"/>
                      <w:highlight w:val="none"/>
                    </w:rPr>
                    <w:t>面源</w:t>
                  </w:r>
                  <w:r>
                    <w:rPr>
                      <w:rFonts w:hint="default" w:ascii="Times New Roman" w:hAnsi="Times New Roman" w:eastAsia="仿宋_GB2312" w:cs="Times New Roman"/>
                      <w:b/>
                      <w:bCs/>
                      <w:color w:val="auto"/>
                      <w:szCs w:val="21"/>
                      <w:highlight w:val="none"/>
                      <w:lang w:val="en-US" w:eastAsia="zh-CN"/>
                    </w:rPr>
                    <w:t>面积</w:t>
                  </w:r>
                  <w:r>
                    <w:rPr>
                      <w:rFonts w:hint="default" w:ascii="Times New Roman" w:hAnsi="Times New Roman" w:eastAsia="仿宋_GB2312" w:cs="Times New Roman"/>
                      <w:b/>
                      <w:bCs/>
                      <w:color w:val="auto"/>
                      <w:szCs w:val="21"/>
                      <w:highlight w:val="none"/>
                    </w:rPr>
                    <w:t>（m</w:t>
                  </w:r>
                  <w:r>
                    <w:rPr>
                      <w:rFonts w:hint="default" w:ascii="Times New Roman" w:hAnsi="Times New Roman" w:eastAsia="仿宋_GB2312" w:cs="Times New Roman"/>
                      <w:b/>
                      <w:bCs/>
                      <w:color w:val="auto"/>
                      <w:szCs w:val="21"/>
                      <w:highlight w:val="none"/>
                      <w:vertAlign w:val="superscript"/>
                      <w:lang w:val="en-US" w:eastAsia="zh-CN"/>
                    </w:rPr>
                    <w:t>2</w:t>
                  </w:r>
                  <w:r>
                    <w:rPr>
                      <w:rFonts w:hint="default" w:ascii="Times New Roman" w:hAnsi="Times New Roman" w:eastAsia="仿宋_GB2312" w:cs="Times New Roman"/>
                      <w:b/>
                      <w:bCs/>
                      <w:color w:val="auto"/>
                      <w:szCs w:val="21"/>
                      <w:highlight w:val="none"/>
                    </w:rPr>
                    <w:t>）</w:t>
                  </w:r>
                </w:p>
              </w:tc>
              <w:tc>
                <w:tcPr>
                  <w:tcW w:w="851" w:type="pct"/>
                  <w:noWrap w:val="0"/>
                  <w:vAlign w:val="center"/>
                </w:tcPr>
                <w:p w14:paraId="7D06E9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仿宋_GB2312" w:cs="Times New Roman"/>
                      <w:b/>
                      <w:bCs/>
                      <w:color w:val="auto"/>
                      <w:szCs w:val="21"/>
                      <w:highlight w:val="none"/>
                    </w:rPr>
                  </w:pPr>
                  <w:r>
                    <w:rPr>
                      <w:rFonts w:hint="default" w:ascii="Times New Roman" w:hAnsi="Times New Roman" w:eastAsia="仿宋_GB2312" w:cs="Times New Roman"/>
                      <w:b/>
                      <w:bCs/>
                      <w:color w:val="auto"/>
                      <w:szCs w:val="21"/>
                      <w:highlight w:val="none"/>
                    </w:rPr>
                    <w:t>计算</w:t>
                  </w:r>
                  <w:r>
                    <w:rPr>
                      <w:rFonts w:hint="eastAsia" w:ascii="Times New Roman" w:hAnsi="Times New Roman" w:eastAsia="仿宋_GB2312" w:cs="Times New Roman"/>
                      <w:b/>
                      <w:bCs/>
                      <w:color w:val="auto"/>
                      <w:szCs w:val="21"/>
                      <w:highlight w:val="none"/>
                      <w:lang w:val="en-US" w:eastAsia="zh-CN"/>
                    </w:rPr>
                    <w:t>初</w:t>
                  </w:r>
                  <w:r>
                    <w:rPr>
                      <w:rFonts w:hint="default" w:ascii="Times New Roman" w:hAnsi="Times New Roman" w:eastAsia="仿宋_GB2312" w:cs="Times New Roman"/>
                      <w:b/>
                      <w:bCs/>
                      <w:color w:val="auto"/>
                      <w:szCs w:val="21"/>
                      <w:highlight w:val="none"/>
                    </w:rPr>
                    <w:t>值（m）</w:t>
                  </w:r>
                </w:p>
              </w:tc>
            </w:tr>
            <w:tr w14:paraId="7F808D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23" w:type="dxa"/>
                  <w:bottom w:w="0" w:type="dxa"/>
                  <w:right w:w="23" w:type="dxa"/>
                </w:tblCellMar>
              </w:tblPrEx>
              <w:trPr>
                <w:trHeight w:val="413" w:hRule="atLeast"/>
                <w:jc w:val="center"/>
              </w:trPr>
              <w:tc>
                <w:tcPr>
                  <w:tcW w:w="699" w:type="pct"/>
                  <w:noWrap w:val="0"/>
                  <w:vAlign w:val="center"/>
                </w:tcPr>
                <w:p w14:paraId="5E496ACE">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rPr>
                  </w:pPr>
                  <w:r>
                    <w:rPr>
                      <w:rFonts w:hint="eastAsia" w:ascii="Times New Roman" w:hAnsi="Times New Roman" w:eastAsia="仿宋_GB2312" w:cs="Times New Roman"/>
                      <w:color w:val="auto"/>
                      <w:szCs w:val="21"/>
                      <w:highlight w:val="none"/>
                      <w:lang w:val="en-US" w:eastAsia="zh-CN"/>
                    </w:rPr>
                    <w:t>加油罩棚</w:t>
                  </w:r>
                </w:p>
              </w:tc>
              <w:tc>
                <w:tcPr>
                  <w:tcW w:w="1274" w:type="pct"/>
                  <w:noWrap w:val="0"/>
                  <w:vAlign w:val="center"/>
                </w:tcPr>
                <w:p w14:paraId="7CD8792C">
                  <w:pPr>
                    <w:keepNext w:val="0"/>
                    <w:keepLines w:val="0"/>
                    <w:suppressLineNumbers w:val="0"/>
                    <w:adjustRightInd w:val="0"/>
                    <w:snapToGrid w:val="0"/>
                    <w:spacing w:before="0" w:beforeAutospacing="0" w:after="0" w:afterAutospacing="0" w:line="240" w:lineRule="exact"/>
                    <w:ind w:left="0" w:right="0"/>
                    <w:jc w:val="center"/>
                    <w:rPr>
                      <w:rFonts w:hint="eastAsia" w:ascii="Times New Roman" w:hAnsi="Times New Roman" w:eastAsia="仿宋_GB2312" w:cs="Times New Roman"/>
                      <w:b/>
                      <w:bCs/>
                      <w:color w:val="auto"/>
                      <w:szCs w:val="21"/>
                      <w:highlight w:val="none"/>
                      <w:lang w:val="en-US" w:eastAsia="zh-CN"/>
                    </w:rPr>
                  </w:pPr>
                  <w:r>
                    <w:rPr>
                      <w:rFonts w:hint="default" w:ascii="Times New Roman" w:hAnsi="Times New Roman" w:eastAsia="仿宋_GB2312" w:cs="Times New Roman"/>
                      <w:color w:val="auto"/>
                      <w:szCs w:val="21"/>
                      <w:highlight w:val="none"/>
                    </w:rPr>
                    <w:t>非甲烷总烃</w:t>
                  </w:r>
                </w:p>
              </w:tc>
              <w:tc>
                <w:tcPr>
                  <w:tcW w:w="1340" w:type="pct"/>
                  <w:noWrap w:val="0"/>
                  <w:vAlign w:val="center"/>
                </w:tcPr>
                <w:p w14:paraId="288D011D">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b/>
                      <w:bCs/>
                      <w:color w:val="auto"/>
                      <w:szCs w:val="21"/>
                      <w:highlight w:val="none"/>
                      <w:lang w:val="en-US" w:eastAsia="zh-CN"/>
                    </w:rPr>
                  </w:pPr>
                  <w:r>
                    <w:rPr>
                      <w:rFonts w:hint="default" w:ascii="Times New Roman" w:hAnsi="Times New Roman" w:eastAsia="仿宋_GB2312" w:cs="Times New Roman"/>
                      <w:color w:val="auto"/>
                      <w:szCs w:val="21"/>
                      <w:highlight w:val="none"/>
                    </w:rPr>
                    <w:t>0.</w:t>
                  </w:r>
                  <w:r>
                    <w:rPr>
                      <w:rFonts w:hint="eastAsia" w:ascii="Times New Roman" w:hAnsi="Times New Roman" w:eastAsia="仿宋_GB2312" w:cs="Times New Roman"/>
                      <w:color w:val="auto"/>
                      <w:szCs w:val="21"/>
                      <w:highlight w:val="none"/>
                      <w:lang w:val="en-US" w:eastAsia="zh-CN"/>
                    </w:rPr>
                    <w:t>117</w:t>
                  </w:r>
                </w:p>
              </w:tc>
              <w:tc>
                <w:tcPr>
                  <w:tcW w:w="834" w:type="pct"/>
                  <w:noWrap w:val="0"/>
                  <w:vAlign w:val="center"/>
                </w:tcPr>
                <w:p w14:paraId="4B3A7338">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lang w:val="en-US" w:eastAsia="zh-CN"/>
                    </w:rPr>
                  </w:pPr>
                  <w:r>
                    <w:rPr>
                      <w:rFonts w:hint="eastAsia" w:ascii="Times New Roman" w:hAnsi="Times New Roman" w:eastAsia="仿宋_GB2312" w:cs="Times New Roman"/>
                      <w:color w:val="auto"/>
                      <w:szCs w:val="21"/>
                      <w:highlight w:val="none"/>
                      <w:lang w:val="en-US" w:eastAsia="zh-CN"/>
                    </w:rPr>
                    <w:t>406</w:t>
                  </w:r>
                </w:p>
              </w:tc>
              <w:tc>
                <w:tcPr>
                  <w:tcW w:w="851" w:type="pct"/>
                  <w:noWrap w:val="0"/>
                  <w:vAlign w:val="center"/>
                </w:tcPr>
                <w:p w14:paraId="542D6A6E">
                  <w:pPr>
                    <w:keepNext w:val="0"/>
                    <w:keepLines w:val="0"/>
                    <w:suppressLineNumbers w:val="0"/>
                    <w:adjustRightInd w:val="0"/>
                    <w:snapToGrid w:val="0"/>
                    <w:spacing w:before="0" w:beforeAutospacing="0" w:after="0" w:afterAutospacing="0" w:line="240" w:lineRule="exact"/>
                    <w:ind w:left="0" w:right="0"/>
                    <w:jc w:val="center"/>
                    <w:rPr>
                      <w:rFonts w:hint="default" w:ascii="Times New Roman" w:hAnsi="Times New Roman" w:eastAsia="仿宋_GB2312" w:cs="Times New Roman"/>
                      <w:color w:val="auto"/>
                      <w:szCs w:val="21"/>
                      <w:highlight w:val="none"/>
                      <w:lang w:val="en-US" w:eastAsia="zh-CN"/>
                    </w:rPr>
                  </w:pPr>
                  <w:r>
                    <w:rPr>
                      <w:rFonts w:hint="eastAsia" w:ascii="Times New Roman" w:hAnsi="Times New Roman" w:eastAsia="仿宋_GB2312" w:cs="Times New Roman"/>
                      <w:color w:val="auto"/>
                      <w:szCs w:val="21"/>
                      <w:highlight w:val="none"/>
                      <w:lang w:val="en-US" w:eastAsia="zh-CN"/>
                    </w:rPr>
                    <w:t>6.46</w:t>
                  </w:r>
                </w:p>
              </w:tc>
            </w:tr>
          </w:tbl>
          <w:p w14:paraId="2A44E31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60" w:lineRule="exact"/>
              <w:ind w:left="0" w:right="0" w:firstLine="480" w:firstLineChars="200"/>
              <w:textAlignment w:val="auto"/>
              <w:rPr>
                <w:rFonts w:hint="eastAsia" w:ascii="Times New Roman" w:hAnsi="Times New Roman" w:eastAsia="仿宋_GB2312" w:cs="Times New Roman"/>
                <w:color w:val="auto"/>
                <w:kern w:val="0"/>
                <w:sz w:val="24"/>
                <w:szCs w:val="21"/>
                <w:highlight w:val="none"/>
                <w:lang w:val="en-US" w:eastAsia="zh-CN"/>
              </w:rPr>
            </w:pPr>
            <w:r>
              <w:rPr>
                <w:rFonts w:hint="default" w:ascii="Times New Roman" w:hAnsi="Times New Roman" w:eastAsia="仿宋_GB2312" w:cs="Times New Roman"/>
                <w:color w:val="auto"/>
                <w:kern w:val="0"/>
                <w:sz w:val="24"/>
                <w:szCs w:val="21"/>
                <w:highlight w:val="none"/>
                <w:lang w:val="en-US" w:eastAsia="zh-CN"/>
              </w:rPr>
              <w:t>③终值</w:t>
            </w:r>
            <w:r>
              <w:rPr>
                <w:rFonts w:hint="eastAsia" w:ascii="Times New Roman" w:hAnsi="Times New Roman" w:eastAsia="仿宋_GB2312" w:cs="Times New Roman"/>
                <w:color w:val="auto"/>
                <w:kern w:val="0"/>
                <w:sz w:val="24"/>
                <w:szCs w:val="21"/>
                <w:highlight w:val="none"/>
                <w:lang w:val="en-US" w:eastAsia="zh-CN"/>
              </w:rPr>
              <w:t>确定</w:t>
            </w:r>
          </w:p>
          <w:p w14:paraId="5A9DA0C2">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60" w:lineRule="exact"/>
              <w:ind w:left="0" w:right="0" w:firstLine="480" w:firstLineChars="200"/>
              <w:textAlignment w:val="auto"/>
              <w:rPr>
                <w:rFonts w:hint="default" w:ascii="Times New Roman" w:hAnsi="Times New Roman" w:eastAsia="仿宋_GB2312" w:cs="Times New Roman"/>
                <w:color w:val="auto"/>
                <w:kern w:val="0"/>
                <w:sz w:val="24"/>
                <w:szCs w:val="21"/>
                <w:highlight w:val="none"/>
              </w:rPr>
            </w:pPr>
            <w:r>
              <w:rPr>
                <w:rFonts w:hint="eastAsia" w:ascii="Times New Roman" w:hAnsi="Times New Roman" w:eastAsia="仿宋_GB2312" w:cs="Times New Roman"/>
                <w:color w:val="auto"/>
                <w:kern w:val="0"/>
                <w:sz w:val="24"/>
                <w:szCs w:val="21"/>
                <w:highlight w:val="none"/>
                <w:lang w:val="en-US" w:eastAsia="zh-CN"/>
              </w:rPr>
              <w:t>单一特征大气有害物质终值的确定：当</w:t>
            </w:r>
            <w:r>
              <w:rPr>
                <w:rFonts w:hint="default" w:ascii="Times New Roman" w:hAnsi="Times New Roman" w:eastAsia="仿宋_GB2312" w:cs="Times New Roman"/>
                <w:color w:val="auto"/>
                <w:kern w:val="0"/>
                <w:sz w:val="24"/>
                <w:szCs w:val="21"/>
                <w:highlight w:val="none"/>
              </w:rPr>
              <w:t>卫生防护距离初值小于50m时</w:t>
            </w:r>
            <w:r>
              <w:rPr>
                <w:rFonts w:hint="eastAsia" w:ascii="Times New Roman" w:hAnsi="Times New Roman" w:eastAsia="仿宋_GB2312" w:cs="Times New Roman"/>
                <w:color w:val="auto"/>
                <w:kern w:val="0"/>
                <w:sz w:val="24"/>
                <w:szCs w:val="21"/>
                <w:highlight w:val="none"/>
                <w:lang w:eastAsia="zh-CN"/>
              </w:rPr>
              <w:t>，</w:t>
            </w:r>
            <w:r>
              <w:rPr>
                <w:rFonts w:hint="default" w:ascii="Times New Roman" w:hAnsi="Times New Roman" w:eastAsia="仿宋_GB2312" w:cs="Times New Roman"/>
                <w:color w:val="auto"/>
                <w:kern w:val="0"/>
                <w:sz w:val="24"/>
                <w:szCs w:val="21"/>
                <w:highlight w:val="none"/>
              </w:rPr>
              <w:t>级差为50m。如计算初值小于50m</w:t>
            </w:r>
            <w:r>
              <w:rPr>
                <w:rFonts w:hint="eastAsia" w:ascii="Times New Roman" w:hAnsi="Times New Roman" w:eastAsia="仿宋_GB2312" w:cs="Times New Roman"/>
                <w:color w:val="auto"/>
                <w:kern w:val="0"/>
                <w:sz w:val="24"/>
                <w:szCs w:val="21"/>
                <w:highlight w:val="none"/>
                <w:lang w:eastAsia="zh-CN"/>
              </w:rPr>
              <w:t>，</w:t>
            </w:r>
            <w:r>
              <w:rPr>
                <w:rFonts w:hint="default" w:ascii="Times New Roman" w:hAnsi="Times New Roman" w:eastAsia="仿宋_GB2312" w:cs="Times New Roman"/>
                <w:color w:val="auto"/>
                <w:kern w:val="0"/>
                <w:sz w:val="24"/>
                <w:szCs w:val="21"/>
                <w:highlight w:val="none"/>
              </w:rPr>
              <w:t>卫生防护距离终值取50m。</w:t>
            </w:r>
          </w:p>
          <w:p w14:paraId="4B2318A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60" w:lineRule="exact"/>
              <w:ind w:left="0" w:right="0" w:firstLine="480" w:firstLineChars="200"/>
              <w:textAlignment w:val="auto"/>
              <w:rPr>
                <w:rFonts w:hint="default" w:ascii="Times New Roman" w:hAnsi="Times New Roman" w:eastAsia="仿宋_GB2312" w:cs="Times New Roman"/>
                <w:color w:val="auto"/>
                <w:kern w:val="0"/>
                <w:sz w:val="24"/>
                <w:szCs w:val="21"/>
                <w:highlight w:val="none"/>
              </w:rPr>
            </w:pPr>
            <w:r>
              <w:rPr>
                <w:rFonts w:hint="default" w:ascii="Times New Roman" w:hAnsi="Times New Roman" w:eastAsia="仿宋_GB2312" w:cs="Times New Roman"/>
                <w:color w:val="auto"/>
                <w:kern w:val="0"/>
                <w:sz w:val="24"/>
                <w:szCs w:val="21"/>
                <w:highlight w:val="none"/>
              </w:rPr>
              <w:t>根据</w:t>
            </w:r>
            <w:r>
              <w:rPr>
                <w:rFonts w:hint="eastAsia" w:ascii="Times New Roman" w:hAnsi="Times New Roman" w:eastAsia="仿宋_GB2312" w:cs="Times New Roman"/>
                <w:color w:val="auto"/>
                <w:kern w:val="0"/>
                <w:sz w:val="24"/>
                <w:szCs w:val="21"/>
                <w:highlight w:val="none"/>
                <w:lang w:val="en-US" w:eastAsia="zh-CN"/>
              </w:rPr>
              <w:t>表4-6</w:t>
            </w:r>
            <w:r>
              <w:rPr>
                <w:rFonts w:hint="default" w:ascii="Times New Roman" w:hAnsi="Times New Roman" w:eastAsia="仿宋_GB2312" w:cs="Times New Roman"/>
                <w:color w:val="auto"/>
                <w:kern w:val="0"/>
                <w:sz w:val="24"/>
                <w:szCs w:val="21"/>
                <w:highlight w:val="none"/>
              </w:rPr>
              <w:t>计算</w:t>
            </w:r>
            <w:r>
              <w:rPr>
                <w:rFonts w:hint="eastAsia" w:ascii="Times New Roman" w:hAnsi="Times New Roman" w:eastAsia="仿宋_GB2312" w:cs="Times New Roman"/>
                <w:color w:val="auto"/>
                <w:kern w:val="0"/>
                <w:sz w:val="24"/>
                <w:szCs w:val="21"/>
                <w:highlight w:val="none"/>
                <w:lang w:val="en-US" w:eastAsia="zh-CN"/>
              </w:rPr>
              <w:t>结果</w:t>
            </w:r>
            <w:r>
              <w:rPr>
                <w:rFonts w:hint="default" w:ascii="Times New Roman" w:hAnsi="Times New Roman" w:eastAsia="仿宋_GB2312" w:cs="Times New Roman"/>
                <w:color w:val="auto"/>
                <w:kern w:val="0"/>
                <w:sz w:val="24"/>
                <w:szCs w:val="21"/>
                <w:highlight w:val="none"/>
              </w:rPr>
              <w:t>，</w:t>
            </w:r>
            <w:r>
              <w:rPr>
                <w:rFonts w:hint="eastAsia" w:ascii="Times New Roman" w:hAnsi="Times New Roman" w:eastAsia="仿宋_GB2312" w:cs="Times New Roman"/>
                <w:color w:val="auto"/>
                <w:kern w:val="0"/>
                <w:sz w:val="24"/>
                <w:szCs w:val="21"/>
                <w:highlight w:val="none"/>
                <w:lang w:val="en-US" w:eastAsia="zh-CN"/>
              </w:rPr>
              <w:t>本项目</w:t>
            </w:r>
            <w:r>
              <w:rPr>
                <w:rFonts w:hint="default" w:ascii="Times New Roman" w:hAnsi="Times New Roman" w:eastAsia="仿宋_GB2312" w:cs="Times New Roman"/>
                <w:color w:val="auto"/>
                <w:kern w:val="0"/>
                <w:sz w:val="24"/>
                <w:szCs w:val="21"/>
                <w:highlight w:val="none"/>
              </w:rPr>
              <w:t>以</w:t>
            </w:r>
            <w:r>
              <w:rPr>
                <w:rFonts w:hint="eastAsia" w:ascii="Times New Roman" w:hAnsi="Times New Roman" w:eastAsia="仿宋_GB2312" w:cs="Times New Roman"/>
                <w:color w:val="auto"/>
                <w:kern w:val="0"/>
                <w:sz w:val="24"/>
                <w:szCs w:val="21"/>
                <w:highlight w:val="none"/>
                <w:lang w:val="en-US" w:eastAsia="zh-CN"/>
              </w:rPr>
              <w:t>加油罩棚为</w:t>
            </w:r>
            <w:r>
              <w:rPr>
                <w:rFonts w:hint="default" w:ascii="Times New Roman" w:hAnsi="Times New Roman" w:eastAsia="仿宋_GB2312" w:cs="Times New Roman"/>
                <w:color w:val="auto"/>
                <w:kern w:val="0"/>
                <w:sz w:val="24"/>
                <w:szCs w:val="21"/>
                <w:highlight w:val="none"/>
              </w:rPr>
              <w:t>边界设置</w:t>
            </w:r>
            <w:r>
              <w:rPr>
                <w:rFonts w:hint="eastAsia" w:ascii="Times New Roman" w:hAnsi="Times New Roman" w:eastAsia="仿宋_GB2312" w:cs="Times New Roman"/>
                <w:color w:val="auto"/>
                <w:kern w:val="0"/>
                <w:sz w:val="24"/>
                <w:szCs w:val="21"/>
                <w:highlight w:val="none"/>
                <w:lang w:val="en-US" w:eastAsia="zh-CN"/>
              </w:rPr>
              <w:t>5</w:t>
            </w:r>
            <w:r>
              <w:rPr>
                <w:rFonts w:hint="default" w:ascii="Times New Roman" w:hAnsi="Times New Roman" w:eastAsia="仿宋_GB2312" w:cs="Times New Roman"/>
                <w:color w:val="auto"/>
                <w:kern w:val="0"/>
                <w:sz w:val="24"/>
                <w:szCs w:val="21"/>
                <w:highlight w:val="none"/>
              </w:rPr>
              <w:t>0米的卫生防护距离。经现场踏勘该卫生防护距离内无居民点、学校、医院等公共设施及其他环境敏感目标，在以后的规划建设中，也不得新增环境保护目标。</w:t>
            </w:r>
          </w:p>
          <w:p w14:paraId="316AD59E">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w:t>
            </w:r>
            <w:r>
              <w:rPr>
                <w:rFonts w:hint="eastAsia" w:ascii="Times New Roman" w:hAnsi="Times New Roman" w:eastAsia="仿宋_GB2312" w:cs="Times New Roman"/>
                <w:color w:val="auto"/>
                <w:sz w:val="24"/>
                <w:szCs w:val="24"/>
                <w:lang w:val="en-US" w:eastAsia="zh-CN"/>
              </w:rPr>
              <w:t>8</w:t>
            </w:r>
            <w:r>
              <w:rPr>
                <w:rFonts w:hint="default" w:ascii="Times New Roman" w:hAnsi="Times New Roman" w:eastAsia="仿宋_GB2312" w:cs="Times New Roman"/>
                <w:color w:val="auto"/>
                <w:sz w:val="24"/>
                <w:szCs w:val="24"/>
                <w:lang w:val="en-US" w:eastAsia="zh-CN"/>
              </w:rPr>
              <w:t>）大气监测要求</w:t>
            </w:r>
          </w:p>
          <w:p w14:paraId="78C9A351">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根据《加油站大气污染物排放标准（GB 20952-2020）》、《排污单位自行监测技术指南 储油库、加油站》（HJ 1249-2022）中自行监测的相关要求，本次评价制定项目运营期废气监测计划如下所示。</w:t>
            </w:r>
          </w:p>
          <w:p w14:paraId="2CD35487">
            <w:pPr>
              <w:pStyle w:val="51"/>
              <w:spacing w:before="7" w:line="229" w:lineRule="auto"/>
              <w:jc w:val="center"/>
              <w:rPr>
                <w:rFonts w:hint="default" w:ascii="Times New Roman" w:hAnsi="Times New Roman" w:eastAsia="仿宋_GB2312" w:cs="Times New Roman"/>
                <w:b/>
                <w:bCs/>
                <w:color w:val="auto"/>
                <w:spacing w:val="6"/>
                <w:sz w:val="24"/>
                <w:szCs w:val="24"/>
                <w:lang w:val="en-US" w:eastAsia="zh-CN"/>
              </w:rPr>
            </w:pPr>
            <w:r>
              <w:rPr>
                <w:rFonts w:hint="default" w:ascii="Times New Roman" w:hAnsi="Times New Roman" w:eastAsia="仿宋_GB2312" w:cs="Times New Roman"/>
                <w:b/>
                <w:bCs/>
                <w:color w:val="auto"/>
                <w:spacing w:val="6"/>
                <w:sz w:val="24"/>
                <w:szCs w:val="24"/>
                <w:lang w:val="en-US" w:eastAsia="zh-CN"/>
              </w:rPr>
              <w:t>表</w:t>
            </w:r>
            <w:r>
              <w:rPr>
                <w:rFonts w:hint="default" w:ascii="Times New Roman" w:hAnsi="Times New Roman" w:eastAsia="仿宋_GB2312" w:cs="Times New Roman"/>
                <w:b/>
                <w:bCs/>
                <w:color w:val="auto"/>
                <w:spacing w:val="6"/>
                <w:sz w:val="24"/>
                <w:szCs w:val="24"/>
                <w:highlight w:val="none"/>
                <w:lang w:val="en-US" w:eastAsia="zh-CN"/>
              </w:rPr>
              <w:t>4-</w:t>
            </w:r>
            <w:r>
              <w:rPr>
                <w:rFonts w:hint="eastAsia" w:ascii="Times New Roman" w:hAnsi="Times New Roman" w:eastAsia="仿宋_GB2312" w:cs="Times New Roman"/>
                <w:b/>
                <w:bCs/>
                <w:color w:val="auto"/>
                <w:spacing w:val="6"/>
                <w:sz w:val="24"/>
                <w:szCs w:val="24"/>
                <w:highlight w:val="none"/>
                <w:lang w:val="en-US" w:eastAsia="zh-CN"/>
              </w:rPr>
              <w:t>7</w:t>
            </w:r>
            <w:r>
              <w:rPr>
                <w:rFonts w:hint="default" w:ascii="Times New Roman" w:hAnsi="Times New Roman" w:eastAsia="仿宋_GB2312" w:cs="Times New Roman"/>
                <w:b/>
                <w:bCs/>
                <w:color w:val="auto"/>
                <w:spacing w:val="6"/>
                <w:sz w:val="24"/>
                <w:szCs w:val="24"/>
                <w:lang w:val="en-US" w:eastAsia="zh-CN"/>
              </w:rPr>
              <w:t xml:space="preserve"> 大气环境监测计划一览表</w:t>
            </w:r>
          </w:p>
          <w:tbl>
            <w:tblPr>
              <w:tblStyle w:val="52"/>
              <w:tblW w:w="7941" w:type="dxa"/>
              <w:tblInd w:w="6"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942"/>
              <w:gridCol w:w="1129"/>
              <w:gridCol w:w="1654"/>
              <w:gridCol w:w="1265"/>
              <w:gridCol w:w="1124"/>
              <w:gridCol w:w="1827"/>
            </w:tblGrid>
            <w:tr w14:paraId="36E593BE">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942" w:type="dxa"/>
                  <w:tcBorders>
                    <w:tl2br w:val="nil"/>
                    <w:tr2bl w:val="nil"/>
                  </w:tcBorders>
                  <w:noWrap w:val="0"/>
                  <w:vAlign w:val="center"/>
                </w:tcPr>
                <w:p w14:paraId="59D89EE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类别</w:t>
                  </w:r>
                </w:p>
              </w:tc>
              <w:tc>
                <w:tcPr>
                  <w:tcW w:w="2783" w:type="dxa"/>
                  <w:gridSpan w:val="2"/>
                  <w:tcBorders>
                    <w:tl2br w:val="nil"/>
                    <w:tr2bl w:val="nil"/>
                  </w:tcBorders>
                  <w:noWrap w:val="0"/>
                  <w:vAlign w:val="center"/>
                </w:tcPr>
                <w:p w14:paraId="4FAF97B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监测点位</w:t>
                  </w:r>
                </w:p>
              </w:tc>
              <w:tc>
                <w:tcPr>
                  <w:tcW w:w="1265" w:type="dxa"/>
                  <w:tcBorders>
                    <w:tl2br w:val="nil"/>
                    <w:tr2bl w:val="nil"/>
                  </w:tcBorders>
                  <w:noWrap w:val="0"/>
                  <w:vAlign w:val="center"/>
                </w:tcPr>
                <w:p w14:paraId="117B99E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监测指标</w:t>
                  </w:r>
                </w:p>
              </w:tc>
              <w:tc>
                <w:tcPr>
                  <w:tcW w:w="1124" w:type="dxa"/>
                  <w:tcBorders>
                    <w:tl2br w:val="nil"/>
                    <w:tr2bl w:val="nil"/>
                  </w:tcBorders>
                  <w:noWrap w:val="0"/>
                  <w:vAlign w:val="center"/>
                </w:tcPr>
                <w:p w14:paraId="5745735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监测频次</w:t>
                  </w:r>
                </w:p>
              </w:tc>
              <w:tc>
                <w:tcPr>
                  <w:tcW w:w="1827" w:type="dxa"/>
                  <w:tcBorders>
                    <w:tl2br w:val="nil"/>
                    <w:tr2bl w:val="nil"/>
                  </w:tcBorders>
                  <w:noWrap w:val="0"/>
                  <w:vAlign w:val="center"/>
                </w:tcPr>
                <w:p w14:paraId="71F5F36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执行排放标准</w:t>
                  </w:r>
                </w:p>
              </w:tc>
            </w:tr>
            <w:tr w14:paraId="4E831069">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942" w:type="dxa"/>
                  <w:vMerge w:val="restart"/>
                  <w:tcBorders>
                    <w:tl2br w:val="nil"/>
                    <w:tr2bl w:val="nil"/>
                  </w:tcBorders>
                  <w:noWrap w:val="0"/>
                  <w:vAlign w:val="center"/>
                </w:tcPr>
                <w:p w14:paraId="0C1C982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废气</w:t>
                  </w:r>
                </w:p>
              </w:tc>
              <w:tc>
                <w:tcPr>
                  <w:tcW w:w="2783" w:type="dxa"/>
                  <w:gridSpan w:val="2"/>
                  <w:tcBorders>
                    <w:tl2br w:val="nil"/>
                    <w:tr2bl w:val="nil"/>
                  </w:tcBorders>
                  <w:noWrap w:val="0"/>
                  <w:vAlign w:val="center"/>
                </w:tcPr>
                <w:p w14:paraId="03EDDF7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油气回收系统密闭点</w:t>
                  </w:r>
                </w:p>
              </w:tc>
              <w:tc>
                <w:tcPr>
                  <w:tcW w:w="1265" w:type="dxa"/>
                  <w:tcBorders>
                    <w:tl2br w:val="nil"/>
                    <w:tr2bl w:val="nil"/>
                  </w:tcBorders>
                  <w:noWrap w:val="0"/>
                  <w:vAlign w:val="center"/>
                </w:tcPr>
                <w:p w14:paraId="7201D78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泄漏检测值</w:t>
                  </w:r>
                </w:p>
              </w:tc>
              <w:tc>
                <w:tcPr>
                  <w:tcW w:w="1124" w:type="dxa"/>
                  <w:tcBorders>
                    <w:tl2br w:val="nil"/>
                    <w:tr2bl w:val="nil"/>
                  </w:tcBorders>
                  <w:noWrap w:val="0"/>
                  <w:vAlign w:val="center"/>
                </w:tcPr>
                <w:p w14:paraId="68E8FA1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 次/年</w:t>
                  </w:r>
                </w:p>
              </w:tc>
              <w:tc>
                <w:tcPr>
                  <w:tcW w:w="1827" w:type="dxa"/>
                  <w:vMerge w:val="restart"/>
                  <w:tcBorders>
                    <w:tl2br w:val="nil"/>
                    <w:tr2bl w:val="nil"/>
                  </w:tcBorders>
                  <w:noWrap w:val="0"/>
                  <w:vAlign w:val="center"/>
                </w:tcPr>
                <w:p w14:paraId="2FE8E3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《加油站大气污染物排放标准》</w:t>
                  </w:r>
                </w:p>
                <w:p w14:paraId="7D22E55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（GB 20952-2020）</w:t>
                  </w:r>
                </w:p>
              </w:tc>
            </w:tr>
            <w:tr w14:paraId="2BB2E524">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942" w:type="dxa"/>
                  <w:vMerge w:val="continue"/>
                  <w:tcBorders>
                    <w:tl2br w:val="nil"/>
                    <w:tr2bl w:val="nil"/>
                  </w:tcBorders>
                  <w:noWrap w:val="0"/>
                  <w:vAlign w:val="center"/>
                </w:tcPr>
                <w:p w14:paraId="459B5E94">
                  <w:pPr>
                    <w:jc w:val="center"/>
                    <w:rPr>
                      <w:rFonts w:hint="default" w:ascii="Times New Roman" w:hAnsi="Times New Roman" w:eastAsia="仿宋_GB2312" w:cs="Times New Roman"/>
                      <w:color w:val="auto"/>
                      <w:sz w:val="21"/>
                      <w:szCs w:val="21"/>
                    </w:rPr>
                  </w:pPr>
                </w:p>
              </w:tc>
              <w:tc>
                <w:tcPr>
                  <w:tcW w:w="1129" w:type="dxa"/>
                  <w:tcBorders>
                    <w:tl2br w:val="nil"/>
                    <w:tr2bl w:val="nil"/>
                  </w:tcBorders>
                  <w:noWrap w:val="0"/>
                  <w:vAlign w:val="center"/>
                </w:tcPr>
                <w:p w14:paraId="1118FFF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无组织</w:t>
                  </w:r>
                </w:p>
              </w:tc>
              <w:tc>
                <w:tcPr>
                  <w:tcW w:w="1654" w:type="dxa"/>
                  <w:tcBorders>
                    <w:tl2br w:val="nil"/>
                    <w:tr2bl w:val="nil"/>
                  </w:tcBorders>
                  <w:noWrap w:val="0"/>
                  <w:vAlign w:val="center"/>
                </w:tcPr>
                <w:p w14:paraId="76D3731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上风向1个、</w:t>
                  </w:r>
                </w:p>
                <w:p w14:paraId="7680675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下风向3个</w:t>
                  </w:r>
                </w:p>
              </w:tc>
              <w:tc>
                <w:tcPr>
                  <w:tcW w:w="1265" w:type="dxa"/>
                  <w:tcBorders>
                    <w:tl2br w:val="nil"/>
                    <w:tr2bl w:val="nil"/>
                  </w:tcBorders>
                  <w:noWrap w:val="0"/>
                  <w:vAlign w:val="center"/>
                </w:tcPr>
                <w:p w14:paraId="29ABE6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非甲烷总烃</w:t>
                  </w:r>
                </w:p>
              </w:tc>
              <w:tc>
                <w:tcPr>
                  <w:tcW w:w="1124" w:type="dxa"/>
                  <w:tcBorders>
                    <w:tl2br w:val="nil"/>
                    <w:tr2bl w:val="nil"/>
                  </w:tcBorders>
                  <w:noWrap w:val="0"/>
                  <w:vAlign w:val="center"/>
                </w:tcPr>
                <w:p w14:paraId="071A29A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 次/年</w:t>
                  </w:r>
                </w:p>
              </w:tc>
              <w:tc>
                <w:tcPr>
                  <w:tcW w:w="1827" w:type="dxa"/>
                  <w:vMerge w:val="continue"/>
                  <w:tcBorders>
                    <w:tl2br w:val="nil"/>
                    <w:tr2bl w:val="nil"/>
                  </w:tcBorders>
                  <w:noWrap w:val="0"/>
                  <w:vAlign w:val="center"/>
                </w:tcPr>
                <w:p w14:paraId="66DA0F31">
                  <w:pPr>
                    <w:pStyle w:val="51"/>
                    <w:spacing w:before="70" w:line="274" w:lineRule="exact"/>
                    <w:ind w:left="266"/>
                    <w:jc w:val="center"/>
                    <w:rPr>
                      <w:rFonts w:hint="default" w:ascii="Times New Roman" w:hAnsi="Times New Roman" w:eastAsia="仿宋_GB2312" w:cs="Times New Roman"/>
                      <w:color w:val="auto"/>
                      <w:spacing w:val="-3"/>
                      <w:position w:val="1"/>
                      <w:sz w:val="21"/>
                      <w:szCs w:val="21"/>
                    </w:rPr>
                  </w:pPr>
                </w:p>
              </w:tc>
            </w:tr>
          </w:tbl>
          <w:p w14:paraId="0559F38E">
            <w:pPr>
              <w:pStyle w:val="51"/>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default" w:ascii="Times New Roman" w:hAnsi="Times New Roman" w:eastAsia="仿宋_GB2312" w:cs="Times New Roman"/>
                <w:b/>
                <w:bCs/>
                <w:color w:val="auto"/>
                <w:spacing w:val="6"/>
                <w:sz w:val="24"/>
                <w:szCs w:val="24"/>
                <w:lang w:val="en-US" w:eastAsia="zh-CN"/>
              </w:rPr>
            </w:pPr>
            <w:r>
              <w:rPr>
                <w:rFonts w:hint="default" w:ascii="Times New Roman" w:hAnsi="Times New Roman" w:eastAsia="仿宋_GB2312" w:cs="Times New Roman"/>
                <w:b/>
                <w:bCs/>
                <w:color w:val="auto"/>
                <w:spacing w:val="6"/>
                <w:sz w:val="24"/>
                <w:szCs w:val="24"/>
                <w:lang w:val="en-US" w:eastAsia="zh-CN"/>
              </w:rPr>
              <w:t>表4-</w:t>
            </w:r>
            <w:r>
              <w:rPr>
                <w:rFonts w:hint="eastAsia" w:ascii="Times New Roman" w:hAnsi="Times New Roman" w:eastAsia="仿宋_GB2312" w:cs="Times New Roman"/>
                <w:b/>
                <w:bCs/>
                <w:color w:val="auto"/>
                <w:spacing w:val="6"/>
                <w:sz w:val="24"/>
                <w:szCs w:val="24"/>
                <w:lang w:val="en-US" w:eastAsia="zh-CN"/>
              </w:rPr>
              <w:t>8</w:t>
            </w:r>
            <w:r>
              <w:rPr>
                <w:rFonts w:hint="default" w:ascii="Times New Roman" w:hAnsi="Times New Roman" w:eastAsia="仿宋_GB2312" w:cs="Times New Roman"/>
                <w:b/>
                <w:bCs/>
                <w:color w:val="auto"/>
                <w:spacing w:val="6"/>
                <w:sz w:val="24"/>
                <w:szCs w:val="24"/>
                <w:lang w:val="en-US" w:eastAsia="zh-CN"/>
              </w:rPr>
              <w:t xml:space="preserve"> 加油站油气回收系统监测点位、监测指标及最低监测频次</w:t>
            </w:r>
          </w:p>
          <w:tbl>
            <w:tblPr>
              <w:tblStyle w:val="52"/>
              <w:tblW w:w="7932" w:type="dxa"/>
              <w:tblInd w:w="6"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4301"/>
              <w:gridCol w:w="1558"/>
              <w:gridCol w:w="2073"/>
            </w:tblGrid>
            <w:tr w14:paraId="6145A4FD">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4301" w:type="dxa"/>
                  <w:tcBorders>
                    <w:tl2br w:val="nil"/>
                    <w:tr2bl w:val="nil"/>
                  </w:tcBorders>
                  <w:noWrap w:val="0"/>
                  <w:vAlign w:val="center"/>
                </w:tcPr>
                <w:p w14:paraId="454D32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监测点位</w:t>
                  </w:r>
                </w:p>
              </w:tc>
              <w:tc>
                <w:tcPr>
                  <w:tcW w:w="1558" w:type="dxa"/>
                  <w:tcBorders>
                    <w:tl2br w:val="nil"/>
                    <w:tr2bl w:val="nil"/>
                  </w:tcBorders>
                  <w:noWrap w:val="0"/>
                  <w:vAlign w:val="center"/>
                </w:tcPr>
                <w:p w14:paraId="56A520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监测指标</w:t>
                  </w:r>
                </w:p>
              </w:tc>
              <w:tc>
                <w:tcPr>
                  <w:tcW w:w="2073" w:type="dxa"/>
                  <w:tcBorders>
                    <w:tl2br w:val="nil"/>
                    <w:tr2bl w:val="nil"/>
                  </w:tcBorders>
                  <w:noWrap w:val="0"/>
                  <w:vAlign w:val="center"/>
                </w:tcPr>
                <w:p w14:paraId="27197FB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b/>
                      <w:bCs/>
                      <w:color w:val="auto"/>
                      <w:sz w:val="21"/>
                      <w:szCs w:val="21"/>
                      <w:lang w:val="en-US" w:eastAsia="zh-CN"/>
                    </w:rPr>
                    <w:t>监测频次</w:t>
                  </w:r>
                </w:p>
              </w:tc>
            </w:tr>
            <w:tr w14:paraId="764A2FB9">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4301" w:type="dxa"/>
                  <w:vMerge w:val="restart"/>
                  <w:tcBorders>
                    <w:tl2br w:val="nil"/>
                    <w:tr2bl w:val="nil"/>
                  </w:tcBorders>
                  <w:noWrap w:val="0"/>
                  <w:vAlign w:val="center"/>
                </w:tcPr>
                <w:p w14:paraId="5405251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加油油气回收立管</w:t>
                  </w:r>
                </w:p>
              </w:tc>
              <w:tc>
                <w:tcPr>
                  <w:tcW w:w="1558" w:type="dxa"/>
                  <w:tcBorders>
                    <w:tl2br w:val="nil"/>
                    <w:tr2bl w:val="nil"/>
                  </w:tcBorders>
                  <w:noWrap w:val="0"/>
                  <w:vAlign w:val="center"/>
                </w:tcPr>
                <w:p w14:paraId="1663C1C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液阻</w:t>
                  </w:r>
                </w:p>
              </w:tc>
              <w:tc>
                <w:tcPr>
                  <w:tcW w:w="2073" w:type="dxa"/>
                  <w:tcBorders>
                    <w:tl2br w:val="nil"/>
                    <w:tr2bl w:val="nil"/>
                  </w:tcBorders>
                  <w:noWrap w:val="0"/>
                  <w:vAlign w:val="center"/>
                </w:tcPr>
                <w:p w14:paraId="0CD3AE2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 次/年</w:t>
                  </w:r>
                </w:p>
              </w:tc>
            </w:tr>
            <w:tr w14:paraId="6DD8CBEE">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4301" w:type="dxa"/>
                  <w:vMerge w:val="continue"/>
                  <w:tcBorders>
                    <w:tl2br w:val="nil"/>
                    <w:tr2bl w:val="nil"/>
                  </w:tcBorders>
                  <w:noWrap w:val="0"/>
                  <w:vAlign w:val="center"/>
                </w:tcPr>
                <w:p w14:paraId="682B6B5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p>
              </w:tc>
              <w:tc>
                <w:tcPr>
                  <w:tcW w:w="1558" w:type="dxa"/>
                  <w:tcBorders>
                    <w:tl2br w:val="nil"/>
                    <w:tr2bl w:val="nil"/>
                  </w:tcBorders>
                  <w:noWrap w:val="0"/>
                  <w:vAlign w:val="center"/>
                </w:tcPr>
                <w:p w14:paraId="517B9ED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密闭性</w:t>
                  </w:r>
                </w:p>
              </w:tc>
              <w:tc>
                <w:tcPr>
                  <w:tcW w:w="2073" w:type="dxa"/>
                  <w:tcBorders>
                    <w:tl2br w:val="nil"/>
                    <w:tr2bl w:val="nil"/>
                  </w:tcBorders>
                  <w:noWrap w:val="0"/>
                  <w:vAlign w:val="center"/>
                </w:tcPr>
                <w:p w14:paraId="46C185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 次/年</w:t>
                  </w:r>
                </w:p>
              </w:tc>
            </w:tr>
            <w:tr w14:paraId="2EE48327">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4301" w:type="dxa"/>
                  <w:tcBorders>
                    <w:tl2br w:val="nil"/>
                    <w:tr2bl w:val="nil"/>
                  </w:tcBorders>
                  <w:noWrap w:val="0"/>
                  <w:vAlign w:val="center"/>
                </w:tcPr>
                <w:p w14:paraId="45CEE81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加油枪喷管</w:t>
                  </w:r>
                </w:p>
              </w:tc>
              <w:tc>
                <w:tcPr>
                  <w:tcW w:w="1558" w:type="dxa"/>
                  <w:tcBorders>
                    <w:tl2br w:val="nil"/>
                    <w:tr2bl w:val="nil"/>
                  </w:tcBorders>
                  <w:noWrap w:val="0"/>
                  <w:vAlign w:val="center"/>
                </w:tcPr>
                <w:p w14:paraId="2C532B6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气液比</w:t>
                  </w:r>
                </w:p>
              </w:tc>
              <w:tc>
                <w:tcPr>
                  <w:tcW w:w="2073" w:type="dxa"/>
                  <w:tcBorders>
                    <w:tl2br w:val="nil"/>
                    <w:tr2bl w:val="nil"/>
                  </w:tcBorders>
                  <w:noWrap w:val="0"/>
                  <w:vAlign w:val="center"/>
                </w:tcPr>
                <w:p w14:paraId="460BBCA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1 次/年</w:t>
                  </w:r>
                </w:p>
              </w:tc>
            </w:tr>
          </w:tbl>
          <w:p w14:paraId="2201398F">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w:t>
            </w:r>
            <w:r>
              <w:rPr>
                <w:rFonts w:hint="eastAsia" w:ascii="Times New Roman" w:hAnsi="Times New Roman" w:eastAsia="仿宋_GB2312" w:cs="Times New Roman"/>
                <w:color w:val="auto"/>
                <w:sz w:val="24"/>
                <w:szCs w:val="24"/>
                <w:lang w:val="en-US" w:eastAsia="zh-CN"/>
              </w:rPr>
              <w:t>9</w:t>
            </w:r>
            <w:r>
              <w:rPr>
                <w:rFonts w:hint="default" w:ascii="Times New Roman" w:hAnsi="Times New Roman" w:eastAsia="仿宋_GB2312" w:cs="Times New Roman"/>
                <w:color w:val="auto"/>
                <w:sz w:val="24"/>
                <w:szCs w:val="24"/>
                <w:lang w:val="en-US" w:eastAsia="zh-CN"/>
              </w:rPr>
              <w:t>）大气环境影响分析</w:t>
            </w:r>
          </w:p>
          <w:p w14:paraId="6C1C2F6E">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根据《202</w:t>
            </w:r>
            <w:r>
              <w:rPr>
                <w:rFonts w:hint="eastAsia" w:eastAsia="仿宋_GB2312" w:cs="Times New Roman"/>
                <w:color w:val="auto"/>
                <w:sz w:val="24"/>
                <w:szCs w:val="24"/>
                <w:lang w:val="en-US" w:eastAsia="zh-CN"/>
              </w:rPr>
              <w:t>5</w:t>
            </w:r>
            <w:r>
              <w:rPr>
                <w:rFonts w:hint="default" w:ascii="Times New Roman" w:hAnsi="Times New Roman" w:eastAsia="仿宋_GB2312" w:cs="Times New Roman"/>
                <w:color w:val="auto"/>
                <w:sz w:val="24"/>
                <w:szCs w:val="24"/>
                <w:lang w:val="en-US" w:eastAsia="zh-CN"/>
              </w:rPr>
              <w:t>年东至县环境质量状况公报》（详见表3-1），东至县为</w:t>
            </w:r>
            <w:r>
              <w:rPr>
                <w:rFonts w:hint="eastAsia" w:eastAsia="仿宋_GB2312" w:cs="Times New Roman"/>
                <w:color w:val="auto"/>
                <w:sz w:val="24"/>
                <w:szCs w:val="24"/>
                <w:lang w:val="en-US" w:eastAsia="zh-CN"/>
              </w:rPr>
              <w:t>环境空气</w:t>
            </w:r>
            <w:r>
              <w:rPr>
                <w:rFonts w:hint="default" w:ascii="Times New Roman" w:hAnsi="Times New Roman" w:eastAsia="仿宋_GB2312" w:cs="Times New Roman"/>
                <w:color w:val="auto"/>
                <w:sz w:val="24"/>
                <w:szCs w:val="24"/>
                <w:lang w:val="en-US" w:eastAsia="zh-CN"/>
              </w:rPr>
              <w:t>达标区，所有基本因子均满足《环境空气质量标准》（GB 3095-20</w:t>
            </w:r>
            <w:r>
              <w:rPr>
                <w:rFonts w:hint="eastAsia" w:eastAsia="仿宋_GB2312" w:cs="Times New Roman"/>
                <w:color w:val="auto"/>
                <w:sz w:val="24"/>
                <w:szCs w:val="24"/>
                <w:lang w:val="en-US" w:eastAsia="zh-CN"/>
              </w:rPr>
              <w:t>26</w:t>
            </w:r>
            <w:r>
              <w:rPr>
                <w:rFonts w:hint="default" w:ascii="Times New Roman" w:hAnsi="Times New Roman" w:eastAsia="仿宋_GB2312" w:cs="Times New Roman"/>
                <w:color w:val="auto"/>
                <w:sz w:val="24"/>
                <w:szCs w:val="24"/>
                <w:lang w:val="en-US" w:eastAsia="zh-CN"/>
              </w:rPr>
              <w:t>）中</w:t>
            </w:r>
            <w:r>
              <w:rPr>
                <w:rFonts w:hint="eastAsia" w:eastAsia="仿宋_GB2312" w:cs="Times New Roman"/>
                <w:color w:val="auto"/>
                <w:sz w:val="24"/>
                <w:szCs w:val="24"/>
                <w:lang w:val="en-US" w:eastAsia="zh-CN"/>
              </w:rPr>
              <w:t>过渡阶段</w:t>
            </w:r>
            <w:r>
              <w:rPr>
                <w:rFonts w:hint="default" w:ascii="Times New Roman" w:hAnsi="Times New Roman" w:eastAsia="仿宋_GB2312" w:cs="Times New Roman"/>
                <w:color w:val="auto"/>
                <w:sz w:val="24"/>
                <w:szCs w:val="24"/>
                <w:lang w:val="en-US" w:eastAsia="zh-CN"/>
              </w:rPr>
              <w:t>二类区标准。本项目排放的污染物主要为非甲烷总烃，根据特征污染物环境质量现状评价结果（表3-2），非甲烷总烃浓度能够满足《大气污染物综合排放标准详解》中参考值。本项目运营期主要污染物为储罐大小呼吸、加油过程产生的油气逸散</w:t>
            </w:r>
            <w:r>
              <w:rPr>
                <w:rFonts w:hint="eastAsia" w:eastAsia="仿宋_GB2312" w:cs="Times New Roman"/>
                <w:color w:val="auto"/>
                <w:sz w:val="24"/>
                <w:szCs w:val="24"/>
                <w:lang w:val="en-US" w:eastAsia="zh-CN"/>
              </w:rPr>
              <w:t>、LNG加注过程排放的天然气</w:t>
            </w:r>
            <w:r>
              <w:rPr>
                <w:rFonts w:hint="default" w:ascii="Times New Roman" w:hAnsi="Times New Roman" w:eastAsia="仿宋_GB2312" w:cs="Times New Roman"/>
                <w:color w:val="auto"/>
                <w:sz w:val="24"/>
                <w:szCs w:val="24"/>
                <w:lang w:val="en-US" w:eastAsia="zh-CN"/>
              </w:rPr>
              <w:t>，采用卸油油气回收系统和加油油气回收系统进行回收处理，均为《排污许可证申请与核发技术规范 储油库、加油站》（HJ 1118-2020）中推荐可行技术，污染物排放浓度可满足相应的排放标准限值要求。因此，本项目对周边大气环境影响在可接受范围内。</w:t>
            </w:r>
          </w:p>
          <w:p w14:paraId="2F34ABFD">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2、废水</w:t>
            </w:r>
          </w:p>
          <w:p w14:paraId="05B4D626">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（1）废水源强</w:t>
            </w:r>
          </w:p>
          <w:p w14:paraId="10349320">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运营期废水主要为生活污水、洗车废水、站区保洁废水、初期雨水，根据前文“建设内容—公用工程”项目水平衡分析内容可知，项目各类废水排放量为生活用水846.8t/a、洗车废水394.2t/a、站区保洁废水175.5t/a、含油初期雨水</w:t>
            </w:r>
            <w:r>
              <w:rPr>
                <w:rFonts w:hint="eastAsia" w:eastAsia="仿宋_GB2312" w:cs="Times New Roman"/>
                <w:color w:val="auto"/>
                <w:sz w:val="24"/>
                <w:szCs w:val="24"/>
                <w:lang w:val="en-US" w:eastAsia="zh-CN"/>
              </w:rPr>
              <w:t>58</w:t>
            </w:r>
            <w:r>
              <w:rPr>
                <w:rFonts w:hint="default" w:ascii="Times New Roman" w:hAnsi="Times New Roman" w:eastAsia="仿宋_GB2312" w:cs="Times New Roman"/>
                <w:color w:val="auto"/>
                <w:sz w:val="24"/>
                <w:szCs w:val="24"/>
                <w:lang w:val="en-US" w:eastAsia="zh-CN"/>
              </w:rPr>
              <w:t>5t/a。</w:t>
            </w:r>
          </w:p>
          <w:p w14:paraId="6B0E2E94">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生活污水水质指标参照《生活污染源产排污系数手册》表1-1城镇生活源水污染物产生系数的四区产污系数，其他类型废水类比同类加油站项目（参考《芜湖中油石油有限公司海莲加油站原址改扩建项目》水质指标）确定产排污情况。参考项目劳动定员9人，比本项目多1人；参考项目产品方案为汽油2300t/a、柴油730t/a，高于本项目80%和30%；参考项目不涉及LNG，LNG部分不新增污染，对类比结果无明显影响；综合以上数据，参考项目具有可类比性。</w:t>
            </w:r>
          </w:p>
          <w:p w14:paraId="7B061A15">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本项目废水污染物排放源详见下表：</w:t>
            </w:r>
          </w:p>
          <w:p w14:paraId="248E1EA4">
            <w:pPr>
              <w:pStyle w:val="51"/>
              <w:spacing w:before="7" w:line="229" w:lineRule="auto"/>
              <w:jc w:val="center"/>
              <w:rPr>
                <w:rFonts w:hint="default" w:ascii="Times New Roman" w:hAnsi="Times New Roman" w:eastAsia="仿宋_GB2312" w:cs="Times New Roman"/>
                <w:b/>
                <w:bCs/>
                <w:color w:val="auto"/>
                <w:spacing w:val="6"/>
                <w:sz w:val="24"/>
                <w:szCs w:val="24"/>
                <w:highlight w:val="none"/>
                <w:lang w:val="en-US" w:eastAsia="zh-CN"/>
              </w:rPr>
            </w:pPr>
            <w:r>
              <w:rPr>
                <w:rFonts w:hint="default" w:ascii="Times New Roman" w:hAnsi="Times New Roman" w:eastAsia="仿宋_GB2312" w:cs="Times New Roman"/>
                <w:b/>
                <w:bCs/>
                <w:color w:val="auto"/>
                <w:spacing w:val="6"/>
                <w:sz w:val="24"/>
                <w:szCs w:val="24"/>
                <w:highlight w:val="none"/>
                <w:lang w:val="en-US" w:eastAsia="zh-CN"/>
              </w:rPr>
              <w:t>表4-</w:t>
            </w:r>
            <w:r>
              <w:rPr>
                <w:rFonts w:hint="eastAsia" w:ascii="Times New Roman" w:hAnsi="Times New Roman" w:eastAsia="仿宋_GB2312" w:cs="Times New Roman"/>
                <w:b/>
                <w:bCs/>
                <w:color w:val="auto"/>
                <w:spacing w:val="6"/>
                <w:sz w:val="24"/>
                <w:szCs w:val="24"/>
                <w:highlight w:val="none"/>
                <w:lang w:val="en-US" w:eastAsia="zh-CN"/>
              </w:rPr>
              <w:t>9</w:t>
            </w:r>
            <w:r>
              <w:rPr>
                <w:rFonts w:hint="default" w:ascii="Times New Roman" w:hAnsi="Times New Roman" w:eastAsia="仿宋_GB2312" w:cs="Times New Roman"/>
                <w:b/>
                <w:bCs/>
                <w:color w:val="auto"/>
                <w:spacing w:val="6"/>
                <w:sz w:val="24"/>
                <w:szCs w:val="24"/>
                <w:highlight w:val="none"/>
                <w:lang w:val="en-US" w:eastAsia="zh-CN"/>
              </w:rPr>
              <w:t xml:space="preserve"> 项目水污染物产生情况一览表</w:t>
            </w:r>
          </w:p>
          <w:tbl>
            <w:tblPr>
              <w:tblStyle w:val="20"/>
              <w:tblW w:w="7933"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253"/>
              <w:gridCol w:w="1033"/>
              <w:gridCol w:w="1456"/>
              <w:gridCol w:w="1588"/>
              <w:gridCol w:w="1332"/>
            </w:tblGrid>
            <w:tr w14:paraId="6A8735F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71" w:type="dxa"/>
                  <w:vMerge w:val="restart"/>
                  <w:tcBorders>
                    <w:tl2br w:val="nil"/>
                    <w:tr2bl w:val="nil"/>
                  </w:tcBorders>
                  <w:noWrap w:val="0"/>
                  <w:vAlign w:val="center"/>
                </w:tcPr>
                <w:p w14:paraId="2FFA45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废水类型</w:t>
                  </w:r>
                </w:p>
              </w:tc>
              <w:tc>
                <w:tcPr>
                  <w:tcW w:w="1253" w:type="dxa"/>
                  <w:vMerge w:val="restart"/>
                  <w:tcBorders>
                    <w:tl2br w:val="nil"/>
                    <w:tr2bl w:val="nil"/>
                  </w:tcBorders>
                  <w:noWrap w:val="0"/>
                  <w:vAlign w:val="center"/>
                </w:tcPr>
                <w:p w14:paraId="5CC83175">
                  <w:pPr>
                    <w:keepNext w:val="0"/>
                    <w:keepLines w:val="0"/>
                    <w:pageBreakBefore w:val="0"/>
                    <w:widowControl w:val="0"/>
                    <w:tabs>
                      <w:tab w:val="left" w:pos="6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废水量</w:t>
                  </w:r>
                </w:p>
                <w:p w14:paraId="58E4FCCF">
                  <w:pPr>
                    <w:keepNext w:val="0"/>
                    <w:keepLines w:val="0"/>
                    <w:pageBreakBefore w:val="0"/>
                    <w:widowControl w:val="0"/>
                    <w:tabs>
                      <w:tab w:val="left" w:pos="6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w:t>
                  </w:r>
                  <w:r>
                    <w:rPr>
                      <w:rFonts w:hint="default" w:ascii="Times New Roman" w:hAnsi="Times New Roman" w:eastAsia="仿宋_GB2312" w:cs="Times New Roman"/>
                      <w:b/>
                      <w:bCs/>
                      <w:color w:val="auto"/>
                      <w:sz w:val="21"/>
                      <w:szCs w:val="21"/>
                      <w:vertAlign w:val="baseline"/>
                      <w:lang w:val="en-US" w:eastAsia="zh-CN"/>
                    </w:rPr>
                    <w:t>m</w:t>
                  </w:r>
                  <w:r>
                    <w:rPr>
                      <w:rFonts w:hint="default" w:ascii="Times New Roman" w:hAnsi="Times New Roman" w:eastAsia="仿宋_GB2312" w:cs="Times New Roman"/>
                      <w:b/>
                      <w:bCs/>
                      <w:color w:val="auto"/>
                      <w:sz w:val="21"/>
                      <w:szCs w:val="21"/>
                      <w:vertAlign w:val="superscript"/>
                      <w:lang w:val="en-US" w:eastAsia="zh-CN"/>
                    </w:rPr>
                    <w:t>3</w:t>
                  </w:r>
                  <w:r>
                    <w:rPr>
                      <w:rFonts w:hint="default" w:ascii="Times New Roman" w:hAnsi="Times New Roman" w:eastAsia="仿宋_GB2312" w:cs="Times New Roman"/>
                      <w:b/>
                      <w:bCs/>
                      <w:color w:val="auto"/>
                      <w:sz w:val="21"/>
                      <w:szCs w:val="21"/>
                      <w:vertAlign w:val="baseline"/>
                      <w:lang w:val="en-US" w:eastAsia="zh-CN"/>
                    </w:rPr>
                    <w:t>/a</w:t>
                  </w:r>
                  <w:r>
                    <w:rPr>
                      <w:rFonts w:hint="default" w:ascii="Times New Roman" w:hAnsi="Times New Roman" w:eastAsia="仿宋_GB2312" w:cs="Times New Roman"/>
                      <w:b/>
                      <w:bCs/>
                      <w:color w:val="auto"/>
                      <w:sz w:val="21"/>
                      <w:szCs w:val="21"/>
                      <w:vertAlign w:val="baseline"/>
                      <w:lang w:eastAsia="zh-CN"/>
                    </w:rPr>
                    <w:t>）</w:t>
                  </w:r>
                </w:p>
              </w:tc>
              <w:tc>
                <w:tcPr>
                  <w:tcW w:w="5409" w:type="dxa"/>
                  <w:gridSpan w:val="4"/>
                  <w:tcBorders>
                    <w:tl2br w:val="nil"/>
                    <w:tr2bl w:val="nil"/>
                  </w:tcBorders>
                  <w:noWrap w:val="0"/>
                  <w:vAlign w:val="center"/>
                </w:tcPr>
                <w:p w14:paraId="07BED8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污染物产生量</w:t>
                  </w:r>
                </w:p>
              </w:tc>
            </w:tr>
            <w:tr w14:paraId="5E78AE6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271" w:type="dxa"/>
                  <w:vMerge w:val="continue"/>
                  <w:tcBorders>
                    <w:tl2br w:val="nil"/>
                    <w:tr2bl w:val="nil"/>
                  </w:tcBorders>
                  <w:noWrap w:val="0"/>
                  <w:vAlign w:val="center"/>
                </w:tcPr>
                <w:p w14:paraId="1BA592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rPr>
                  </w:pPr>
                </w:p>
              </w:tc>
              <w:tc>
                <w:tcPr>
                  <w:tcW w:w="1253" w:type="dxa"/>
                  <w:vMerge w:val="continue"/>
                  <w:tcBorders>
                    <w:tl2br w:val="nil"/>
                    <w:tr2bl w:val="nil"/>
                  </w:tcBorders>
                  <w:noWrap w:val="0"/>
                  <w:vAlign w:val="center"/>
                </w:tcPr>
                <w:p w14:paraId="1876ED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rPr>
                  </w:pPr>
                </w:p>
              </w:tc>
              <w:tc>
                <w:tcPr>
                  <w:tcW w:w="1033" w:type="dxa"/>
                  <w:tcBorders>
                    <w:tl2br w:val="nil"/>
                    <w:tr2bl w:val="nil"/>
                  </w:tcBorders>
                  <w:noWrap w:val="0"/>
                  <w:vAlign w:val="center"/>
                </w:tcPr>
                <w:p w14:paraId="363DB8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核算</w:t>
                  </w:r>
                </w:p>
                <w:p w14:paraId="756B20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方法</w:t>
                  </w:r>
                </w:p>
              </w:tc>
              <w:tc>
                <w:tcPr>
                  <w:tcW w:w="1456" w:type="dxa"/>
                  <w:tcBorders>
                    <w:tl2br w:val="nil"/>
                    <w:tr2bl w:val="nil"/>
                  </w:tcBorders>
                  <w:noWrap w:val="0"/>
                  <w:vAlign w:val="center"/>
                </w:tcPr>
                <w:p w14:paraId="7BAD77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污染物名称</w:t>
                  </w:r>
                </w:p>
              </w:tc>
              <w:tc>
                <w:tcPr>
                  <w:tcW w:w="1588" w:type="dxa"/>
                  <w:tcBorders>
                    <w:tl2br w:val="nil"/>
                    <w:tr2bl w:val="nil"/>
                  </w:tcBorders>
                  <w:noWrap w:val="0"/>
                  <w:vAlign w:val="center"/>
                </w:tcPr>
                <w:p w14:paraId="79C3F8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浓度（</w:t>
                  </w:r>
                  <w:r>
                    <w:rPr>
                      <w:rFonts w:hint="default" w:ascii="Times New Roman" w:hAnsi="Times New Roman" w:eastAsia="仿宋_GB2312" w:cs="Times New Roman"/>
                      <w:b/>
                      <w:bCs/>
                      <w:color w:val="auto"/>
                      <w:sz w:val="21"/>
                      <w:szCs w:val="21"/>
                      <w:vertAlign w:val="baseline"/>
                      <w:lang w:val="en-US" w:eastAsia="zh-CN"/>
                    </w:rPr>
                    <w:t>mg/L</w:t>
                  </w:r>
                  <w:r>
                    <w:rPr>
                      <w:rFonts w:hint="default" w:ascii="Times New Roman" w:hAnsi="Times New Roman" w:eastAsia="仿宋_GB2312" w:cs="Times New Roman"/>
                      <w:b/>
                      <w:bCs/>
                      <w:color w:val="auto"/>
                      <w:sz w:val="21"/>
                      <w:szCs w:val="21"/>
                      <w:vertAlign w:val="baseline"/>
                      <w:lang w:eastAsia="zh-CN"/>
                    </w:rPr>
                    <w:t>）</w:t>
                  </w:r>
                </w:p>
              </w:tc>
              <w:tc>
                <w:tcPr>
                  <w:tcW w:w="1332" w:type="dxa"/>
                  <w:tcBorders>
                    <w:tl2br w:val="nil"/>
                    <w:tr2bl w:val="nil"/>
                  </w:tcBorders>
                  <w:noWrap w:val="0"/>
                  <w:vAlign w:val="center"/>
                </w:tcPr>
                <w:p w14:paraId="3F4DEC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产生量（</w:t>
                  </w:r>
                  <w:r>
                    <w:rPr>
                      <w:rFonts w:hint="default" w:ascii="Times New Roman" w:hAnsi="Times New Roman" w:eastAsia="仿宋_GB2312" w:cs="Times New Roman"/>
                      <w:b/>
                      <w:bCs/>
                      <w:color w:val="auto"/>
                      <w:sz w:val="21"/>
                      <w:szCs w:val="21"/>
                      <w:vertAlign w:val="baseline"/>
                      <w:lang w:val="en-US" w:eastAsia="zh-CN"/>
                    </w:rPr>
                    <w:t>t/a</w:t>
                  </w:r>
                  <w:r>
                    <w:rPr>
                      <w:rFonts w:hint="default" w:ascii="Times New Roman" w:hAnsi="Times New Roman" w:eastAsia="仿宋_GB2312" w:cs="Times New Roman"/>
                      <w:b/>
                      <w:bCs/>
                      <w:color w:val="auto"/>
                      <w:sz w:val="21"/>
                      <w:szCs w:val="21"/>
                      <w:vertAlign w:val="baseline"/>
                      <w:lang w:eastAsia="zh-CN"/>
                    </w:rPr>
                    <w:t>）</w:t>
                  </w:r>
                </w:p>
              </w:tc>
            </w:tr>
            <w:tr w14:paraId="3869B47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restart"/>
                  <w:tcBorders>
                    <w:tl2br w:val="nil"/>
                    <w:tr2bl w:val="nil"/>
                  </w:tcBorders>
                  <w:noWrap w:val="0"/>
                  <w:vAlign w:val="center"/>
                </w:tcPr>
                <w:p w14:paraId="1387D2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生活污水</w:t>
                  </w:r>
                </w:p>
              </w:tc>
              <w:tc>
                <w:tcPr>
                  <w:tcW w:w="1253" w:type="dxa"/>
                  <w:vMerge w:val="restart"/>
                  <w:tcBorders>
                    <w:tl2br w:val="nil"/>
                    <w:tr2bl w:val="nil"/>
                  </w:tcBorders>
                  <w:noWrap w:val="0"/>
                  <w:vAlign w:val="center"/>
                </w:tcPr>
                <w:p w14:paraId="5B6309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846.8</w:t>
                  </w:r>
                </w:p>
              </w:tc>
              <w:tc>
                <w:tcPr>
                  <w:tcW w:w="1033" w:type="dxa"/>
                  <w:vMerge w:val="restart"/>
                  <w:tcBorders>
                    <w:tl2br w:val="nil"/>
                    <w:tr2bl w:val="nil"/>
                  </w:tcBorders>
                  <w:noWrap w:val="0"/>
                  <w:vAlign w:val="center"/>
                </w:tcPr>
                <w:p w14:paraId="6ED2A4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产污系数</w:t>
                  </w:r>
                </w:p>
              </w:tc>
              <w:tc>
                <w:tcPr>
                  <w:tcW w:w="1456" w:type="dxa"/>
                  <w:tcBorders>
                    <w:tl2br w:val="nil"/>
                    <w:tr2bl w:val="nil"/>
                  </w:tcBorders>
                  <w:noWrap w:val="0"/>
                  <w:vAlign w:val="center"/>
                </w:tcPr>
                <w:p w14:paraId="6E164D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COD</w:t>
                  </w:r>
                </w:p>
              </w:tc>
              <w:tc>
                <w:tcPr>
                  <w:tcW w:w="1588" w:type="dxa"/>
                  <w:tcBorders>
                    <w:tl2br w:val="nil"/>
                    <w:tr2bl w:val="nil"/>
                  </w:tcBorders>
                  <w:noWrap w:val="0"/>
                  <w:vAlign w:val="center"/>
                </w:tcPr>
                <w:p w14:paraId="1EF39A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340</w:t>
                  </w:r>
                </w:p>
              </w:tc>
              <w:tc>
                <w:tcPr>
                  <w:tcW w:w="1332" w:type="dxa"/>
                  <w:tcBorders>
                    <w:tl2br w:val="nil"/>
                    <w:tr2bl w:val="nil"/>
                  </w:tcBorders>
                  <w:noWrap w:val="0"/>
                  <w:vAlign w:val="center"/>
                </w:tcPr>
                <w:p w14:paraId="0DC499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0.2879</w:t>
                  </w:r>
                </w:p>
              </w:tc>
            </w:tr>
            <w:tr w14:paraId="611353F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38E45B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253" w:type="dxa"/>
                  <w:vMerge w:val="continue"/>
                  <w:tcBorders>
                    <w:tl2br w:val="nil"/>
                    <w:tr2bl w:val="nil"/>
                  </w:tcBorders>
                  <w:noWrap w:val="0"/>
                  <w:vAlign w:val="center"/>
                </w:tcPr>
                <w:p w14:paraId="2BAA4A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033" w:type="dxa"/>
                  <w:vMerge w:val="continue"/>
                  <w:tcBorders>
                    <w:tl2br w:val="nil"/>
                    <w:tr2bl w:val="nil"/>
                  </w:tcBorders>
                  <w:noWrap w:val="0"/>
                  <w:vAlign w:val="center"/>
                </w:tcPr>
                <w:p w14:paraId="03E56E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456" w:type="dxa"/>
                  <w:tcBorders>
                    <w:tl2br w:val="nil"/>
                    <w:tr2bl w:val="nil"/>
                  </w:tcBorders>
                  <w:noWrap w:val="0"/>
                  <w:vAlign w:val="center"/>
                </w:tcPr>
                <w:p w14:paraId="7073DA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BOD</w:t>
                  </w:r>
                  <w:r>
                    <w:rPr>
                      <w:rFonts w:hint="default" w:ascii="Times New Roman" w:hAnsi="Times New Roman" w:eastAsia="仿宋_GB2312" w:cs="Times New Roman"/>
                      <w:color w:val="auto"/>
                      <w:sz w:val="21"/>
                      <w:szCs w:val="21"/>
                      <w:vertAlign w:val="subscript"/>
                      <w:lang w:val="en-US" w:eastAsia="zh-CN"/>
                    </w:rPr>
                    <w:t>5</w:t>
                  </w:r>
                </w:p>
              </w:tc>
              <w:tc>
                <w:tcPr>
                  <w:tcW w:w="1588" w:type="dxa"/>
                  <w:tcBorders>
                    <w:tl2br w:val="nil"/>
                    <w:tr2bl w:val="nil"/>
                  </w:tcBorders>
                  <w:noWrap w:val="0"/>
                  <w:vAlign w:val="center"/>
                </w:tcPr>
                <w:p w14:paraId="2991DE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160</w:t>
                  </w:r>
                </w:p>
              </w:tc>
              <w:tc>
                <w:tcPr>
                  <w:tcW w:w="1332" w:type="dxa"/>
                  <w:tcBorders>
                    <w:tl2br w:val="nil"/>
                    <w:tr2bl w:val="nil"/>
                  </w:tcBorders>
                  <w:noWrap w:val="0"/>
                  <w:vAlign w:val="center"/>
                </w:tcPr>
                <w:p w14:paraId="7640AF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0.1355</w:t>
                  </w:r>
                </w:p>
              </w:tc>
            </w:tr>
            <w:tr w14:paraId="3C58C60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616762F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253" w:type="dxa"/>
                  <w:vMerge w:val="continue"/>
                  <w:tcBorders>
                    <w:tl2br w:val="nil"/>
                    <w:tr2bl w:val="nil"/>
                  </w:tcBorders>
                  <w:noWrap w:val="0"/>
                  <w:vAlign w:val="center"/>
                </w:tcPr>
                <w:p w14:paraId="6395DB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033" w:type="dxa"/>
                  <w:vMerge w:val="continue"/>
                  <w:tcBorders>
                    <w:tl2br w:val="nil"/>
                    <w:tr2bl w:val="nil"/>
                  </w:tcBorders>
                  <w:noWrap w:val="0"/>
                  <w:vAlign w:val="center"/>
                </w:tcPr>
                <w:p w14:paraId="652250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456" w:type="dxa"/>
                  <w:tcBorders>
                    <w:tl2br w:val="nil"/>
                    <w:tr2bl w:val="nil"/>
                  </w:tcBorders>
                  <w:noWrap w:val="0"/>
                  <w:vAlign w:val="center"/>
                </w:tcPr>
                <w:p w14:paraId="1E5014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SS</w:t>
                  </w:r>
                </w:p>
              </w:tc>
              <w:tc>
                <w:tcPr>
                  <w:tcW w:w="1588" w:type="dxa"/>
                  <w:tcBorders>
                    <w:tl2br w:val="nil"/>
                    <w:tr2bl w:val="nil"/>
                  </w:tcBorders>
                  <w:noWrap w:val="0"/>
                  <w:vAlign w:val="center"/>
                </w:tcPr>
                <w:p w14:paraId="6E7998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200</w:t>
                  </w:r>
                </w:p>
              </w:tc>
              <w:tc>
                <w:tcPr>
                  <w:tcW w:w="1332" w:type="dxa"/>
                  <w:tcBorders>
                    <w:tl2br w:val="nil"/>
                    <w:tr2bl w:val="nil"/>
                  </w:tcBorders>
                  <w:noWrap w:val="0"/>
                  <w:vAlign w:val="center"/>
                </w:tcPr>
                <w:p w14:paraId="72CE51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0.1694</w:t>
                  </w:r>
                </w:p>
              </w:tc>
            </w:tr>
            <w:tr w14:paraId="158B171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42E1E0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253" w:type="dxa"/>
                  <w:vMerge w:val="continue"/>
                  <w:tcBorders>
                    <w:tl2br w:val="nil"/>
                    <w:tr2bl w:val="nil"/>
                  </w:tcBorders>
                  <w:noWrap w:val="0"/>
                  <w:vAlign w:val="center"/>
                </w:tcPr>
                <w:p w14:paraId="5F42E7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033" w:type="dxa"/>
                  <w:vMerge w:val="continue"/>
                  <w:tcBorders>
                    <w:tl2br w:val="nil"/>
                    <w:tr2bl w:val="nil"/>
                  </w:tcBorders>
                  <w:noWrap w:val="0"/>
                  <w:vAlign w:val="center"/>
                </w:tcPr>
                <w:p w14:paraId="29BC7C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456" w:type="dxa"/>
                  <w:tcBorders>
                    <w:tl2br w:val="nil"/>
                    <w:tr2bl w:val="nil"/>
                  </w:tcBorders>
                  <w:noWrap w:val="0"/>
                  <w:vAlign w:val="center"/>
                </w:tcPr>
                <w:p w14:paraId="7674E47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氨氮</w:t>
                  </w:r>
                </w:p>
              </w:tc>
              <w:tc>
                <w:tcPr>
                  <w:tcW w:w="1588" w:type="dxa"/>
                  <w:tcBorders>
                    <w:tl2br w:val="nil"/>
                    <w:tr2bl w:val="nil"/>
                  </w:tcBorders>
                  <w:noWrap w:val="0"/>
                  <w:vAlign w:val="center"/>
                </w:tcPr>
                <w:p w14:paraId="303732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25</w:t>
                  </w:r>
                </w:p>
              </w:tc>
              <w:tc>
                <w:tcPr>
                  <w:tcW w:w="1332" w:type="dxa"/>
                  <w:tcBorders>
                    <w:tl2br w:val="nil"/>
                    <w:tr2bl w:val="nil"/>
                  </w:tcBorders>
                  <w:noWrap w:val="0"/>
                  <w:vAlign w:val="center"/>
                </w:tcPr>
                <w:p w14:paraId="33F5D8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0.0212</w:t>
                  </w:r>
                </w:p>
              </w:tc>
            </w:tr>
            <w:tr w14:paraId="6E6F11D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785DEC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253" w:type="dxa"/>
                  <w:vMerge w:val="continue"/>
                  <w:tcBorders>
                    <w:tl2br w:val="nil"/>
                    <w:tr2bl w:val="nil"/>
                  </w:tcBorders>
                  <w:noWrap w:val="0"/>
                  <w:vAlign w:val="center"/>
                </w:tcPr>
                <w:p w14:paraId="41CA1A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033" w:type="dxa"/>
                  <w:vMerge w:val="continue"/>
                  <w:tcBorders>
                    <w:tl2br w:val="nil"/>
                    <w:tr2bl w:val="nil"/>
                  </w:tcBorders>
                  <w:noWrap w:val="0"/>
                  <w:vAlign w:val="center"/>
                </w:tcPr>
                <w:p w14:paraId="2DEC49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456" w:type="dxa"/>
                  <w:tcBorders>
                    <w:tl2br w:val="nil"/>
                    <w:tr2bl w:val="nil"/>
                  </w:tcBorders>
                  <w:noWrap w:val="0"/>
                  <w:vAlign w:val="center"/>
                </w:tcPr>
                <w:p w14:paraId="6461DB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eastAsia" w:ascii="Times New Roman" w:hAnsi="Times New Roman" w:eastAsia="仿宋_GB2312" w:cs="Times New Roman"/>
                      <w:color w:val="auto"/>
                      <w:sz w:val="21"/>
                      <w:szCs w:val="21"/>
                      <w:vertAlign w:val="baseline"/>
                      <w:lang w:eastAsia="zh-CN"/>
                    </w:rPr>
                    <w:t>总磷</w:t>
                  </w:r>
                </w:p>
              </w:tc>
              <w:tc>
                <w:tcPr>
                  <w:tcW w:w="1588" w:type="dxa"/>
                  <w:tcBorders>
                    <w:tl2br w:val="nil"/>
                    <w:tr2bl w:val="nil"/>
                  </w:tcBorders>
                  <w:noWrap w:val="0"/>
                  <w:vAlign w:val="center"/>
                </w:tcPr>
                <w:p w14:paraId="096D3A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3</w:t>
                  </w:r>
                </w:p>
              </w:tc>
              <w:tc>
                <w:tcPr>
                  <w:tcW w:w="1332" w:type="dxa"/>
                  <w:tcBorders>
                    <w:tl2br w:val="nil"/>
                    <w:tr2bl w:val="nil"/>
                  </w:tcBorders>
                  <w:noWrap w:val="0"/>
                  <w:vAlign w:val="center"/>
                </w:tcPr>
                <w:p w14:paraId="4C6DAD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0.0025</w:t>
                  </w:r>
                </w:p>
              </w:tc>
            </w:tr>
            <w:tr w14:paraId="6A5C8E1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1AAE33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253" w:type="dxa"/>
                  <w:vMerge w:val="continue"/>
                  <w:tcBorders>
                    <w:tl2br w:val="nil"/>
                    <w:tr2bl w:val="nil"/>
                  </w:tcBorders>
                  <w:noWrap w:val="0"/>
                  <w:vAlign w:val="center"/>
                </w:tcPr>
                <w:p w14:paraId="141F50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033" w:type="dxa"/>
                  <w:vMerge w:val="continue"/>
                  <w:tcBorders>
                    <w:tl2br w:val="nil"/>
                    <w:tr2bl w:val="nil"/>
                  </w:tcBorders>
                  <w:noWrap w:val="0"/>
                  <w:vAlign w:val="center"/>
                </w:tcPr>
                <w:p w14:paraId="1B01E7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456" w:type="dxa"/>
                  <w:tcBorders>
                    <w:tl2br w:val="nil"/>
                    <w:tr2bl w:val="nil"/>
                  </w:tcBorders>
                  <w:noWrap w:val="0"/>
                  <w:vAlign w:val="center"/>
                </w:tcPr>
                <w:p w14:paraId="7CD57E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eastAsia" w:ascii="Times New Roman" w:hAnsi="Times New Roman" w:eastAsia="仿宋_GB2312" w:cs="Times New Roman"/>
                      <w:color w:val="auto"/>
                      <w:sz w:val="21"/>
                      <w:szCs w:val="21"/>
                      <w:vertAlign w:val="baseline"/>
                      <w:lang w:eastAsia="zh-CN"/>
                    </w:rPr>
                    <w:t>总氮</w:t>
                  </w:r>
                </w:p>
              </w:tc>
              <w:tc>
                <w:tcPr>
                  <w:tcW w:w="1588" w:type="dxa"/>
                  <w:tcBorders>
                    <w:tl2br w:val="nil"/>
                    <w:tr2bl w:val="nil"/>
                  </w:tcBorders>
                  <w:noWrap w:val="0"/>
                  <w:vAlign w:val="center"/>
                </w:tcPr>
                <w:p w14:paraId="6E9BC9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40</w:t>
                  </w:r>
                </w:p>
              </w:tc>
              <w:tc>
                <w:tcPr>
                  <w:tcW w:w="1332" w:type="dxa"/>
                  <w:tcBorders>
                    <w:tl2br w:val="nil"/>
                    <w:tr2bl w:val="nil"/>
                  </w:tcBorders>
                  <w:noWrap w:val="0"/>
                  <w:vAlign w:val="center"/>
                </w:tcPr>
                <w:p w14:paraId="3154AE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0.0339</w:t>
                  </w:r>
                </w:p>
              </w:tc>
            </w:tr>
            <w:tr w14:paraId="0032A09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restart"/>
                  <w:tcBorders>
                    <w:tl2br w:val="nil"/>
                    <w:tr2bl w:val="nil"/>
                  </w:tcBorders>
                  <w:noWrap w:val="0"/>
                  <w:vAlign w:val="center"/>
                </w:tcPr>
                <w:p w14:paraId="0DEEF6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洗车废水</w:t>
                  </w:r>
                </w:p>
              </w:tc>
              <w:tc>
                <w:tcPr>
                  <w:tcW w:w="1253" w:type="dxa"/>
                  <w:vMerge w:val="restart"/>
                  <w:tcBorders>
                    <w:tl2br w:val="nil"/>
                    <w:tr2bl w:val="nil"/>
                  </w:tcBorders>
                  <w:noWrap w:val="0"/>
                  <w:vAlign w:val="center"/>
                </w:tcPr>
                <w:p w14:paraId="1A128E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394.2</w:t>
                  </w:r>
                </w:p>
              </w:tc>
              <w:tc>
                <w:tcPr>
                  <w:tcW w:w="1033" w:type="dxa"/>
                  <w:vMerge w:val="restart"/>
                  <w:tcBorders>
                    <w:tl2br w:val="nil"/>
                    <w:tr2bl w:val="nil"/>
                  </w:tcBorders>
                  <w:noWrap w:val="0"/>
                  <w:vAlign w:val="center"/>
                </w:tcPr>
                <w:p w14:paraId="35A94F5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类比</w:t>
                  </w:r>
                </w:p>
              </w:tc>
              <w:tc>
                <w:tcPr>
                  <w:tcW w:w="1456" w:type="dxa"/>
                  <w:tcBorders>
                    <w:tl2br w:val="nil"/>
                    <w:tr2bl w:val="nil"/>
                  </w:tcBorders>
                  <w:noWrap w:val="0"/>
                  <w:vAlign w:val="center"/>
                </w:tcPr>
                <w:p w14:paraId="6EB4C9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COD</w:t>
                  </w:r>
                </w:p>
              </w:tc>
              <w:tc>
                <w:tcPr>
                  <w:tcW w:w="1588" w:type="dxa"/>
                  <w:tcBorders>
                    <w:tl2br w:val="nil"/>
                    <w:tr2bl w:val="nil"/>
                  </w:tcBorders>
                  <w:noWrap w:val="0"/>
                  <w:vAlign w:val="center"/>
                </w:tcPr>
                <w:p w14:paraId="14D49F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350</w:t>
                  </w:r>
                </w:p>
              </w:tc>
              <w:tc>
                <w:tcPr>
                  <w:tcW w:w="1332" w:type="dxa"/>
                  <w:tcBorders>
                    <w:tl2br w:val="nil"/>
                    <w:tr2bl w:val="nil"/>
                  </w:tcBorders>
                  <w:noWrap w:val="0"/>
                  <w:vAlign w:val="center"/>
                </w:tcPr>
                <w:p w14:paraId="12F835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0.1380</w:t>
                  </w:r>
                </w:p>
              </w:tc>
            </w:tr>
            <w:tr w14:paraId="09B4B5B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002A4C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253" w:type="dxa"/>
                  <w:vMerge w:val="continue"/>
                  <w:tcBorders>
                    <w:tl2br w:val="nil"/>
                    <w:tr2bl w:val="nil"/>
                  </w:tcBorders>
                  <w:noWrap w:val="0"/>
                  <w:vAlign w:val="center"/>
                </w:tcPr>
                <w:p w14:paraId="2BD086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033" w:type="dxa"/>
                  <w:vMerge w:val="continue"/>
                  <w:tcBorders>
                    <w:tl2br w:val="nil"/>
                    <w:tr2bl w:val="nil"/>
                  </w:tcBorders>
                  <w:noWrap w:val="0"/>
                  <w:vAlign w:val="center"/>
                </w:tcPr>
                <w:p w14:paraId="773D639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456" w:type="dxa"/>
                  <w:tcBorders>
                    <w:tl2br w:val="nil"/>
                    <w:tr2bl w:val="nil"/>
                  </w:tcBorders>
                  <w:noWrap w:val="0"/>
                  <w:vAlign w:val="center"/>
                </w:tcPr>
                <w:p w14:paraId="07F3F3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SS</w:t>
                  </w:r>
                </w:p>
              </w:tc>
              <w:tc>
                <w:tcPr>
                  <w:tcW w:w="1588" w:type="dxa"/>
                  <w:tcBorders>
                    <w:tl2br w:val="nil"/>
                    <w:tr2bl w:val="nil"/>
                  </w:tcBorders>
                  <w:noWrap w:val="0"/>
                  <w:vAlign w:val="center"/>
                </w:tcPr>
                <w:p w14:paraId="691A91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300</w:t>
                  </w:r>
                </w:p>
              </w:tc>
              <w:tc>
                <w:tcPr>
                  <w:tcW w:w="1332" w:type="dxa"/>
                  <w:tcBorders>
                    <w:tl2br w:val="nil"/>
                    <w:tr2bl w:val="nil"/>
                  </w:tcBorders>
                  <w:noWrap w:val="0"/>
                  <w:vAlign w:val="center"/>
                </w:tcPr>
                <w:p w14:paraId="6E7B0D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0.1183</w:t>
                  </w:r>
                </w:p>
              </w:tc>
            </w:tr>
            <w:tr w14:paraId="3923129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284306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253" w:type="dxa"/>
                  <w:vMerge w:val="continue"/>
                  <w:tcBorders>
                    <w:tl2br w:val="nil"/>
                    <w:tr2bl w:val="nil"/>
                  </w:tcBorders>
                  <w:noWrap w:val="0"/>
                  <w:vAlign w:val="center"/>
                </w:tcPr>
                <w:p w14:paraId="578B81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033" w:type="dxa"/>
                  <w:vMerge w:val="continue"/>
                  <w:tcBorders>
                    <w:tl2br w:val="nil"/>
                    <w:tr2bl w:val="nil"/>
                  </w:tcBorders>
                  <w:noWrap w:val="0"/>
                  <w:vAlign w:val="center"/>
                </w:tcPr>
                <w:p w14:paraId="6F4AEE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456" w:type="dxa"/>
                  <w:tcBorders>
                    <w:tl2br w:val="nil"/>
                    <w:tr2bl w:val="nil"/>
                  </w:tcBorders>
                  <w:noWrap w:val="0"/>
                  <w:vAlign w:val="center"/>
                </w:tcPr>
                <w:p w14:paraId="58569F0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石油类</w:t>
                  </w:r>
                </w:p>
              </w:tc>
              <w:tc>
                <w:tcPr>
                  <w:tcW w:w="1588" w:type="dxa"/>
                  <w:tcBorders>
                    <w:tl2br w:val="nil"/>
                    <w:tr2bl w:val="nil"/>
                  </w:tcBorders>
                  <w:noWrap w:val="0"/>
                  <w:vAlign w:val="center"/>
                </w:tcPr>
                <w:p w14:paraId="62089F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40</w:t>
                  </w:r>
                </w:p>
              </w:tc>
              <w:tc>
                <w:tcPr>
                  <w:tcW w:w="1332" w:type="dxa"/>
                  <w:tcBorders>
                    <w:tl2br w:val="nil"/>
                    <w:tr2bl w:val="nil"/>
                  </w:tcBorders>
                  <w:noWrap w:val="0"/>
                  <w:vAlign w:val="center"/>
                </w:tcPr>
                <w:p w14:paraId="42F260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0.0158</w:t>
                  </w:r>
                </w:p>
              </w:tc>
            </w:tr>
            <w:tr w14:paraId="24EECF6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613415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253" w:type="dxa"/>
                  <w:vMerge w:val="continue"/>
                  <w:tcBorders>
                    <w:tl2br w:val="nil"/>
                    <w:tr2bl w:val="nil"/>
                  </w:tcBorders>
                  <w:noWrap w:val="0"/>
                  <w:vAlign w:val="center"/>
                </w:tcPr>
                <w:p w14:paraId="070762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033" w:type="dxa"/>
                  <w:vMerge w:val="continue"/>
                  <w:tcBorders>
                    <w:tl2br w:val="nil"/>
                    <w:tr2bl w:val="nil"/>
                  </w:tcBorders>
                  <w:noWrap w:val="0"/>
                  <w:vAlign w:val="center"/>
                </w:tcPr>
                <w:p w14:paraId="103A2E8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456" w:type="dxa"/>
                  <w:tcBorders>
                    <w:tl2br w:val="nil"/>
                    <w:tr2bl w:val="nil"/>
                  </w:tcBorders>
                  <w:noWrap w:val="0"/>
                  <w:vAlign w:val="center"/>
                </w:tcPr>
                <w:p w14:paraId="04B84B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LAS</w:t>
                  </w:r>
                </w:p>
              </w:tc>
              <w:tc>
                <w:tcPr>
                  <w:tcW w:w="1588" w:type="dxa"/>
                  <w:tcBorders>
                    <w:tl2br w:val="nil"/>
                    <w:tr2bl w:val="nil"/>
                  </w:tcBorders>
                  <w:noWrap w:val="0"/>
                  <w:vAlign w:val="center"/>
                </w:tcPr>
                <w:p w14:paraId="77D0C64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w:t>
                  </w:r>
                </w:p>
              </w:tc>
              <w:tc>
                <w:tcPr>
                  <w:tcW w:w="1332" w:type="dxa"/>
                  <w:tcBorders>
                    <w:tl2br w:val="nil"/>
                    <w:tr2bl w:val="nil"/>
                  </w:tcBorders>
                  <w:noWrap w:val="0"/>
                  <w:vAlign w:val="center"/>
                </w:tcPr>
                <w:p w14:paraId="23231E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0.0039</w:t>
                  </w:r>
                </w:p>
              </w:tc>
            </w:tr>
            <w:tr w14:paraId="6E538F9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restart"/>
                  <w:tcBorders>
                    <w:tl2br w:val="nil"/>
                    <w:tr2bl w:val="nil"/>
                  </w:tcBorders>
                  <w:noWrap w:val="0"/>
                  <w:vAlign w:val="center"/>
                </w:tcPr>
                <w:p w14:paraId="146CC0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eastAsia="zh-CN"/>
                    </w:rPr>
                    <w:t>保洁废水</w:t>
                  </w:r>
                </w:p>
              </w:tc>
              <w:tc>
                <w:tcPr>
                  <w:tcW w:w="1253" w:type="dxa"/>
                  <w:vMerge w:val="restart"/>
                  <w:tcBorders>
                    <w:tl2br w:val="nil"/>
                    <w:tr2bl w:val="nil"/>
                  </w:tcBorders>
                  <w:noWrap w:val="0"/>
                  <w:vAlign w:val="center"/>
                </w:tcPr>
                <w:p w14:paraId="1E910B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kern w:val="2"/>
                      <w:sz w:val="21"/>
                      <w:szCs w:val="21"/>
                      <w:vertAlign w:val="baseline"/>
                      <w:lang w:val="en-US" w:eastAsia="zh-CN" w:bidi="ar-SA"/>
                    </w:rPr>
                    <w:t>175.5</w:t>
                  </w:r>
                </w:p>
              </w:tc>
              <w:tc>
                <w:tcPr>
                  <w:tcW w:w="1033" w:type="dxa"/>
                  <w:vMerge w:val="restart"/>
                  <w:tcBorders>
                    <w:tl2br w:val="nil"/>
                    <w:tr2bl w:val="nil"/>
                  </w:tcBorders>
                  <w:noWrap w:val="0"/>
                  <w:vAlign w:val="center"/>
                </w:tcPr>
                <w:p w14:paraId="6FECF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类比</w:t>
                  </w:r>
                </w:p>
              </w:tc>
              <w:tc>
                <w:tcPr>
                  <w:tcW w:w="1456" w:type="dxa"/>
                  <w:tcBorders>
                    <w:tl2br w:val="nil"/>
                    <w:tr2bl w:val="nil"/>
                  </w:tcBorders>
                  <w:noWrap w:val="0"/>
                  <w:vAlign w:val="center"/>
                </w:tcPr>
                <w:p w14:paraId="3AB372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COD</w:t>
                  </w:r>
                </w:p>
              </w:tc>
              <w:tc>
                <w:tcPr>
                  <w:tcW w:w="1588" w:type="dxa"/>
                  <w:tcBorders>
                    <w:tl2br w:val="nil"/>
                    <w:tr2bl w:val="nil"/>
                  </w:tcBorders>
                  <w:noWrap w:val="0"/>
                  <w:vAlign w:val="center"/>
                </w:tcPr>
                <w:p w14:paraId="3BF0FB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350</w:t>
                  </w:r>
                </w:p>
              </w:tc>
              <w:tc>
                <w:tcPr>
                  <w:tcW w:w="1332" w:type="dxa"/>
                  <w:tcBorders>
                    <w:tl2br w:val="nil"/>
                    <w:tr2bl w:val="nil"/>
                  </w:tcBorders>
                  <w:noWrap w:val="0"/>
                  <w:vAlign w:val="center"/>
                </w:tcPr>
                <w:p w14:paraId="538518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0.0614</w:t>
                  </w:r>
                </w:p>
              </w:tc>
            </w:tr>
            <w:tr w14:paraId="41DAA1E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31EB47F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p>
              </w:tc>
              <w:tc>
                <w:tcPr>
                  <w:tcW w:w="1253" w:type="dxa"/>
                  <w:vMerge w:val="continue"/>
                  <w:tcBorders>
                    <w:tl2br w:val="nil"/>
                    <w:tr2bl w:val="nil"/>
                  </w:tcBorders>
                  <w:noWrap w:val="0"/>
                  <w:vAlign w:val="center"/>
                </w:tcPr>
                <w:p w14:paraId="297ACE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p>
              </w:tc>
              <w:tc>
                <w:tcPr>
                  <w:tcW w:w="1033" w:type="dxa"/>
                  <w:vMerge w:val="continue"/>
                  <w:tcBorders>
                    <w:tl2br w:val="nil"/>
                    <w:tr2bl w:val="nil"/>
                  </w:tcBorders>
                  <w:noWrap w:val="0"/>
                  <w:vAlign w:val="center"/>
                </w:tcPr>
                <w:p w14:paraId="316ADF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p>
              </w:tc>
              <w:tc>
                <w:tcPr>
                  <w:tcW w:w="1456" w:type="dxa"/>
                  <w:tcBorders>
                    <w:tl2br w:val="nil"/>
                    <w:tr2bl w:val="nil"/>
                  </w:tcBorders>
                  <w:noWrap w:val="0"/>
                  <w:vAlign w:val="center"/>
                </w:tcPr>
                <w:p w14:paraId="178367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SS</w:t>
                  </w:r>
                </w:p>
              </w:tc>
              <w:tc>
                <w:tcPr>
                  <w:tcW w:w="1588" w:type="dxa"/>
                  <w:tcBorders>
                    <w:tl2br w:val="nil"/>
                    <w:tr2bl w:val="nil"/>
                  </w:tcBorders>
                  <w:noWrap w:val="0"/>
                  <w:vAlign w:val="center"/>
                </w:tcPr>
                <w:p w14:paraId="500253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200</w:t>
                  </w:r>
                </w:p>
              </w:tc>
              <w:tc>
                <w:tcPr>
                  <w:tcW w:w="1332" w:type="dxa"/>
                  <w:tcBorders>
                    <w:tl2br w:val="nil"/>
                    <w:tr2bl w:val="nil"/>
                  </w:tcBorders>
                  <w:noWrap w:val="0"/>
                  <w:vAlign w:val="center"/>
                </w:tcPr>
                <w:p w14:paraId="5C1E7DB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0.0351</w:t>
                  </w:r>
                </w:p>
              </w:tc>
            </w:tr>
            <w:tr w14:paraId="076224D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205707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p>
              </w:tc>
              <w:tc>
                <w:tcPr>
                  <w:tcW w:w="1253" w:type="dxa"/>
                  <w:vMerge w:val="continue"/>
                  <w:tcBorders>
                    <w:tl2br w:val="nil"/>
                    <w:tr2bl w:val="nil"/>
                  </w:tcBorders>
                  <w:noWrap w:val="0"/>
                  <w:vAlign w:val="center"/>
                </w:tcPr>
                <w:p w14:paraId="39ADE8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033" w:type="dxa"/>
                  <w:vMerge w:val="continue"/>
                  <w:tcBorders>
                    <w:tl2br w:val="nil"/>
                    <w:tr2bl w:val="nil"/>
                  </w:tcBorders>
                  <w:noWrap w:val="0"/>
                  <w:vAlign w:val="center"/>
                </w:tcPr>
                <w:p w14:paraId="493691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p>
              </w:tc>
              <w:tc>
                <w:tcPr>
                  <w:tcW w:w="1456" w:type="dxa"/>
                  <w:tcBorders>
                    <w:tl2br w:val="nil"/>
                    <w:tr2bl w:val="nil"/>
                  </w:tcBorders>
                  <w:noWrap w:val="0"/>
                  <w:vAlign w:val="center"/>
                </w:tcPr>
                <w:p w14:paraId="390FA9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石油类</w:t>
                  </w:r>
                </w:p>
              </w:tc>
              <w:tc>
                <w:tcPr>
                  <w:tcW w:w="1588" w:type="dxa"/>
                  <w:tcBorders>
                    <w:tl2br w:val="nil"/>
                    <w:tr2bl w:val="nil"/>
                  </w:tcBorders>
                  <w:noWrap w:val="0"/>
                  <w:vAlign w:val="center"/>
                </w:tcPr>
                <w:p w14:paraId="734721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w:t>
                  </w:r>
                </w:p>
              </w:tc>
              <w:tc>
                <w:tcPr>
                  <w:tcW w:w="1332" w:type="dxa"/>
                  <w:tcBorders>
                    <w:tl2br w:val="nil"/>
                    <w:tr2bl w:val="nil"/>
                  </w:tcBorders>
                  <w:noWrap w:val="0"/>
                  <w:vAlign w:val="center"/>
                </w:tcPr>
                <w:p w14:paraId="4EB6D0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0.0053</w:t>
                  </w:r>
                </w:p>
              </w:tc>
            </w:tr>
            <w:tr w14:paraId="07D5306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restart"/>
                  <w:tcBorders>
                    <w:tl2br w:val="nil"/>
                    <w:tr2bl w:val="nil"/>
                  </w:tcBorders>
                  <w:noWrap w:val="0"/>
                  <w:vAlign w:val="center"/>
                </w:tcPr>
                <w:p w14:paraId="108726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初期雨水</w:t>
                  </w:r>
                </w:p>
              </w:tc>
              <w:tc>
                <w:tcPr>
                  <w:tcW w:w="1253" w:type="dxa"/>
                  <w:vMerge w:val="restart"/>
                  <w:tcBorders>
                    <w:tl2br w:val="nil"/>
                    <w:tr2bl w:val="nil"/>
                  </w:tcBorders>
                  <w:noWrap w:val="0"/>
                  <w:vAlign w:val="center"/>
                </w:tcPr>
                <w:p w14:paraId="6C4E86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585</w:t>
                  </w:r>
                </w:p>
              </w:tc>
              <w:tc>
                <w:tcPr>
                  <w:tcW w:w="1033" w:type="dxa"/>
                  <w:vMerge w:val="restart"/>
                  <w:tcBorders>
                    <w:tl2br w:val="nil"/>
                    <w:tr2bl w:val="nil"/>
                  </w:tcBorders>
                  <w:noWrap w:val="0"/>
                  <w:vAlign w:val="center"/>
                </w:tcPr>
                <w:p w14:paraId="69706B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rPr>
                  </w:pPr>
                  <w:r>
                    <w:rPr>
                      <w:rFonts w:hint="default" w:ascii="Times New Roman" w:hAnsi="Times New Roman" w:eastAsia="仿宋_GB2312" w:cs="Times New Roman"/>
                      <w:color w:val="auto"/>
                      <w:sz w:val="21"/>
                      <w:szCs w:val="21"/>
                      <w:vertAlign w:val="baseline"/>
                      <w:lang w:eastAsia="zh-CN"/>
                    </w:rPr>
                    <w:t>类比</w:t>
                  </w:r>
                </w:p>
              </w:tc>
              <w:tc>
                <w:tcPr>
                  <w:tcW w:w="1456" w:type="dxa"/>
                  <w:tcBorders>
                    <w:tl2br w:val="nil"/>
                    <w:tr2bl w:val="nil"/>
                  </w:tcBorders>
                  <w:noWrap w:val="0"/>
                  <w:vAlign w:val="center"/>
                </w:tcPr>
                <w:p w14:paraId="076FEB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COD</w:t>
                  </w:r>
                </w:p>
              </w:tc>
              <w:tc>
                <w:tcPr>
                  <w:tcW w:w="1588" w:type="dxa"/>
                  <w:tcBorders>
                    <w:tl2br w:val="nil"/>
                    <w:tr2bl w:val="nil"/>
                  </w:tcBorders>
                  <w:noWrap w:val="0"/>
                  <w:vAlign w:val="center"/>
                </w:tcPr>
                <w:p w14:paraId="322DF3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150</w:t>
                  </w:r>
                </w:p>
              </w:tc>
              <w:tc>
                <w:tcPr>
                  <w:tcW w:w="1332" w:type="dxa"/>
                  <w:tcBorders>
                    <w:tl2br w:val="nil"/>
                    <w:tr2bl w:val="nil"/>
                  </w:tcBorders>
                  <w:noWrap w:val="0"/>
                  <w:vAlign w:val="center"/>
                </w:tcPr>
                <w:p w14:paraId="4CBA96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0.0878</w:t>
                  </w:r>
                </w:p>
              </w:tc>
            </w:tr>
            <w:tr w14:paraId="6C77C9E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0D30EF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p>
              </w:tc>
              <w:tc>
                <w:tcPr>
                  <w:tcW w:w="1253" w:type="dxa"/>
                  <w:vMerge w:val="continue"/>
                  <w:tcBorders>
                    <w:tl2br w:val="nil"/>
                    <w:tr2bl w:val="nil"/>
                  </w:tcBorders>
                  <w:noWrap w:val="0"/>
                  <w:vAlign w:val="center"/>
                </w:tcPr>
                <w:p w14:paraId="682BDA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033" w:type="dxa"/>
                  <w:vMerge w:val="continue"/>
                  <w:tcBorders>
                    <w:tl2br w:val="nil"/>
                    <w:tr2bl w:val="nil"/>
                  </w:tcBorders>
                  <w:noWrap w:val="0"/>
                  <w:vAlign w:val="center"/>
                </w:tcPr>
                <w:p w14:paraId="05E659B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p>
              </w:tc>
              <w:tc>
                <w:tcPr>
                  <w:tcW w:w="1456" w:type="dxa"/>
                  <w:tcBorders>
                    <w:tl2br w:val="nil"/>
                    <w:tr2bl w:val="nil"/>
                  </w:tcBorders>
                  <w:noWrap w:val="0"/>
                  <w:vAlign w:val="center"/>
                </w:tcPr>
                <w:p w14:paraId="358A94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SS</w:t>
                  </w:r>
                </w:p>
              </w:tc>
              <w:tc>
                <w:tcPr>
                  <w:tcW w:w="1588" w:type="dxa"/>
                  <w:tcBorders>
                    <w:tl2br w:val="nil"/>
                    <w:tr2bl w:val="nil"/>
                  </w:tcBorders>
                  <w:noWrap w:val="0"/>
                  <w:vAlign w:val="center"/>
                </w:tcPr>
                <w:p w14:paraId="1FB1F4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200</w:t>
                  </w:r>
                </w:p>
              </w:tc>
              <w:tc>
                <w:tcPr>
                  <w:tcW w:w="1332" w:type="dxa"/>
                  <w:tcBorders>
                    <w:tl2br w:val="nil"/>
                    <w:tr2bl w:val="nil"/>
                  </w:tcBorders>
                  <w:noWrap w:val="0"/>
                  <w:vAlign w:val="center"/>
                </w:tcPr>
                <w:p w14:paraId="445E56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0.1170</w:t>
                  </w:r>
                </w:p>
              </w:tc>
            </w:tr>
            <w:tr w14:paraId="65A0069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71" w:type="dxa"/>
                  <w:vMerge w:val="continue"/>
                  <w:tcBorders>
                    <w:tl2br w:val="nil"/>
                    <w:tr2bl w:val="nil"/>
                  </w:tcBorders>
                  <w:noWrap w:val="0"/>
                  <w:vAlign w:val="center"/>
                </w:tcPr>
                <w:p w14:paraId="531824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p>
              </w:tc>
              <w:tc>
                <w:tcPr>
                  <w:tcW w:w="1253" w:type="dxa"/>
                  <w:vMerge w:val="continue"/>
                  <w:tcBorders>
                    <w:tl2br w:val="nil"/>
                    <w:tr2bl w:val="nil"/>
                  </w:tcBorders>
                  <w:noWrap w:val="0"/>
                  <w:vAlign w:val="center"/>
                </w:tcPr>
                <w:p w14:paraId="1D6A84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1033" w:type="dxa"/>
                  <w:vMerge w:val="continue"/>
                  <w:tcBorders>
                    <w:tl2br w:val="nil"/>
                    <w:tr2bl w:val="nil"/>
                  </w:tcBorders>
                  <w:noWrap w:val="0"/>
                  <w:vAlign w:val="center"/>
                </w:tcPr>
                <w:p w14:paraId="540AC6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p>
              </w:tc>
              <w:tc>
                <w:tcPr>
                  <w:tcW w:w="1456" w:type="dxa"/>
                  <w:tcBorders>
                    <w:tl2br w:val="nil"/>
                    <w:tr2bl w:val="nil"/>
                  </w:tcBorders>
                  <w:noWrap w:val="0"/>
                  <w:vAlign w:val="center"/>
                </w:tcPr>
                <w:p w14:paraId="5F2B30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eastAsia="zh-CN"/>
                    </w:rPr>
                    <w:t>石油类</w:t>
                  </w:r>
                </w:p>
              </w:tc>
              <w:tc>
                <w:tcPr>
                  <w:tcW w:w="1588" w:type="dxa"/>
                  <w:tcBorders>
                    <w:tl2br w:val="nil"/>
                    <w:tr2bl w:val="nil"/>
                  </w:tcBorders>
                  <w:noWrap w:val="0"/>
                  <w:vAlign w:val="center"/>
                </w:tcPr>
                <w:p w14:paraId="1C939E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w:t>
                  </w:r>
                </w:p>
              </w:tc>
              <w:tc>
                <w:tcPr>
                  <w:tcW w:w="1332" w:type="dxa"/>
                  <w:tcBorders>
                    <w:tl2br w:val="nil"/>
                    <w:tr2bl w:val="nil"/>
                  </w:tcBorders>
                  <w:noWrap w:val="0"/>
                  <w:vAlign w:val="center"/>
                </w:tcPr>
                <w:p w14:paraId="3E89465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0.0176</w:t>
                  </w:r>
                </w:p>
              </w:tc>
            </w:tr>
          </w:tbl>
          <w:p w14:paraId="653D0D57">
            <w:pPr>
              <w:autoSpaceDE w:val="0"/>
              <w:autoSpaceDN w:val="0"/>
              <w:adjustRightInd w:val="0"/>
              <w:spacing w:line="360" w:lineRule="auto"/>
              <w:rPr>
                <w:rFonts w:hint="default" w:ascii="Times New Roman" w:hAnsi="Times New Roman" w:eastAsia="仿宋_GB2312" w:cs="Times New Roman"/>
                <w:color w:val="auto"/>
                <w:sz w:val="24"/>
                <w:szCs w:val="24"/>
                <w:lang w:val="en-US" w:eastAsia="zh-CN"/>
              </w:rPr>
            </w:pPr>
          </w:p>
          <w:p w14:paraId="0098BC74">
            <w:pPr>
              <w:numPr>
                <w:ilvl w:val="0"/>
                <w:numId w:val="0"/>
              </w:numPr>
              <w:adjustRightInd w:val="0"/>
              <w:snapToGrid w:val="0"/>
              <w:rPr>
                <w:rFonts w:hint="default" w:ascii="Times New Roman" w:hAnsi="Times New Roman" w:eastAsia="仿宋_GB2312" w:cs="Times New Roman"/>
                <w:color w:val="auto"/>
                <w:spacing w:val="-1"/>
                <w:sz w:val="24"/>
                <w:szCs w:val="24"/>
              </w:rPr>
            </w:pPr>
          </w:p>
        </w:tc>
      </w:tr>
    </w:tbl>
    <w:p w14:paraId="212C94ED">
      <w:pPr>
        <w:rPr>
          <w:color w:val="auto"/>
        </w:rPr>
        <w:sectPr>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tbl>
      <w:tblPr>
        <w:tblStyle w:val="19"/>
        <w:tblpPr w:leftFromText="180" w:rightFromText="180" w:vertAnchor="text" w:horzAnchor="page" w:tblpX="1293" w:tblpY="231"/>
        <w:tblOverlap w:val="never"/>
        <w:tblW w:w="146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3910"/>
      </w:tblGrid>
      <w:tr w14:paraId="330201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10" w:hRule="atLeast"/>
        </w:trPr>
        <w:tc>
          <w:tcPr>
            <w:tcW w:w="750" w:type="dxa"/>
            <w:noWrap w:val="0"/>
            <w:tcMar>
              <w:left w:w="28" w:type="dxa"/>
              <w:right w:w="28" w:type="dxa"/>
            </w:tcMar>
            <w:vAlign w:val="center"/>
          </w:tcPr>
          <w:p w14:paraId="033FE984">
            <w:pPr>
              <w:adjustRightInd w:val="0"/>
              <w:snapToGrid w:val="0"/>
              <w:jc w:val="center"/>
              <w:rPr>
                <w:rFonts w:hint="default" w:ascii="Times New Roman" w:hAnsi="Times New Roman" w:eastAsia="仿宋_GB2312" w:cs="Times New Roman"/>
                <w:bCs/>
                <w:color w:val="auto"/>
                <w:szCs w:val="21"/>
                <w:highlight w:val="none"/>
              </w:rPr>
            </w:pPr>
          </w:p>
        </w:tc>
        <w:tc>
          <w:tcPr>
            <w:tcW w:w="13910" w:type="dxa"/>
            <w:noWrap w:val="0"/>
            <w:vAlign w:val="center"/>
          </w:tcPr>
          <w:p w14:paraId="341A4DC8">
            <w:pPr>
              <w:pStyle w:val="51"/>
              <w:spacing w:before="7" w:line="229" w:lineRule="auto"/>
              <w:jc w:val="center"/>
              <w:rPr>
                <w:rFonts w:hint="default" w:ascii="Times New Roman" w:hAnsi="Times New Roman" w:eastAsia="仿宋_GB2312" w:cs="Times New Roman"/>
                <w:b/>
                <w:bCs/>
                <w:color w:val="auto"/>
                <w:spacing w:val="6"/>
                <w:sz w:val="24"/>
                <w:szCs w:val="24"/>
                <w:highlight w:val="none"/>
                <w:lang w:val="en-US" w:eastAsia="zh-CN"/>
              </w:rPr>
            </w:pPr>
            <w:r>
              <w:rPr>
                <w:rFonts w:hint="default" w:ascii="Times New Roman" w:hAnsi="Times New Roman" w:eastAsia="仿宋_GB2312" w:cs="Times New Roman"/>
                <w:b/>
                <w:bCs/>
                <w:color w:val="auto"/>
                <w:spacing w:val="6"/>
                <w:sz w:val="24"/>
                <w:szCs w:val="24"/>
                <w:highlight w:val="none"/>
                <w:lang w:val="en-US" w:eastAsia="zh-CN"/>
              </w:rPr>
              <w:t>表4-</w:t>
            </w:r>
            <w:r>
              <w:rPr>
                <w:rFonts w:hint="eastAsia" w:ascii="Times New Roman" w:hAnsi="Times New Roman" w:eastAsia="仿宋_GB2312" w:cs="Times New Roman"/>
                <w:b/>
                <w:bCs/>
                <w:color w:val="auto"/>
                <w:spacing w:val="6"/>
                <w:sz w:val="24"/>
                <w:szCs w:val="24"/>
                <w:highlight w:val="none"/>
                <w:lang w:val="en-US" w:eastAsia="zh-CN"/>
              </w:rPr>
              <w:t>10</w:t>
            </w:r>
            <w:r>
              <w:rPr>
                <w:rFonts w:hint="default" w:ascii="Times New Roman" w:hAnsi="Times New Roman" w:eastAsia="仿宋_GB2312" w:cs="Times New Roman"/>
                <w:b/>
                <w:bCs/>
                <w:color w:val="auto"/>
                <w:spacing w:val="6"/>
                <w:sz w:val="24"/>
                <w:szCs w:val="24"/>
                <w:highlight w:val="none"/>
                <w:lang w:val="en-US" w:eastAsia="zh-CN"/>
              </w:rPr>
              <w:t xml:space="preserve"> 项目废水污染源源强核算结果及相关参数表</w:t>
            </w:r>
          </w:p>
          <w:tbl>
            <w:tblPr>
              <w:tblStyle w:val="20"/>
              <w:tblW w:w="13667"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29"/>
              <w:gridCol w:w="825"/>
              <w:gridCol w:w="994"/>
              <w:gridCol w:w="1059"/>
              <w:gridCol w:w="900"/>
              <w:gridCol w:w="638"/>
              <w:gridCol w:w="609"/>
              <w:gridCol w:w="563"/>
              <w:gridCol w:w="550"/>
              <w:gridCol w:w="770"/>
              <w:gridCol w:w="950"/>
              <w:gridCol w:w="860"/>
              <w:gridCol w:w="460"/>
              <w:gridCol w:w="990"/>
              <w:gridCol w:w="690"/>
              <w:gridCol w:w="470"/>
              <w:gridCol w:w="680"/>
              <w:gridCol w:w="730"/>
            </w:tblGrid>
            <w:tr w14:paraId="2A6BA07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9" w:type="dxa"/>
                  <w:vMerge w:val="restart"/>
                  <w:tcBorders>
                    <w:tl2br w:val="nil"/>
                    <w:tr2bl w:val="nil"/>
                  </w:tcBorders>
                  <w:noWrap w:val="0"/>
                  <w:vAlign w:val="center"/>
                </w:tcPr>
                <w:p w14:paraId="24154C46">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产污</w:t>
                  </w:r>
                </w:p>
                <w:p w14:paraId="3BAC6C21">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环节</w:t>
                  </w:r>
                </w:p>
              </w:tc>
              <w:tc>
                <w:tcPr>
                  <w:tcW w:w="825" w:type="dxa"/>
                  <w:vMerge w:val="restart"/>
                  <w:tcBorders>
                    <w:tl2br w:val="nil"/>
                    <w:tr2bl w:val="nil"/>
                  </w:tcBorders>
                  <w:noWrap w:val="0"/>
                  <w:vAlign w:val="center"/>
                </w:tcPr>
                <w:p w14:paraId="3921AC66">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废水</w:t>
                  </w:r>
                </w:p>
                <w:p w14:paraId="1DB3CF28">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类别</w:t>
                  </w:r>
                </w:p>
              </w:tc>
              <w:tc>
                <w:tcPr>
                  <w:tcW w:w="994" w:type="dxa"/>
                  <w:vMerge w:val="restart"/>
                  <w:tcBorders>
                    <w:tl2br w:val="nil"/>
                    <w:tr2bl w:val="nil"/>
                  </w:tcBorders>
                  <w:noWrap w:val="0"/>
                  <w:vAlign w:val="center"/>
                </w:tcPr>
                <w:p w14:paraId="5340F5CD">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污染物</w:t>
                  </w:r>
                </w:p>
                <w:p w14:paraId="7C93F505">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种类</w:t>
                  </w:r>
                </w:p>
              </w:tc>
              <w:tc>
                <w:tcPr>
                  <w:tcW w:w="1059" w:type="dxa"/>
                  <w:vMerge w:val="restart"/>
                  <w:tcBorders>
                    <w:tl2br w:val="nil"/>
                    <w:tr2bl w:val="nil"/>
                  </w:tcBorders>
                  <w:noWrap w:val="0"/>
                  <w:vAlign w:val="center"/>
                </w:tcPr>
                <w:p w14:paraId="6FDC8CB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污染物产生量</w:t>
                  </w:r>
                </w:p>
                <w:p w14:paraId="599C297F">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（t/a）</w:t>
                  </w:r>
                </w:p>
              </w:tc>
              <w:tc>
                <w:tcPr>
                  <w:tcW w:w="900" w:type="dxa"/>
                  <w:vMerge w:val="restart"/>
                  <w:tcBorders>
                    <w:tl2br w:val="nil"/>
                    <w:tr2bl w:val="nil"/>
                  </w:tcBorders>
                  <w:noWrap w:val="0"/>
                  <w:vAlign w:val="center"/>
                </w:tcPr>
                <w:p w14:paraId="526F4D45">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污染物产生浓度</w:t>
                  </w:r>
                </w:p>
                <w:p w14:paraId="6ADB5813">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（mg/L）</w:t>
                  </w:r>
                </w:p>
              </w:tc>
              <w:tc>
                <w:tcPr>
                  <w:tcW w:w="2360" w:type="dxa"/>
                  <w:gridSpan w:val="4"/>
                  <w:tcBorders>
                    <w:tl2br w:val="nil"/>
                    <w:tr2bl w:val="nil"/>
                  </w:tcBorders>
                  <w:noWrap w:val="0"/>
                  <w:vAlign w:val="center"/>
                </w:tcPr>
                <w:p w14:paraId="46D32E1E">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治理设施</w:t>
                  </w:r>
                </w:p>
              </w:tc>
              <w:tc>
                <w:tcPr>
                  <w:tcW w:w="770" w:type="dxa"/>
                  <w:vMerge w:val="restart"/>
                  <w:tcBorders>
                    <w:tl2br w:val="nil"/>
                    <w:tr2bl w:val="nil"/>
                  </w:tcBorders>
                  <w:noWrap w:val="0"/>
                  <w:vAlign w:val="center"/>
                </w:tcPr>
                <w:p w14:paraId="239C8CDF">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废水排放量</w:t>
                  </w:r>
                </w:p>
                <w:p w14:paraId="01ED7D68">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（t/a）</w:t>
                  </w:r>
                </w:p>
              </w:tc>
              <w:tc>
                <w:tcPr>
                  <w:tcW w:w="950" w:type="dxa"/>
                  <w:vMerge w:val="restart"/>
                  <w:tcBorders>
                    <w:tl2br w:val="nil"/>
                    <w:tr2bl w:val="nil"/>
                  </w:tcBorders>
                  <w:noWrap w:val="0"/>
                  <w:vAlign w:val="center"/>
                </w:tcPr>
                <w:p w14:paraId="7EF1683C">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污染物排放量</w:t>
                  </w:r>
                </w:p>
                <w:p w14:paraId="5BCD161C">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（t/a）</w:t>
                  </w:r>
                </w:p>
              </w:tc>
              <w:tc>
                <w:tcPr>
                  <w:tcW w:w="860" w:type="dxa"/>
                  <w:vMerge w:val="restart"/>
                  <w:tcBorders>
                    <w:tl2br w:val="nil"/>
                    <w:tr2bl w:val="nil"/>
                  </w:tcBorders>
                  <w:noWrap w:val="0"/>
                  <w:vAlign w:val="center"/>
                </w:tcPr>
                <w:p w14:paraId="6DDD777A">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污染物排放浓度</w:t>
                  </w:r>
                </w:p>
                <w:p w14:paraId="5693F89F">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（mg/L）</w:t>
                  </w:r>
                </w:p>
              </w:tc>
              <w:tc>
                <w:tcPr>
                  <w:tcW w:w="460" w:type="dxa"/>
                  <w:vMerge w:val="restart"/>
                  <w:tcBorders>
                    <w:tl2br w:val="nil"/>
                    <w:tr2bl w:val="nil"/>
                  </w:tcBorders>
                  <w:noWrap w:val="0"/>
                  <w:vAlign w:val="center"/>
                </w:tcPr>
                <w:p w14:paraId="0E38E87D">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排放去向</w:t>
                  </w:r>
                </w:p>
              </w:tc>
              <w:tc>
                <w:tcPr>
                  <w:tcW w:w="990" w:type="dxa"/>
                  <w:vMerge w:val="restart"/>
                  <w:tcBorders>
                    <w:tl2br w:val="nil"/>
                    <w:tr2bl w:val="nil"/>
                  </w:tcBorders>
                  <w:noWrap w:val="0"/>
                  <w:vAlign w:val="center"/>
                </w:tcPr>
                <w:p w14:paraId="79E5BD03">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排放</w:t>
                  </w:r>
                </w:p>
                <w:p w14:paraId="1FFA781A">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规律</w:t>
                  </w:r>
                </w:p>
              </w:tc>
              <w:tc>
                <w:tcPr>
                  <w:tcW w:w="1840" w:type="dxa"/>
                  <w:gridSpan w:val="3"/>
                  <w:tcBorders>
                    <w:tl2br w:val="nil"/>
                    <w:tr2bl w:val="nil"/>
                  </w:tcBorders>
                  <w:noWrap w:val="0"/>
                  <w:vAlign w:val="center"/>
                </w:tcPr>
                <w:p w14:paraId="024E9694">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排放口基本情况</w:t>
                  </w:r>
                </w:p>
              </w:tc>
              <w:tc>
                <w:tcPr>
                  <w:tcW w:w="730" w:type="dxa"/>
                  <w:vMerge w:val="restart"/>
                  <w:tcBorders>
                    <w:tl2br w:val="nil"/>
                    <w:tr2bl w:val="nil"/>
                  </w:tcBorders>
                  <w:noWrap w:val="0"/>
                  <w:vAlign w:val="center"/>
                </w:tcPr>
                <w:p w14:paraId="1E7ACB1C">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排放</w:t>
                  </w:r>
                </w:p>
                <w:p w14:paraId="72E617A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标准</w:t>
                  </w:r>
                </w:p>
              </w:tc>
            </w:tr>
            <w:tr w14:paraId="63022F4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929" w:type="dxa"/>
                  <w:vMerge w:val="continue"/>
                  <w:tcBorders>
                    <w:tl2br w:val="nil"/>
                    <w:tr2bl w:val="nil"/>
                  </w:tcBorders>
                  <w:noWrap w:val="0"/>
                  <w:vAlign w:val="center"/>
                </w:tcPr>
                <w:p w14:paraId="736C23E3">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1361A494">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994" w:type="dxa"/>
                  <w:vMerge w:val="continue"/>
                  <w:tcBorders>
                    <w:tl2br w:val="nil"/>
                    <w:tr2bl w:val="nil"/>
                  </w:tcBorders>
                  <w:noWrap w:val="0"/>
                  <w:vAlign w:val="center"/>
                </w:tcPr>
                <w:p w14:paraId="12017B0E">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1059" w:type="dxa"/>
                  <w:vMerge w:val="continue"/>
                  <w:tcBorders>
                    <w:tl2br w:val="nil"/>
                    <w:tr2bl w:val="nil"/>
                  </w:tcBorders>
                  <w:noWrap w:val="0"/>
                  <w:vAlign w:val="center"/>
                </w:tcPr>
                <w:p w14:paraId="16072684">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900" w:type="dxa"/>
                  <w:vMerge w:val="continue"/>
                  <w:tcBorders>
                    <w:tl2br w:val="nil"/>
                    <w:tr2bl w:val="nil"/>
                  </w:tcBorders>
                  <w:noWrap w:val="0"/>
                  <w:vAlign w:val="center"/>
                </w:tcPr>
                <w:p w14:paraId="30D18091">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38" w:type="dxa"/>
                  <w:tcBorders>
                    <w:tl2br w:val="nil"/>
                    <w:tr2bl w:val="nil"/>
                  </w:tcBorders>
                  <w:noWrap w:val="0"/>
                  <w:vAlign w:val="center"/>
                </w:tcPr>
                <w:p w14:paraId="02D1DE5A">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处理能力</w:t>
                  </w:r>
                </w:p>
                <w:p w14:paraId="6997AC3E">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（t/d）</w:t>
                  </w:r>
                </w:p>
              </w:tc>
              <w:tc>
                <w:tcPr>
                  <w:tcW w:w="609" w:type="dxa"/>
                  <w:tcBorders>
                    <w:tl2br w:val="nil"/>
                    <w:tr2bl w:val="nil"/>
                  </w:tcBorders>
                  <w:noWrap w:val="0"/>
                  <w:vAlign w:val="center"/>
                </w:tcPr>
                <w:p w14:paraId="2077B72E">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治理工艺</w:t>
                  </w:r>
                </w:p>
              </w:tc>
              <w:tc>
                <w:tcPr>
                  <w:tcW w:w="563" w:type="dxa"/>
                  <w:tcBorders>
                    <w:tl2br w:val="nil"/>
                    <w:tr2bl w:val="nil"/>
                  </w:tcBorders>
                  <w:noWrap w:val="0"/>
                  <w:vAlign w:val="center"/>
                </w:tcPr>
                <w:p w14:paraId="0093F0EB">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处理效率</w:t>
                  </w:r>
                </w:p>
                <w:p w14:paraId="1A190F0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w:t>
                  </w:r>
                </w:p>
              </w:tc>
              <w:tc>
                <w:tcPr>
                  <w:tcW w:w="550" w:type="dxa"/>
                  <w:tcBorders>
                    <w:tl2br w:val="nil"/>
                    <w:tr2bl w:val="nil"/>
                  </w:tcBorders>
                  <w:noWrap w:val="0"/>
                  <w:vAlign w:val="center"/>
                </w:tcPr>
                <w:p w14:paraId="567CEC78">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是否为可行技术</w:t>
                  </w:r>
                </w:p>
              </w:tc>
              <w:tc>
                <w:tcPr>
                  <w:tcW w:w="770" w:type="dxa"/>
                  <w:vMerge w:val="continue"/>
                  <w:tcBorders>
                    <w:tl2br w:val="nil"/>
                    <w:tr2bl w:val="nil"/>
                  </w:tcBorders>
                  <w:noWrap w:val="0"/>
                  <w:vAlign w:val="center"/>
                </w:tcPr>
                <w:p w14:paraId="029F12D5">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950" w:type="dxa"/>
                  <w:vMerge w:val="continue"/>
                  <w:tcBorders>
                    <w:tl2br w:val="nil"/>
                    <w:tr2bl w:val="nil"/>
                  </w:tcBorders>
                  <w:noWrap w:val="0"/>
                  <w:vAlign w:val="center"/>
                </w:tcPr>
                <w:p w14:paraId="38B0CC55">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60" w:type="dxa"/>
                  <w:vMerge w:val="continue"/>
                  <w:tcBorders>
                    <w:tl2br w:val="nil"/>
                    <w:tr2bl w:val="nil"/>
                  </w:tcBorders>
                  <w:noWrap w:val="0"/>
                  <w:vAlign w:val="center"/>
                </w:tcPr>
                <w:p w14:paraId="1A5F6C12">
                  <w:pPr>
                    <w:pStyle w:val="42"/>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460" w:type="dxa"/>
                  <w:vMerge w:val="continue"/>
                  <w:tcBorders>
                    <w:tl2br w:val="nil"/>
                    <w:tr2bl w:val="nil"/>
                  </w:tcBorders>
                  <w:noWrap w:val="0"/>
                  <w:vAlign w:val="center"/>
                </w:tcPr>
                <w:p w14:paraId="38FCA14F">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990" w:type="dxa"/>
                  <w:vMerge w:val="continue"/>
                  <w:tcBorders>
                    <w:tl2br w:val="nil"/>
                    <w:tr2bl w:val="nil"/>
                  </w:tcBorders>
                  <w:noWrap w:val="0"/>
                  <w:vAlign w:val="center"/>
                </w:tcPr>
                <w:p w14:paraId="401CE4C3">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90" w:type="dxa"/>
                  <w:tcBorders>
                    <w:tl2br w:val="nil"/>
                    <w:tr2bl w:val="nil"/>
                  </w:tcBorders>
                  <w:noWrap w:val="0"/>
                  <w:vAlign w:val="center"/>
                </w:tcPr>
                <w:p w14:paraId="5220D7C4">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编号及名称</w:t>
                  </w:r>
                </w:p>
              </w:tc>
              <w:tc>
                <w:tcPr>
                  <w:tcW w:w="470" w:type="dxa"/>
                  <w:tcBorders>
                    <w:tl2br w:val="nil"/>
                    <w:tr2bl w:val="nil"/>
                  </w:tcBorders>
                  <w:noWrap w:val="0"/>
                  <w:vAlign w:val="center"/>
                </w:tcPr>
                <w:p w14:paraId="21D120DF">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类型</w:t>
                  </w:r>
                </w:p>
              </w:tc>
              <w:tc>
                <w:tcPr>
                  <w:tcW w:w="680" w:type="dxa"/>
                  <w:tcBorders>
                    <w:tl2br w:val="nil"/>
                    <w:tr2bl w:val="nil"/>
                  </w:tcBorders>
                  <w:noWrap w:val="0"/>
                  <w:vAlign w:val="center"/>
                </w:tcPr>
                <w:p w14:paraId="3D5B078A">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地理坐标</w:t>
                  </w:r>
                </w:p>
              </w:tc>
              <w:tc>
                <w:tcPr>
                  <w:tcW w:w="730" w:type="dxa"/>
                  <w:vMerge w:val="continue"/>
                  <w:tcBorders>
                    <w:tl2br w:val="nil"/>
                    <w:tr2bl w:val="nil"/>
                  </w:tcBorders>
                  <w:noWrap w:val="0"/>
                  <w:vAlign w:val="center"/>
                </w:tcPr>
                <w:p w14:paraId="79D57E59">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r>
            <w:tr w14:paraId="0DF8CB4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restart"/>
                  <w:tcBorders>
                    <w:tl2br w:val="nil"/>
                    <w:tr2bl w:val="nil"/>
                  </w:tcBorders>
                  <w:noWrap w:val="0"/>
                  <w:vAlign w:val="center"/>
                </w:tcPr>
                <w:p w14:paraId="58BC6122">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员工办公及来往人员如厕</w:t>
                  </w:r>
                </w:p>
              </w:tc>
              <w:tc>
                <w:tcPr>
                  <w:tcW w:w="825" w:type="dxa"/>
                  <w:vMerge w:val="restart"/>
                  <w:tcBorders>
                    <w:tl2br w:val="nil"/>
                    <w:tr2bl w:val="nil"/>
                  </w:tcBorders>
                  <w:noWrap w:val="0"/>
                  <w:vAlign w:val="center"/>
                </w:tcPr>
                <w:p w14:paraId="58CBD77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生活污水</w:t>
                  </w:r>
                </w:p>
              </w:tc>
              <w:tc>
                <w:tcPr>
                  <w:tcW w:w="994" w:type="dxa"/>
                  <w:tcBorders>
                    <w:tl2br w:val="nil"/>
                    <w:tr2bl w:val="nil"/>
                  </w:tcBorders>
                  <w:noWrap w:val="0"/>
                  <w:vAlign w:val="center"/>
                </w:tcPr>
                <w:p w14:paraId="7E461C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COD</w:t>
                  </w:r>
                </w:p>
              </w:tc>
              <w:tc>
                <w:tcPr>
                  <w:tcW w:w="1059" w:type="dxa"/>
                  <w:tcBorders>
                    <w:tl2br w:val="nil"/>
                    <w:tr2bl w:val="nil"/>
                  </w:tcBorders>
                  <w:noWrap w:val="0"/>
                  <w:vAlign w:val="center"/>
                </w:tcPr>
                <w:p w14:paraId="0CF7B3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0.2879</w:t>
                  </w:r>
                </w:p>
              </w:tc>
              <w:tc>
                <w:tcPr>
                  <w:tcW w:w="900" w:type="dxa"/>
                  <w:tcBorders>
                    <w:tl2br w:val="nil"/>
                    <w:tr2bl w:val="nil"/>
                  </w:tcBorders>
                  <w:noWrap w:val="0"/>
                  <w:vAlign w:val="center"/>
                </w:tcPr>
                <w:p w14:paraId="3EE5A8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340</w:t>
                  </w:r>
                </w:p>
              </w:tc>
              <w:tc>
                <w:tcPr>
                  <w:tcW w:w="638" w:type="dxa"/>
                  <w:vMerge w:val="restart"/>
                  <w:tcBorders>
                    <w:tl2br w:val="nil"/>
                    <w:tr2bl w:val="nil"/>
                  </w:tcBorders>
                  <w:noWrap w:val="0"/>
                  <w:vAlign w:val="center"/>
                </w:tcPr>
                <w:p w14:paraId="0A1EDA87">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5</w:t>
                  </w:r>
                </w:p>
              </w:tc>
              <w:tc>
                <w:tcPr>
                  <w:tcW w:w="609" w:type="dxa"/>
                  <w:vMerge w:val="restart"/>
                  <w:tcBorders>
                    <w:tl2br w:val="nil"/>
                    <w:tr2bl w:val="nil"/>
                  </w:tcBorders>
                  <w:noWrap w:val="0"/>
                  <w:vAlign w:val="center"/>
                </w:tcPr>
                <w:p w14:paraId="2A2574D3">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地埋式一体化污水处理装置</w:t>
                  </w:r>
                </w:p>
              </w:tc>
              <w:tc>
                <w:tcPr>
                  <w:tcW w:w="563" w:type="dxa"/>
                  <w:tcBorders>
                    <w:tl2br w:val="nil"/>
                    <w:tr2bl w:val="nil"/>
                  </w:tcBorders>
                  <w:noWrap w:val="0"/>
                  <w:vAlign w:val="center"/>
                </w:tcPr>
                <w:p w14:paraId="051420F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w:t>
                  </w:r>
                </w:p>
              </w:tc>
              <w:tc>
                <w:tcPr>
                  <w:tcW w:w="550" w:type="dxa"/>
                  <w:vMerge w:val="restart"/>
                  <w:tcBorders>
                    <w:tl2br w:val="nil"/>
                    <w:tr2bl w:val="nil"/>
                  </w:tcBorders>
                  <w:noWrap w:val="0"/>
                  <w:vAlign w:val="center"/>
                </w:tcPr>
                <w:p w14:paraId="475F9A8A">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是</w:t>
                  </w:r>
                </w:p>
              </w:tc>
              <w:tc>
                <w:tcPr>
                  <w:tcW w:w="770" w:type="dxa"/>
                  <w:vMerge w:val="restart"/>
                  <w:tcBorders>
                    <w:tl2br w:val="nil"/>
                    <w:tr2bl w:val="nil"/>
                  </w:tcBorders>
                  <w:noWrap w:val="0"/>
                  <w:vAlign w:val="center"/>
                </w:tcPr>
                <w:p w14:paraId="61A521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846.8</w:t>
                  </w:r>
                </w:p>
              </w:tc>
              <w:tc>
                <w:tcPr>
                  <w:tcW w:w="950" w:type="dxa"/>
                  <w:tcBorders>
                    <w:tl2br w:val="nil"/>
                    <w:tr2bl w:val="nil"/>
                  </w:tcBorders>
                  <w:noWrap w:val="0"/>
                  <w:vAlign w:val="center"/>
                </w:tcPr>
                <w:p w14:paraId="7C00E4B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0.2447</w:t>
                  </w:r>
                </w:p>
              </w:tc>
              <w:tc>
                <w:tcPr>
                  <w:tcW w:w="860" w:type="dxa"/>
                  <w:tcBorders>
                    <w:tl2br w:val="nil"/>
                    <w:tr2bl w:val="nil"/>
                  </w:tcBorders>
                  <w:noWrap w:val="0"/>
                  <w:vAlign w:val="center"/>
                </w:tcPr>
                <w:p w14:paraId="0DD42B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289</w:t>
                  </w:r>
                </w:p>
              </w:tc>
              <w:tc>
                <w:tcPr>
                  <w:tcW w:w="460" w:type="dxa"/>
                  <w:vMerge w:val="restart"/>
                  <w:tcBorders>
                    <w:tl2br w:val="nil"/>
                    <w:tr2bl w:val="nil"/>
                  </w:tcBorders>
                  <w:noWrap w:val="0"/>
                  <w:vAlign w:val="center"/>
                </w:tcPr>
                <w:p w14:paraId="247561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东至国祯水处理有限公司</w:t>
                  </w:r>
                </w:p>
              </w:tc>
              <w:tc>
                <w:tcPr>
                  <w:tcW w:w="990" w:type="dxa"/>
                  <w:vMerge w:val="restart"/>
                  <w:tcBorders>
                    <w:tl2br w:val="nil"/>
                    <w:tr2bl w:val="nil"/>
                  </w:tcBorders>
                  <w:noWrap w:val="0"/>
                  <w:vAlign w:val="center"/>
                </w:tcPr>
                <w:p w14:paraId="5F557C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间断排放，流量不稳定，但有周期性规律</w:t>
                  </w:r>
                </w:p>
              </w:tc>
              <w:tc>
                <w:tcPr>
                  <w:tcW w:w="690" w:type="dxa"/>
                  <w:vMerge w:val="restart"/>
                  <w:tcBorders>
                    <w:tl2br w:val="nil"/>
                    <w:tr2bl w:val="nil"/>
                  </w:tcBorders>
                  <w:noWrap w:val="0"/>
                  <w:vAlign w:val="center"/>
                </w:tcPr>
                <w:p w14:paraId="4BBE0253">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DW001</w:t>
                  </w:r>
                </w:p>
                <w:p w14:paraId="655B96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废水排口</w:t>
                  </w:r>
                </w:p>
              </w:tc>
              <w:tc>
                <w:tcPr>
                  <w:tcW w:w="470" w:type="dxa"/>
                  <w:vMerge w:val="restart"/>
                  <w:tcBorders>
                    <w:tl2br w:val="nil"/>
                    <w:tr2bl w:val="nil"/>
                  </w:tcBorders>
                  <w:noWrap w:val="0"/>
                  <w:vAlign w:val="center"/>
                </w:tcPr>
                <w:p w14:paraId="555D3D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一般排放口</w:t>
                  </w:r>
                </w:p>
              </w:tc>
              <w:tc>
                <w:tcPr>
                  <w:tcW w:w="680" w:type="dxa"/>
                  <w:vMerge w:val="restart"/>
                  <w:tcBorders>
                    <w:tl2br w:val="nil"/>
                    <w:tr2bl w:val="nil"/>
                  </w:tcBorders>
                  <w:noWrap w:val="0"/>
                  <w:vAlign w:val="center"/>
                </w:tcPr>
                <w:p w14:paraId="49BDEE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116º59′56.612″、30º9′14.994″</w:t>
                  </w:r>
                </w:p>
              </w:tc>
              <w:tc>
                <w:tcPr>
                  <w:tcW w:w="730" w:type="dxa"/>
                  <w:tcBorders>
                    <w:tl2br w:val="nil"/>
                    <w:tr2bl w:val="nil"/>
                  </w:tcBorders>
                  <w:noWrap w:val="0"/>
                  <w:vAlign w:val="center"/>
                </w:tcPr>
                <w:p w14:paraId="4BD585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300</w:t>
                  </w:r>
                </w:p>
              </w:tc>
            </w:tr>
            <w:tr w14:paraId="5E15D1A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6D2D5375">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301FCC72">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994" w:type="dxa"/>
                  <w:tcBorders>
                    <w:tl2br w:val="nil"/>
                    <w:tr2bl w:val="nil"/>
                  </w:tcBorders>
                  <w:noWrap w:val="0"/>
                  <w:vAlign w:val="center"/>
                </w:tcPr>
                <w:p w14:paraId="7F96EA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BOD</w:t>
                  </w:r>
                  <w:r>
                    <w:rPr>
                      <w:rFonts w:hint="default" w:ascii="Times New Roman" w:hAnsi="Times New Roman" w:eastAsia="仿宋_GB2312" w:cs="Times New Roman"/>
                      <w:color w:val="auto"/>
                      <w:sz w:val="21"/>
                      <w:szCs w:val="21"/>
                      <w:vertAlign w:val="subscript"/>
                      <w:lang w:val="en-US" w:eastAsia="zh-CN"/>
                    </w:rPr>
                    <w:t>5</w:t>
                  </w:r>
                </w:p>
              </w:tc>
              <w:tc>
                <w:tcPr>
                  <w:tcW w:w="1059" w:type="dxa"/>
                  <w:tcBorders>
                    <w:tl2br w:val="nil"/>
                    <w:tr2bl w:val="nil"/>
                  </w:tcBorders>
                  <w:noWrap w:val="0"/>
                  <w:vAlign w:val="center"/>
                </w:tcPr>
                <w:p w14:paraId="56C717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0.1355</w:t>
                  </w:r>
                </w:p>
              </w:tc>
              <w:tc>
                <w:tcPr>
                  <w:tcW w:w="900" w:type="dxa"/>
                  <w:tcBorders>
                    <w:tl2br w:val="nil"/>
                    <w:tr2bl w:val="nil"/>
                  </w:tcBorders>
                  <w:noWrap w:val="0"/>
                  <w:vAlign w:val="center"/>
                </w:tcPr>
                <w:p w14:paraId="708450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160</w:t>
                  </w:r>
                </w:p>
              </w:tc>
              <w:tc>
                <w:tcPr>
                  <w:tcW w:w="638" w:type="dxa"/>
                  <w:vMerge w:val="continue"/>
                  <w:tcBorders>
                    <w:tl2br w:val="nil"/>
                    <w:tr2bl w:val="nil"/>
                  </w:tcBorders>
                  <w:noWrap w:val="0"/>
                  <w:vAlign w:val="center"/>
                </w:tcPr>
                <w:p w14:paraId="1D25E414">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5BECF35C">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58ADB6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w:t>
                  </w:r>
                </w:p>
              </w:tc>
              <w:tc>
                <w:tcPr>
                  <w:tcW w:w="550" w:type="dxa"/>
                  <w:vMerge w:val="continue"/>
                  <w:tcBorders>
                    <w:tl2br w:val="nil"/>
                    <w:tr2bl w:val="nil"/>
                  </w:tcBorders>
                  <w:noWrap w:val="0"/>
                  <w:vAlign w:val="center"/>
                </w:tcPr>
                <w:p w14:paraId="746B6C12">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152EDE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3B23EE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0.1233</w:t>
                  </w:r>
                </w:p>
              </w:tc>
              <w:tc>
                <w:tcPr>
                  <w:tcW w:w="860" w:type="dxa"/>
                  <w:tcBorders>
                    <w:tl2br w:val="nil"/>
                    <w:tr2bl w:val="nil"/>
                  </w:tcBorders>
                  <w:noWrap w:val="0"/>
                  <w:vAlign w:val="center"/>
                </w:tcPr>
                <w:p w14:paraId="3306E3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145.6</w:t>
                  </w:r>
                </w:p>
              </w:tc>
              <w:tc>
                <w:tcPr>
                  <w:tcW w:w="460" w:type="dxa"/>
                  <w:vMerge w:val="continue"/>
                  <w:tcBorders>
                    <w:tl2br w:val="nil"/>
                    <w:tr2bl w:val="nil"/>
                  </w:tcBorders>
                  <w:noWrap w:val="0"/>
                  <w:vAlign w:val="center"/>
                </w:tcPr>
                <w:p w14:paraId="576DE67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6D7756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444990B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588E38D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26F714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791A7A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150</w:t>
                  </w:r>
                </w:p>
              </w:tc>
            </w:tr>
            <w:tr w14:paraId="4866166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0AF54832">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217E1886">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994" w:type="dxa"/>
                  <w:tcBorders>
                    <w:tl2br w:val="nil"/>
                    <w:tr2bl w:val="nil"/>
                  </w:tcBorders>
                  <w:noWrap w:val="0"/>
                  <w:vAlign w:val="center"/>
                </w:tcPr>
                <w:p w14:paraId="6B0D3EE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SS</w:t>
                  </w:r>
                </w:p>
              </w:tc>
              <w:tc>
                <w:tcPr>
                  <w:tcW w:w="1059" w:type="dxa"/>
                  <w:tcBorders>
                    <w:tl2br w:val="nil"/>
                    <w:tr2bl w:val="nil"/>
                  </w:tcBorders>
                  <w:noWrap w:val="0"/>
                  <w:vAlign w:val="center"/>
                </w:tcPr>
                <w:p w14:paraId="54F4BC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0.1694</w:t>
                  </w:r>
                </w:p>
              </w:tc>
              <w:tc>
                <w:tcPr>
                  <w:tcW w:w="900" w:type="dxa"/>
                  <w:tcBorders>
                    <w:tl2br w:val="nil"/>
                    <w:tr2bl w:val="nil"/>
                  </w:tcBorders>
                  <w:noWrap w:val="0"/>
                  <w:vAlign w:val="center"/>
                </w:tcPr>
                <w:p w14:paraId="1335D6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200</w:t>
                  </w:r>
                </w:p>
              </w:tc>
              <w:tc>
                <w:tcPr>
                  <w:tcW w:w="638" w:type="dxa"/>
                  <w:vMerge w:val="continue"/>
                  <w:tcBorders>
                    <w:tl2br w:val="nil"/>
                    <w:tr2bl w:val="nil"/>
                  </w:tcBorders>
                  <w:noWrap w:val="0"/>
                  <w:vAlign w:val="center"/>
                </w:tcPr>
                <w:p w14:paraId="72A01C0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73697183">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3D477D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w:t>
                  </w:r>
                </w:p>
              </w:tc>
              <w:tc>
                <w:tcPr>
                  <w:tcW w:w="550" w:type="dxa"/>
                  <w:vMerge w:val="continue"/>
                  <w:tcBorders>
                    <w:tl2br w:val="nil"/>
                    <w:tr2bl w:val="nil"/>
                  </w:tcBorders>
                  <w:noWrap w:val="0"/>
                  <w:vAlign w:val="center"/>
                </w:tcPr>
                <w:p w14:paraId="61FF7F86">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6C2ACD8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600F06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0.1186</w:t>
                  </w:r>
                </w:p>
              </w:tc>
              <w:tc>
                <w:tcPr>
                  <w:tcW w:w="860" w:type="dxa"/>
                  <w:tcBorders>
                    <w:tl2br w:val="nil"/>
                    <w:tr2bl w:val="nil"/>
                  </w:tcBorders>
                  <w:noWrap w:val="0"/>
                  <w:vAlign w:val="center"/>
                </w:tcPr>
                <w:p w14:paraId="42AE31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140</w:t>
                  </w:r>
                </w:p>
              </w:tc>
              <w:tc>
                <w:tcPr>
                  <w:tcW w:w="460" w:type="dxa"/>
                  <w:vMerge w:val="continue"/>
                  <w:tcBorders>
                    <w:tl2br w:val="nil"/>
                    <w:tr2bl w:val="nil"/>
                  </w:tcBorders>
                  <w:noWrap w:val="0"/>
                  <w:vAlign w:val="center"/>
                </w:tcPr>
                <w:p w14:paraId="0895F1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0E52E9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26BE7B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49CE48F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65EEFB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4F1EC8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150</w:t>
                  </w:r>
                </w:p>
              </w:tc>
            </w:tr>
            <w:tr w14:paraId="23D54D0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44FFF9E8">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3AB1DF1C">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994" w:type="dxa"/>
                  <w:tcBorders>
                    <w:tl2br w:val="nil"/>
                    <w:tr2bl w:val="nil"/>
                  </w:tcBorders>
                  <w:noWrap w:val="0"/>
                  <w:vAlign w:val="center"/>
                </w:tcPr>
                <w:p w14:paraId="76492B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eastAsia="zh-CN"/>
                    </w:rPr>
                    <w:t>氨氮</w:t>
                  </w:r>
                </w:p>
              </w:tc>
              <w:tc>
                <w:tcPr>
                  <w:tcW w:w="1059" w:type="dxa"/>
                  <w:tcBorders>
                    <w:tl2br w:val="nil"/>
                    <w:tr2bl w:val="nil"/>
                  </w:tcBorders>
                  <w:noWrap w:val="0"/>
                  <w:vAlign w:val="center"/>
                </w:tcPr>
                <w:p w14:paraId="5AE047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0.0212</w:t>
                  </w:r>
                </w:p>
              </w:tc>
              <w:tc>
                <w:tcPr>
                  <w:tcW w:w="900" w:type="dxa"/>
                  <w:tcBorders>
                    <w:tl2br w:val="nil"/>
                    <w:tr2bl w:val="nil"/>
                  </w:tcBorders>
                  <w:noWrap w:val="0"/>
                  <w:vAlign w:val="center"/>
                </w:tcPr>
                <w:p w14:paraId="28F1F2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25</w:t>
                  </w:r>
                </w:p>
              </w:tc>
              <w:tc>
                <w:tcPr>
                  <w:tcW w:w="638" w:type="dxa"/>
                  <w:vMerge w:val="continue"/>
                  <w:tcBorders>
                    <w:tl2br w:val="nil"/>
                    <w:tr2bl w:val="nil"/>
                  </w:tcBorders>
                  <w:noWrap w:val="0"/>
                  <w:vAlign w:val="center"/>
                </w:tcPr>
                <w:p w14:paraId="79D80055">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4FB12548">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33FDA2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550" w:type="dxa"/>
                  <w:vMerge w:val="continue"/>
                  <w:tcBorders>
                    <w:tl2br w:val="nil"/>
                    <w:tr2bl w:val="nil"/>
                  </w:tcBorders>
                  <w:noWrap w:val="0"/>
                  <w:vAlign w:val="center"/>
                </w:tcPr>
                <w:p w14:paraId="20444D34">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248AB50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12F230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0.0212</w:t>
                  </w:r>
                </w:p>
              </w:tc>
              <w:tc>
                <w:tcPr>
                  <w:tcW w:w="860" w:type="dxa"/>
                  <w:tcBorders>
                    <w:tl2br w:val="nil"/>
                    <w:tr2bl w:val="nil"/>
                  </w:tcBorders>
                  <w:noWrap w:val="0"/>
                  <w:vAlign w:val="center"/>
                </w:tcPr>
                <w:p w14:paraId="711901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25</w:t>
                  </w:r>
                </w:p>
              </w:tc>
              <w:tc>
                <w:tcPr>
                  <w:tcW w:w="460" w:type="dxa"/>
                  <w:vMerge w:val="continue"/>
                  <w:tcBorders>
                    <w:tl2br w:val="nil"/>
                    <w:tr2bl w:val="nil"/>
                  </w:tcBorders>
                  <w:noWrap w:val="0"/>
                  <w:vAlign w:val="center"/>
                </w:tcPr>
                <w:p w14:paraId="141729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76D1D7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3D5232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78E286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029A3A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65E434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25</w:t>
                  </w:r>
                </w:p>
              </w:tc>
            </w:tr>
            <w:tr w14:paraId="48FB941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2720438D">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4F95C3BD">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994" w:type="dxa"/>
                  <w:tcBorders>
                    <w:tl2br w:val="nil"/>
                    <w:tr2bl w:val="nil"/>
                  </w:tcBorders>
                  <w:noWrap w:val="0"/>
                  <w:vAlign w:val="center"/>
                </w:tcPr>
                <w:p w14:paraId="4E6B112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eastAsia" w:ascii="Times New Roman" w:hAnsi="Times New Roman" w:eastAsia="仿宋_GB2312" w:cs="Times New Roman"/>
                      <w:color w:val="auto"/>
                      <w:sz w:val="21"/>
                      <w:szCs w:val="21"/>
                      <w:vertAlign w:val="baseline"/>
                      <w:lang w:eastAsia="zh-CN"/>
                    </w:rPr>
                    <w:t>总磷</w:t>
                  </w:r>
                </w:p>
              </w:tc>
              <w:tc>
                <w:tcPr>
                  <w:tcW w:w="1059" w:type="dxa"/>
                  <w:tcBorders>
                    <w:tl2br w:val="nil"/>
                    <w:tr2bl w:val="nil"/>
                  </w:tcBorders>
                  <w:noWrap w:val="0"/>
                  <w:vAlign w:val="center"/>
                </w:tcPr>
                <w:p w14:paraId="4B7060D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0.0025</w:t>
                  </w:r>
                </w:p>
              </w:tc>
              <w:tc>
                <w:tcPr>
                  <w:tcW w:w="900" w:type="dxa"/>
                  <w:tcBorders>
                    <w:tl2br w:val="nil"/>
                    <w:tr2bl w:val="nil"/>
                  </w:tcBorders>
                  <w:noWrap w:val="0"/>
                  <w:vAlign w:val="center"/>
                </w:tcPr>
                <w:p w14:paraId="124CF2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3</w:t>
                  </w:r>
                </w:p>
              </w:tc>
              <w:tc>
                <w:tcPr>
                  <w:tcW w:w="638" w:type="dxa"/>
                  <w:vMerge w:val="continue"/>
                  <w:tcBorders>
                    <w:tl2br w:val="nil"/>
                    <w:tr2bl w:val="nil"/>
                  </w:tcBorders>
                  <w:noWrap w:val="0"/>
                  <w:vAlign w:val="center"/>
                </w:tcPr>
                <w:p w14:paraId="61344D31">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528579A7">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0B3D6DE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w:t>
                  </w:r>
                </w:p>
              </w:tc>
              <w:tc>
                <w:tcPr>
                  <w:tcW w:w="550" w:type="dxa"/>
                  <w:vMerge w:val="continue"/>
                  <w:tcBorders>
                    <w:tl2br w:val="nil"/>
                    <w:tr2bl w:val="nil"/>
                  </w:tcBorders>
                  <w:noWrap w:val="0"/>
                  <w:vAlign w:val="center"/>
                </w:tcPr>
                <w:p w14:paraId="7EDE51EA">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5430D8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6078D8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0.0025</w:t>
                  </w:r>
                </w:p>
              </w:tc>
              <w:tc>
                <w:tcPr>
                  <w:tcW w:w="860" w:type="dxa"/>
                  <w:tcBorders>
                    <w:tl2br w:val="nil"/>
                    <w:tr2bl w:val="nil"/>
                  </w:tcBorders>
                  <w:noWrap w:val="0"/>
                  <w:vAlign w:val="center"/>
                </w:tcPr>
                <w:p w14:paraId="77F9CE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3</w:t>
                  </w:r>
                </w:p>
              </w:tc>
              <w:tc>
                <w:tcPr>
                  <w:tcW w:w="460" w:type="dxa"/>
                  <w:vMerge w:val="continue"/>
                  <w:tcBorders>
                    <w:tl2br w:val="nil"/>
                    <w:tr2bl w:val="nil"/>
                  </w:tcBorders>
                  <w:noWrap w:val="0"/>
                  <w:vAlign w:val="center"/>
                </w:tcPr>
                <w:p w14:paraId="1D3AA31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192EFC6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14B48F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575DBE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26FD28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5C1259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3</w:t>
                  </w:r>
                </w:p>
              </w:tc>
            </w:tr>
            <w:tr w14:paraId="541BFE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33D304B9">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38F527B4">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994" w:type="dxa"/>
                  <w:tcBorders>
                    <w:tl2br w:val="nil"/>
                    <w:tr2bl w:val="nil"/>
                  </w:tcBorders>
                  <w:noWrap w:val="0"/>
                  <w:vAlign w:val="center"/>
                </w:tcPr>
                <w:p w14:paraId="2632F2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eastAsia" w:ascii="Times New Roman" w:hAnsi="Times New Roman" w:eastAsia="仿宋_GB2312" w:cs="Times New Roman"/>
                      <w:color w:val="auto"/>
                      <w:sz w:val="21"/>
                      <w:szCs w:val="21"/>
                      <w:vertAlign w:val="baseline"/>
                      <w:lang w:eastAsia="zh-CN"/>
                    </w:rPr>
                    <w:t>总氮</w:t>
                  </w:r>
                </w:p>
              </w:tc>
              <w:tc>
                <w:tcPr>
                  <w:tcW w:w="1059" w:type="dxa"/>
                  <w:tcBorders>
                    <w:tl2br w:val="nil"/>
                    <w:tr2bl w:val="nil"/>
                  </w:tcBorders>
                  <w:noWrap w:val="0"/>
                  <w:vAlign w:val="center"/>
                </w:tcPr>
                <w:p w14:paraId="0679150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0.0339</w:t>
                  </w:r>
                </w:p>
              </w:tc>
              <w:tc>
                <w:tcPr>
                  <w:tcW w:w="900" w:type="dxa"/>
                  <w:tcBorders>
                    <w:tl2br w:val="nil"/>
                    <w:tr2bl w:val="nil"/>
                  </w:tcBorders>
                  <w:noWrap w:val="0"/>
                  <w:vAlign w:val="center"/>
                </w:tcPr>
                <w:p w14:paraId="483B79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40</w:t>
                  </w:r>
                </w:p>
              </w:tc>
              <w:tc>
                <w:tcPr>
                  <w:tcW w:w="638" w:type="dxa"/>
                  <w:vMerge w:val="continue"/>
                  <w:tcBorders>
                    <w:tl2br w:val="nil"/>
                    <w:tr2bl w:val="nil"/>
                  </w:tcBorders>
                  <w:noWrap w:val="0"/>
                  <w:vAlign w:val="center"/>
                </w:tcPr>
                <w:p w14:paraId="40A72F65">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2DEB6180">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1ED629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w:t>
                  </w:r>
                </w:p>
              </w:tc>
              <w:tc>
                <w:tcPr>
                  <w:tcW w:w="550" w:type="dxa"/>
                  <w:vMerge w:val="continue"/>
                  <w:tcBorders>
                    <w:tl2br w:val="nil"/>
                    <w:tr2bl w:val="nil"/>
                  </w:tcBorders>
                  <w:noWrap w:val="0"/>
                  <w:vAlign w:val="center"/>
                </w:tcPr>
                <w:p w14:paraId="7EB9566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4FB9D4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36335F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0.0339</w:t>
                  </w:r>
                </w:p>
              </w:tc>
              <w:tc>
                <w:tcPr>
                  <w:tcW w:w="860" w:type="dxa"/>
                  <w:tcBorders>
                    <w:tl2br w:val="nil"/>
                    <w:tr2bl w:val="nil"/>
                  </w:tcBorders>
                  <w:noWrap w:val="0"/>
                  <w:vAlign w:val="center"/>
                </w:tcPr>
                <w:p w14:paraId="3ACE989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40</w:t>
                  </w:r>
                </w:p>
              </w:tc>
              <w:tc>
                <w:tcPr>
                  <w:tcW w:w="460" w:type="dxa"/>
                  <w:vMerge w:val="continue"/>
                  <w:tcBorders>
                    <w:tl2br w:val="nil"/>
                    <w:tr2bl w:val="nil"/>
                  </w:tcBorders>
                  <w:noWrap w:val="0"/>
                  <w:vAlign w:val="center"/>
                </w:tcPr>
                <w:p w14:paraId="5502C7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50A7B6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1178A5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3BB10F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4A1D4E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0809DB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eastAsia" w:ascii="Times New Roman" w:hAnsi="Times New Roman" w:eastAsia="仿宋_GB2312" w:cs="Times New Roman"/>
                      <w:color w:val="auto"/>
                      <w:sz w:val="21"/>
                      <w:szCs w:val="21"/>
                      <w:vertAlign w:val="baseline"/>
                      <w:lang w:val="en-US" w:eastAsia="zh-CN"/>
                    </w:rPr>
                    <w:t>40</w:t>
                  </w:r>
                </w:p>
              </w:tc>
            </w:tr>
            <w:tr w14:paraId="6419BE2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restart"/>
                  <w:tcBorders>
                    <w:tl2br w:val="nil"/>
                    <w:tr2bl w:val="nil"/>
                  </w:tcBorders>
                  <w:noWrap w:val="0"/>
                  <w:vAlign w:val="center"/>
                </w:tcPr>
                <w:p w14:paraId="55FA6F9F">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洗车</w:t>
                  </w:r>
                </w:p>
              </w:tc>
              <w:tc>
                <w:tcPr>
                  <w:tcW w:w="825" w:type="dxa"/>
                  <w:vMerge w:val="restart"/>
                  <w:tcBorders>
                    <w:tl2br w:val="nil"/>
                    <w:tr2bl w:val="nil"/>
                  </w:tcBorders>
                  <w:noWrap w:val="0"/>
                  <w:vAlign w:val="center"/>
                </w:tcPr>
                <w:p w14:paraId="5860A7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color w:val="auto"/>
                      <w:sz w:val="21"/>
                      <w:szCs w:val="21"/>
                      <w:vertAlign w:val="baseline"/>
                      <w:lang w:eastAsia="zh-CN"/>
                    </w:rPr>
                    <w:t>洗车废水</w:t>
                  </w:r>
                </w:p>
              </w:tc>
              <w:tc>
                <w:tcPr>
                  <w:tcW w:w="0" w:type="auto"/>
                  <w:tcBorders>
                    <w:tl2br w:val="nil"/>
                    <w:tr2bl w:val="nil"/>
                  </w:tcBorders>
                  <w:noWrap w:val="0"/>
                  <w:vAlign w:val="center"/>
                </w:tcPr>
                <w:p w14:paraId="3C2F8F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COD</w:t>
                  </w:r>
                </w:p>
              </w:tc>
              <w:tc>
                <w:tcPr>
                  <w:tcW w:w="1059" w:type="dxa"/>
                  <w:tcBorders>
                    <w:tl2br w:val="nil"/>
                    <w:tr2bl w:val="nil"/>
                  </w:tcBorders>
                  <w:noWrap w:val="0"/>
                  <w:vAlign w:val="center"/>
                </w:tcPr>
                <w:p w14:paraId="33B0F32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0.1380</w:t>
                  </w:r>
                </w:p>
              </w:tc>
              <w:tc>
                <w:tcPr>
                  <w:tcW w:w="900" w:type="dxa"/>
                  <w:tcBorders>
                    <w:tl2br w:val="nil"/>
                    <w:tr2bl w:val="nil"/>
                  </w:tcBorders>
                  <w:noWrap w:val="0"/>
                  <w:vAlign w:val="center"/>
                </w:tcPr>
                <w:p w14:paraId="5F9618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350</w:t>
                  </w:r>
                </w:p>
              </w:tc>
              <w:tc>
                <w:tcPr>
                  <w:tcW w:w="638" w:type="dxa"/>
                  <w:vMerge w:val="restart"/>
                  <w:tcBorders>
                    <w:tl2br w:val="nil"/>
                    <w:tr2bl w:val="nil"/>
                  </w:tcBorders>
                  <w:noWrap w:val="0"/>
                  <w:vAlign w:val="center"/>
                </w:tcPr>
                <w:p w14:paraId="553F1656">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5</w:t>
                  </w:r>
                </w:p>
              </w:tc>
              <w:tc>
                <w:tcPr>
                  <w:tcW w:w="609" w:type="dxa"/>
                  <w:vMerge w:val="restart"/>
                  <w:tcBorders>
                    <w:tl2br w:val="nil"/>
                    <w:tr2bl w:val="nil"/>
                  </w:tcBorders>
                  <w:noWrap w:val="0"/>
                  <w:vAlign w:val="center"/>
                </w:tcPr>
                <w:p w14:paraId="03A029A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隔油沉淀池25m</w:t>
                  </w:r>
                  <w:r>
                    <w:rPr>
                      <w:rFonts w:hint="default" w:ascii="Times New Roman" w:hAnsi="Times New Roman" w:eastAsia="仿宋_GB2312" w:cs="Times New Roman"/>
                      <w:bCs/>
                      <w:color w:val="auto"/>
                      <w:spacing w:val="-10"/>
                      <w:sz w:val="21"/>
                      <w:szCs w:val="21"/>
                      <w:vertAlign w:val="superscript"/>
                      <w:lang w:val="en-US" w:eastAsia="zh-CN"/>
                    </w:rPr>
                    <w:t>3</w:t>
                  </w:r>
                </w:p>
              </w:tc>
              <w:tc>
                <w:tcPr>
                  <w:tcW w:w="563" w:type="dxa"/>
                  <w:tcBorders>
                    <w:tl2br w:val="nil"/>
                    <w:tr2bl w:val="nil"/>
                  </w:tcBorders>
                  <w:noWrap w:val="0"/>
                  <w:vAlign w:val="center"/>
                </w:tcPr>
                <w:p w14:paraId="049E4D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w:t>
                  </w:r>
                </w:p>
              </w:tc>
              <w:tc>
                <w:tcPr>
                  <w:tcW w:w="550" w:type="dxa"/>
                  <w:vMerge w:val="restart"/>
                  <w:tcBorders>
                    <w:tl2br w:val="nil"/>
                    <w:tr2bl w:val="nil"/>
                  </w:tcBorders>
                  <w:noWrap w:val="0"/>
                  <w:vAlign w:val="center"/>
                </w:tcPr>
                <w:p w14:paraId="79933ECC">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是</w:t>
                  </w:r>
                </w:p>
              </w:tc>
              <w:tc>
                <w:tcPr>
                  <w:tcW w:w="770" w:type="dxa"/>
                  <w:vMerge w:val="restart"/>
                  <w:tcBorders>
                    <w:tl2br w:val="nil"/>
                    <w:tr2bl w:val="nil"/>
                  </w:tcBorders>
                  <w:noWrap w:val="0"/>
                  <w:vAlign w:val="center"/>
                </w:tcPr>
                <w:p w14:paraId="13F404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394.2</w:t>
                  </w:r>
                </w:p>
              </w:tc>
              <w:tc>
                <w:tcPr>
                  <w:tcW w:w="950" w:type="dxa"/>
                  <w:tcBorders>
                    <w:tl2br w:val="nil"/>
                    <w:tr2bl w:val="nil"/>
                  </w:tcBorders>
                  <w:noWrap w:val="0"/>
                  <w:vAlign w:val="center"/>
                </w:tcPr>
                <w:p w14:paraId="5FF7C9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0.0966</w:t>
                  </w:r>
                </w:p>
              </w:tc>
              <w:tc>
                <w:tcPr>
                  <w:tcW w:w="860" w:type="dxa"/>
                  <w:tcBorders>
                    <w:tl2br w:val="nil"/>
                    <w:tr2bl w:val="nil"/>
                  </w:tcBorders>
                  <w:noWrap w:val="0"/>
                  <w:vAlign w:val="center"/>
                </w:tcPr>
                <w:p w14:paraId="67FFCBE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245</w:t>
                  </w:r>
                </w:p>
              </w:tc>
              <w:tc>
                <w:tcPr>
                  <w:tcW w:w="460" w:type="dxa"/>
                  <w:vMerge w:val="continue"/>
                  <w:tcBorders>
                    <w:tl2br w:val="nil"/>
                    <w:tr2bl w:val="nil"/>
                  </w:tcBorders>
                  <w:noWrap w:val="0"/>
                  <w:vAlign w:val="center"/>
                </w:tcPr>
                <w:p w14:paraId="6D1AEA3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restart"/>
                  <w:tcBorders>
                    <w:tl2br w:val="nil"/>
                    <w:tr2bl w:val="nil"/>
                  </w:tcBorders>
                  <w:noWrap w:val="0"/>
                  <w:vAlign w:val="center"/>
                </w:tcPr>
                <w:p w14:paraId="7DF0A2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间断排放，流量不稳定，但有周期性规律</w:t>
                  </w:r>
                </w:p>
              </w:tc>
              <w:tc>
                <w:tcPr>
                  <w:tcW w:w="690" w:type="dxa"/>
                  <w:vMerge w:val="continue"/>
                  <w:tcBorders>
                    <w:tl2br w:val="nil"/>
                    <w:tr2bl w:val="nil"/>
                  </w:tcBorders>
                  <w:noWrap w:val="0"/>
                  <w:vAlign w:val="center"/>
                </w:tcPr>
                <w:p w14:paraId="0EB669A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594780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25AA71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54EE19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300</w:t>
                  </w:r>
                </w:p>
              </w:tc>
            </w:tr>
            <w:tr w14:paraId="732566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23CA978F">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334F1E52">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0" w:type="auto"/>
                  <w:tcBorders>
                    <w:tl2br w:val="nil"/>
                    <w:tr2bl w:val="nil"/>
                  </w:tcBorders>
                  <w:noWrap w:val="0"/>
                  <w:vAlign w:val="center"/>
                </w:tcPr>
                <w:p w14:paraId="29DF31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SS</w:t>
                  </w:r>
                </w:p>
              </w:tc>
              <w:tc>
                <w:tcPr>
                  <w:tcW w:w="1059" w:type="dxa"/>
                  <w:tcBorders>
                    <w:tl2br w:val="nil"/>
                    <w:tr2bl w:val="nil"/>
                  </w:tcBorders>
                  <w:noWrap w:val="0"/>
                  <w:vAlign w:val="center"/>
                </w:tcPr>
                <w:p w14:paraId="1C254C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0.1183</w:t>
                  </w:r>
                </w:p>
              </w:tc>
              <w:tc>
                <w:tcPr>
                  <w:tcW w:w="900" w:type="dxa"/>
                  <w:tcBorders>
                    <w:tl2br w:val="nil"/>
                    <w:tr2bl w:val="nil"/>
                  </w:tcBorders>
                  <w:noWrap w:val="0"/>
                  <w:vAlign w:val="center"/>
                </w:tcPr>
                <w:p w14:paraId="0AE422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300</w:t>
                  </w:r>
                </w:p>
              </w:tc>
              <w:tc>
                <w:tcPr>
                  <w:tcW w:w="638" w:type="dxa"/>
                  <w:vMerge w:val="continue"/>
                  <w:tcBorders>
                    <w:tl2br w:val="nil"/>
                    <w:tr2bl w:val="nil"/>
                  </w:tcBorders>
                  <w:noWrap w:val="0"/>
                  <w:vAlign w:val="center"/>
                </w:tcPr>
                <w:p w14:paraId="59B052C3">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5A2D089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786CF6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w:t>
                  </w:r>
                </w:p>
              </w:tc>
              <w:tc>
                <w:tcPr>
                  <w:tcW w:w="550" w:type="dxa"/>
                  <w:vMerge w:val="continue"/>
                  <w:tcBorders>
                    <w:tl2br w:val="nil"/>
                    <w:tr2bl w:val="nil"/>
                  </w:tcBorders>
                  <w:noWrap w:val="0"/>
                  <w:vAlign w:val="center"/>
                </w:tcPr>
                <w:p w14:paraId="6C2C854C">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63F494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623C35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0.0591</w:t>
                  </w:r>
                </w:p>
              </w:tc>
              <w:tc>
                <w:tcPr>
                  <w:tcW w:w="860" w:type="dxa"/>
                  <w:tcBorders>
                    <w:tl2br w:val="nil"/>
                    <w:tr2bl w:val="nil"/>
                  </w:tcBorders>
                  <w:noWrap w:val="0"/>
                  <w:vAlign w:val="center"/>
                </w:tcPr>
                <w:p w14:paraId="4B1151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150</w:t>
                  </w:r>
                </w:p>
              </w:tc>
              <w:tc>
                <w:tcPr>
                  <w:tcW w:w="460" w:type="dxa"/>
                  <w:vMerge w:val="continue"/>
                  <w:tcBorders>
                    <w:tl2br w:val="nil"/>
                    <w:tr2bl w:val="nil"/>
                  </w:tcBorders>
                  <w:noWrap w:val="0"/>
                  <w:vAlign w:val="center"/>
                </w:tcPr>
                <w:p w14:paraId="4FCC30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1B30C8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1BCABF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3D504C5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0F6686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026C1B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150</w:t>
                  </w:r>
                </w:p>
              </w:tc>
            </w:tr>
            <w:tr w14:paraId="1DC5B47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1E5B1D0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4F8BF5D1">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0" w:type="auto"/>
                  <w:tcBorders>
                    <w:tl2br w:val="nil"/>
                    <w:tr2bl w:val="nil"/>
                  </w:tcBorders>
                  <w:noWrap w:val="0"/>
                  <w:vAlign w:val="center"/>
                </w:tcPr>
                <w:p w14:paraId="0EE1A3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石油类</w:t>
                  </w:r>
                </w:p>
              </w:tc>
              <w:tc>
                <w:tcPr>
                  <w:tcW w:w="1059" w:type="dxa"/>
                  <w:tcBorders>
                    <w:tl2br w:val="nil"/>
                    <w:tr2bl w:val="nil"/>
                  </w:tcBorders>
                  <w:noWrap w:val="0"/>
                  <w:vAlign w:val="center"/>
                </w:tcPr>
                <w:p w14:paraId="63B175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0.0158</w:t>
                  </w:r>
                </w:p>
              </w:tc>
              <w:tc>
                <w:tcPr>
                  <w:tcW w:w="900" w:type="dxa"/>
                  <w:tcBorders>
                    <w:tl2br w:val="nil"/>
                    <w:tr2bl w:val="nil"/>
                  </w:tcBorders>
                  <w:noWrap w:val="0"/>
                  <w:vAlign w:val="center"/>
                </w:tcPr>
                <w:p w14:paraId="0B36B3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40</w:t>
                  </w:r>
                </w:p>
              </w:tc>
              <w:tc>
                <w:tcPr>
                  <w:tcW w:w="638" w:type="dxa"/>
                  <w:vMerge w:val="continue"/>
                  <w:tcBorders>
                    <w:tl2br w:val="nil"/>
                    <w:tr2bl w:val="nil"/>
                  </w:tcBorders>
                  <w:noWrap w:val="0"/>
                  <w:vAlign w:val="center"/>
                </w:tcPr>
                <w:p w14:paraId="2D15C692">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126A0FDE">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2911E0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70</w:t>
                  </w:r>
                </w:p>
              </w:tc>
              <w:tc>
                <w:tcPr>
                  <w:tcW w:w="550" w:type="dxa"/>
                  <w:vMerge w:val="continue"/>
                  <w:tcBorders>
                    <w:tl2br w:val="nil"/>
                    <w:tr2bl w:val="nil"/>
                  </w:tcBorders>
                  <w:noWrap w:val="0"/>
                  <w:vAlign w:val="center"/>
                </w:tcPr>
                <w:p w14:paraId="0271563E">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0A118C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22FA1B5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0.0047</w:t>
                  </w:r>
                </w:p>
              </w:tc>
              <w:tc>
                <w:tcPr>
                  <w:tcW w:w="860" w:type="dxa"/>
                  <w:tcBorders>
                    <w:tl2br w:val="nil"/>
                    <w:tr2bl w:val="nil"/>
                  </w:tcBorders>
                  <w:noWrap w:val="0"/>
                  <w:vAlign w:val="center"/>
                </w:tcPr>
                <w:p w14:paraId="7854640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12</w:t>
                  </w:r>
                </w:p>
              </w:tc>
              <w:tc>
                <w:tcPr>
                  <w:tcW w:w="460" w:type="dxa"/>
                  <w:vMerge w:val="continue"/>
                  <w:tcBorders>
                    <w:tl2br w:val="nil"/>
                    <w:tr2bl w:val="nil"/>
                  </w:tcBorders>
                  <w:noWrap w:val="0"/>
                  <w:vAlign w:val="center"/>
                </w:tcPr>
                <w:p w14:paraId="7B8912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3300F9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57FD2D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49871D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5E13B71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1CE8A5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w:t>
                  </w:r>
                </w:p>
              </w:tc>
            </w:tr>
            <w:tr w14:paraId="2977B8F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75CE88D5">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45AD2D88">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0" w:type="auto"/>
                  <w:tcBorders>
                    <w:tl2br w:val="nil"/>
                    <w:tr2bl w:val="nil"/>
                  </w:tcBorders>
                  <w:noWrap w:val="0"/>
                  <w:vAlign w:val="center"/>
                </w:tcPr>
                <w:p w14:paraId="503CC4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LAS</w:t>
                  </w:r>
                </w:p>
              </w:tc>
              <w:tc>
                <w:tcPr>
                  <w:tcW w:w="1059" w:type="dxa"/>
                  <w:tcBorders>
                    <w:tl2br w:val="nil"/>
                    <w:tr2bl w:val="nil"/>
                  </w:tcBorders>
                  <w:noWrap w:val="0"/>
                  <w:vAlign w:val="center"/>
                </w:tcPr>
                <w:p w14:paraId="3F68FE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0.0039</w:t>
                  </w:r>
                </w:p>
              </w:tc>
              <w:tc>
                <w:tcPr>
                  <w:tcW w:w="900" w:type="dxa"/>
                  <w:tcBorders>
                    <w:tl2br w:val="nil"/>
                    <w:tr2bl w:val="nil"/>
                  </w:tcBorders>
                  <w:noWrap w:val="0"/>
                  <w:vAlign w:val="center"/>
                </w:tcPr>
                <w:p w14:paraId="7778DC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10</w:t>
                  </w:r>
                </w:p>
              </w:tc>
              <w:tc>
                <w:tcPr>
                  <w:tcW w:w="638" w:type="dxa"/>
                  <w:vMerge w:val="continue"/>
                  <w:tcBorders>
                    <w:tl2br w:val="nil"/>
                    <w:tr2bl w:val="nil"/>
                  </w:tcBorders>
                  <w:noWrap w:val="0"/>
                  <w:vAlign w:val="center"/>
                </w:tcPr>
                <w:p w14:paraId="31D6FA6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17128D5F">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7F1C1E2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w:t>
                  </w:r>
                </w:p>
              </w:tc>
              <w:tc>
                <w:tcPr>
                  <w:tcW w:w="550" w:type="dxa"/>
                  <w:vMerge w:val="continue"/>
                  <w:tcBorders>
                    <w:tl2br w:val="nil"/>
                    <w:tr2bl w:val="nil"/>
                  </w:tcBorders>
                  <w:noWrap w:val="0"/>
                  <w:vAlign w:val="center"/>
                </w:tcPr>
                <w:p w14:paraId="194F0513">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256B44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08E48B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0.0039</w:t>
                  </w:r>
                </w:p>
              </w:tc>
              <w:tc>
                <w:tcPr>
                  <w:tcW w:w="860" w:type="dxa"/>
                  <w:tcBorders>
                    <w:tl2br w:val="nil"/>
                    <w:tr2bl w:val="nil"/>
                  </w:tcBorders>
                  <w:noWrap w:val="0"/>
                  <w:vAlign w:val="center"/>
                </w:tcPr>
                <w:p w14:paraId="6B36BC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w:t>
                  </w:r>
                </w:p>
              </w:tc>
              <w:tc>
                <w:tcPr>
                  <w:tcW w:w="460" w:type="dxa"/>
                  <w:vMerge w:val="continue"/>
                  <w:tcBorders>
                    <w:tl2br w:val="nil"/>
                    <w:tr2bl w:val="nil"/>
                  </w:tcBorders>
                  <w:noWrap w:val="0"/>
                  <w:vAlign w:val="center"/>
                </w:tcPr>
                <w:p w14:paraId="289FF4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7F4C19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5A411D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5AE55A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350929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66BB5C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w:t>
                  </w:r>
                </w:p>
              </w:tc>
            </w:tr>
            <w:tr w14:paraId="6A54C7B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restart"/>
                  <w:tcBorders>
                    <w:tl2br w:val="nil"/>
                    <w:tr2bl w:val="nil"/>
                  </w:tcBorders>
                  <w:noWrap w:val="0"/>
                  <w:vAlign w:val="center"/>
                </w:tcPr>
                <w:p w14:paraId="49102DE2">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站区保洁</w:t>
                  </w:r>
                </w:p>
              </w:tc>
              <w:tc>
                <w:tcPr>
                  <w:tcW w:w="825" w:type="dxa"/>
                  <w:vMerge w:val="restart"/>
                  <w:tcBorders>
                    <w:tl2br w:val="nil"/>
                    <w:tr2bl w:val="nil"/>
                  </w:tcBorders>
                  <w:noWrap w:val="0"/>
                  <w:vAlign w:val="center"/>
                </w:tcPr>
                <w:p w14:paraId="77CC05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color w:val="auto"/>
                      <w:sz w:val="21"/>
                      <w:szCs w:val="21"/>
                      <w:vertAlign w:val="baseline"/>
                      <w:lang w:eastAsia="zh-CN"/>
                    </w:rPr>
                    <w:t>保洁废水</w:t>
                  </w:r>
                </w:p>
              </w:tc>
              <w:tc>
                <w:tcPr>
                  <w:tcW w:w="0" w:type="auto"/>
                  <w:tcBorders>
                    <w:tl2br w:val="nil"/>
                    <w:tr2bl w:val="nil"/>
                  </w:tcBorders>
                  <w:noWrap w:val="0"/>
                  <w:vAlign w:val="center"/>
                </w:tcPr>
                <w:p w14:paraId="1ADF20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COD</w:t>
                  </w:r>
                </w:p>
              </w:tc>
              <w:tc>
                <w:tcPr>
                  <w:tcW w:w="1059" w:type="dxa"/>
                  <w:tcBorders>
                    <w:tl2br w:val="nil"/>
                    <w:tr2bl w:val="nil"/>
                  </w:tcBorders>
                  <w:noWrap w:val="0"/>
                  <w:vAlign w:val="center"/>
                </w:tcPr>
                <w:p w14:paraId="08FEB6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0.0614</w:t>
                  </w:r>
                </w:p>
              </w:tc>
              <w:tc>
                <w:tcPr>
                  <w:tcW w:w="900" w:type="dxa"/>
                  <w:tcBorders>
                    <w:tl2br w:val="nil"/>
                    <w:tr2bl w:val="nil"/>
                  </w:tcBorders>
                  <w:noWrap w:val="0"/>
                  <w:vAlign w:val="center"/>
                </w:tcPr>
                <w:p w14:paraId="361A4E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350</w:t>
                  </w:r>
                </w:p>
              </w:tc>
              <w:tc>
                <w:tcPr>
                  <w:tcW w:w="638" w:type="dxa"/>
                  <w:vMerge w:val="continue"/>
                  <w:tcBorders>
                    <w:tl2br w:val="nil"/>
                    <w:tr2bl w:val="nil"/>
                  </w:tcBorders>
                  <w:noWrap w:val="0"/>
                  <w:vAlign w:val="center"/>
                </w:tcPr>
                <w:p w14:paraId="1BD1293C">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1299AEED">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26EEB1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w:t>
                  </w:r>
                </w:p>
              </w:tc>
              <w:tc>
                <w:tcPr>
                  <w:tcW w:w="550" w:type="dxa"/>
                  <w:vMerge w:val="continue"/>
                  <w:tcBorders>
                    <w:tl2br w:val="nil"/>
                    <w:tr2bl w:val="nil"/>
                  </w:tcBorders>
                  <w:noWrap w:val="0"/>
                  <w:vAlign w:val="center"/>
                </w:tcPr>
                <w:p w14:paraId="7A39D0B0">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restart"/>
                  <w:tcBorders>
                    <w:tl2br w:val="nil"/>
                    <w:tr2bl w:val="nil"/>
                  </w:tcBorders>
                  <w:noWrap w:val="0"/>
                  <w:vAlign w:val="center"/>
                </w:tcPr>
                <w:p w14:paraId="561530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kern w:val="2"/>
                      <w:sz w:val="21"/>
                      <w:szCs w:val="21"/>
                      <w:vertAlign w:val="baseline"/>
                      <w:lang w:val="en-US" w:eastAsia="zh-CN" w:bidi="ar-SA"/>
                    </w:rPr>
                    <w:t>175.5</w:t>
                  </w:r>
                </w:p>
              </w:tc>
              <w:tc>
                <w:tcPr>
                  <w:tcW w:w="950" w:type="dxa"/>
                  <w:tcBorders>
                    <w:tl2br w:val="nil"/>
                    <w:tr2bl w:val="nil"/>
                  </w:tcBorders>
                  <w:noWrap w:val="0"/>
                  <w:vAlign w:val="center"/>
                </w:tcPr>
                <w:p w14:paraId="1C4C864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0.0430</w:t>
                  </w:r>
                </w:p>
              </w:tc>
              <w:tc>
                <w:tcPr>
                  <w:tcW w:w="860" w:type="dxa"/>
                  <w:tcBorders>
                    <w:tl2br w:val="nil"/>
                    <w:tr2bl w:val="nil"/>
                  </w:tcBorders>
                  <w:noWrap w:val="0"/>
                  <w:vAlign w:val="center"/>
                </w:tcPr>
                <w:p w14:paraId="6854A6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245</w:t>
                  </w:r>
                </w:p>
              </w:tc>
              <w:tc>
                <w:tcPr>
                  <w:tcW w:w="460" w:type="dxa"/>
                  <w:vMerge w:val="continue"/>
                  <w:tcBorders>
                    <w:tl2br w:val="nil"/>
                    <w:tr2bl w:val="nil"/>
                  </w:tcBorders>
                  <w:noWrap w:val="0"/>
                  <w:vAlign w:val="center"/>
                </w:tcPr>
                <w:p w14:paraId="34B98A7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3E1AE0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27F3A3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22E616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4E2FD4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4AEB3D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300</w:t>
                  </w:r>
                </w:p>
              </w:tc>
            </w:tr>
            <w:tr w14:paraId="7BE423B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1B51C11A">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131C5795">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0" w:type="auto"/>
                  <w:tcBorders>
                    <w:tl2br w:val="nil"/>
                    <w:tr2bl w:val="nil"/>
                  </w:tcBorders>
                  <w:noWrap w:val="0"/>
                  <w:vAlign w:val="center"/>
                </w:tcPr>
                <w:p w14:paraId="50A368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SS</w:t>
                  </w:r>
                </w:p>
              </w:tc>
              <w:tc>
                <w:tcPr>
                  <w:tcW w:w="1059" w:type="dxa"/>
                  <w:tcBorders>
                    <w:tl2br w:val="nil"/>
                    <w:tr2bl w:val="nil"/>
                  </w:tcBorders>
                  <w:noWrap w:val="0"/>
                  <w:vAlign w:val="center"/>
                </w:tcPr>
                <w:p w14:paraId="20D23BC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0.0351</w:t>
                  </w:r>
                </w:p>
              </w:tc>
              <w:tc>
                <w:tcPr>
                  <w:tcW w:w="900" w:type="dxa"/>
                  <w:tcBorders>
                    <w:tl2br w:val="nil"/>
                    <w:tr2bl w:val="nil"/>
                  </w:tcBorders>
                  <w:noWrap w:val="0"/>
                  <w:vAlign w:val="center"/>
                </w:tcPr>
                <w:p w14:paraId="2CFEE16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200</w:t>
                  </w:r>
                </w:p>
              </w:tc>
              <w:tc>
                <w:tcPr>
                  <w:tcW w:w="638" w:type="dxa"/>
                  <w:vMerge w:val="continue"/>
                  <w:tcBorders>
                    <w:tl2br w:val="nil"/>
                    <w:tr2bl w:val="nil"/>
                  </w:tcBorders>
                  <w:noWrap w:val="0"/>
                  <w:vAlign w:val="center"/>
                </w:tcPr>
                <w:p w14:paraId="729C96AC">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701F3676">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044C37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w:t>
                  </w:r>
                </w:p>
              </w:tc>
              <w:tc>
                <w:tcPr>
                  <w:tcW w:w="550" w:type="dxa"/>
                  <w:vMerge w:val="continue"/>
                  <w:tcBorders>
                    <w:tl2br w:val="nil"/>
                    <w:tr2bl w:val="nil"/>
                  </w:tcBorders>
                  <w:noWrap w:val="0"/>
                  <w:vAlign w:val="center"/>
                </w:tcPr>
                <w:p w14:paraId="23F0FF8F">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58637D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5F5FCF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0.0176</w:t>
                  </w:r>
                </w:p>
              </w:tc>
              <w:tc>
                <w:tcPr>
                  <w:tcW w:w="860" w:type="dxa"/>
                  <w:tcBorders>
                    <w:tl2br w:val="nil"/>
                    <w:tr2bl w:val="nil"/>
                  </w:tcBorders>
                  <w:noWrap w:val="0"/>
                  <w:vAlign w:val="center"/>
                </w:tcPr>
                <w:p w14:paraId="61FCC2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100</w:t>
                  </w:r>
                </w:p>
              </w:tc>
              <w:tc>
                <w:tcPr>
                  <w:tcW w:w="460" w:type="dxa"/>
                  <w:vMerge w:val="continue"/>
                  <w:tcBorders>
                    <w:tl2br w:val="nil"/>
                    <w:tr2bl w:val="nil"/>
                  </w:tcBorders>
                  <w:noWrap w:val="0"/>
                  <w:vAlign w:val="center"/>
                </w:tcPr>
                <w:p w14:paraId="0E845D2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165595D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72CBC0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16E74F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1114A2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2FD8DA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150</w:t>
                  </w:r>
                </w:p>
              </w:tc>
            </w:tr>
            <w:tr w14:paraId="70CF72C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3BC53C7C">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221C3449">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0" w:type="auto"/>
                  <w:tcBorders>
                    <w:tl2br w:val="nil"/>
                    <w:tr2bl w:val="nil"/>
                  </w:tcBorders>
                  <w:noWrap w:val="0"/>
                  <w:vAlign w:val="center"/>
                </w:tcPr>
                <w:p w14:paraId="5243AA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eastAsia="zh-CN"/>
                    </w:rPr>
                    <w:t>石油类</w:t>
                  </w:r>
                </w:p>
              </w:tc>
              <w:tc>
                <w:tcPr>
                  <w:tcW w:w="1059" w:type="dxa"/>
                  <w:tcBorders>
                    <w:tl2br w:val="nil"/>
                    <w:tr2bl w:val="nil"/>
                  </w:tcBorders>
                  <w:noWrap w:val="0"/>
                  <w:vAlign w:val="center"/>
                </w:tcPr>
                <w:p w14:paraId="7E886E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0.0053</w:t>
                  </w:r>
                </w:p>
              </w:tc>
              <w:tc>
                <w:tcPr>
                  <w:tcW w:w="900" w:type="dxa"/>
                  <w:tcBorders>
                    <w:tl2br w:val="nil"/>
                    <w:tr2bl w:val="nil"/>
                  </w:tcBorders>
                  <w:noWrap w:val="0"/>
                  <w:vAlign w:val="center"/>
                </w:tcPr>
                <w:p w14:paraId="101A58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30</w:t>
                  </w:r>
                </w:p>
              </w:tc>
              <w:tc>
                <w:tcPr>
                  <w:tcW w:w="638" w:type="dxa"/>
                  <w:vMerge w:val="continue"/>
                  <w:tcBorders>
                    <w:tl2br w:val="nil"/>
                    <w:tr2bl w:val="nil"/>
                  </w:tcBorders>
                  <w:noWrap w:val="0"/>
                  <w:vAlign w:val="center"/>
                </w:tcPr>
                <w:p w14:paraId="3F24D929">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06678011">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05A1526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70</w:t>
                  </w:r>
                </w:p>
              </w:tc>
              <w:tc>
                <w:tcPr>
                  <w:tcW w:w="550" w:type="dxa"/>
                  <w:vMerge w:val="continue"/>
                  <w:tcBorders>
                    <w:tl2br w:val="nil"/>
                    <w:tr2bl w:val="nil"/>
                  </w:tcBorders>
                  <w:noWrap w:val="0"/>
                  <w:vAlign w:val="center"/>
                </w:tcPr>
                <w:p w14:paraId="2C882E1D">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23087A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488D90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0.0016</w:t>
                  </w:r>
                </w:p>
              </w:tc>
              <w:tc>
                <w:tcPr>
                  <w:tcW w:w="860" w:type="dxa"/>
                  <w:tcBorders>
                    <w:tl2br w:val="nil"/>
                    <w:tr2bl w:val="nil"/>
                  </w:tcBorders>
                  <w:noWrap w:val="0"/>
                  <w:vAlign w:val="center"/>
                </w:tcPr>
                <w:p w14:paraId="3E8A1BE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w:t>
                  </w:r>
                </w:p>
              </w:tc>
              <w:tc>
                <w:tcPr>
                  <w:tcW w:w="460" w:type="dxa"/>
                  <w:vMerge w:val="continue"/>
                  <w:tcBorders>
                    <w:tl2br w:val="nil"/>
                    <w:tr2bl w:val="nil"/>
                  </w:tcBorders>
                  <w:noWrap w:val="0"/>
                  <w:vAlign w:val="center"/>
                </w:tcPr>
                <w:p w14:paraId="455D78F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29F3C6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48AB00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6FA52C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52C33D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675B0A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w:t>
                  </w:r>
                </w:p>
              </w:tc>
            </w:tr>
            <w:tr w14:paraId="74D18B1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restart"/>
                  <w:tcBorders>
                    <w:tl2br w:val="nil"/>
                    <w:tr2bl w:val="nil"/>
                  </w:tcBorders>
                  <w:noWrap w:val="0"/>
                  <w:vAlign w:val="center"/>
                </w:tcPr>
                <w:p w14:paraId="2429645A">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r>
                    <w:rPr>
                      <w:rFonts w:hint="default" w:ascii="Times New Roman" w:hAnsi="Times New Roman" w:eastAsia="仿宋_GB2312" w:cs="Times New Roman"/>
                      <w:bCs/>
                      <w:color w:val="auto"/>
                      <w:spacing w:val="-10"/>
                      <w:sz w:val="21"/>
                      <w:szCs w:val="21"/>
                      <w:vertAlign w:val="baseline"/>
                      <w:lang w:val="en-US" w:eastAsia="zh-CN"/>
                    </w:rPr>
                    <w:t>雨水</w:t>
                  </w:r>
                </w:p>
              </w:tc>
              <w:tc>
                <w:tcPr>
                  <w:tcW w:w="825" w:type="dxa"/>
                  <w:vMerge w:val="restart"/>
                  <w:tcBorders>
                    <w:tl2br w:val="nil"/>
                    <w:tr2bl w:val="nil"/>
                  </w:tcBorders>
                  <w:noWrap w:val="0"/>
                  <w:vAlign w:val="center"/>
                </w:tcPr>
                <w:p w14:paraId="2AE579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eastAsia="zh-CN"/>
                    </w:rPr>
                    <w:t>初期雨水</w:t>
                  </w:r>
                </w:p>
              </w:tc>
              <w:tc>
                <w:tcPr>
                  <w:tcW w:w="0" w:type="auto"/>
                  <w:tcBorders>
                    <w:tl2br w:val="nil"/>
                    <w:tr2bl w:val="nil"/>
                  </w:tcBorders>
                  <w:noWrap w:val="0"/>
                  <w:vAlign w:val="center"/>
                </w:tcPr>
                <w:p w14:paraId="6E6928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COD</w:t>
                  </w:r>
                </w:p>
              </w:tc>
              <w:tc>
                <w:tcPr>
                  <w:tcW w:w="1059" w:type="dxa"/>
                  <w:tcBorders>
                    <w:tl2br w:val="nil"/>
                    <w:tr2bl w:val="nil"/>
                  </w:tcBorders>
                  <w:shd w:val="clear" w:color="auto" w:fill="auto"/>
                  <w:noWrap w:val="0"/>
                  <w:vAlign w:val="center"/>
                </w:tcPr>
                <w:p w14:paraId="4C51A7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0.0878</w:t>
                  </w:r>
                </w:p>
              </w:tc>
              <w:tc>
                <w:tcPr>
                  <w:tcW w:w="900" w:type="dxa"/>
                  <w:tcBorders>
                    <w:tl2br w:val="nil"/>
                    <w:tr2bl w:val="nil"/>
                  </w:tcBorders>
                  <w:noWrap w:val="0"/>
                  <w:vAlign w:val="center"/>
                </w:tcPr>
                <w:p w14:paraId="47AFBF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150</w:t>
                  </w:r>
                </w:p>
              </w:tc>
              <w:tc>
                <w:tcPr>
                  <w:tcW w:w="638" w:type="dxa"/>
                  <w:vMerge w:val="continue"/>
                  <w:tcBorders>
                    <w:tl2br w:val="nil"/>
                    <w:tr2bl w:val="nil"/>
                  </w:tcBorders>
                  <w:noWrap w:val="0"/>
                  <w:vAlign w:val="center"/>
                </w:tcPr>
                <w:p w14:paraId="436BE688">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3AFF4A10">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0797E3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w:t>
                  </w:r>
                </w:p>
              </w:tc>
              <w:tc>
                <w:tcPr>
                  <w:tcW w:w="550" w:type="dxa"/>
                  <w:vMerge w:val="continue"/>
                  <w:tcBorders>
                    <w:tl2br w:val="nil"/>
                    <w:tr2bl w:val="nil"/>
                  </w:tcBorders>
                  <w:noWrap w:val="0"/>
                  <w:vAlign w:val="center"/>
                </w:tcPr>
                <w:p w14:paraId="3E94755F">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restart"/>
                  <w:tcBorders>
                    <w:tl2br w:val="nil"/>
                    <w:tr2bl w:val="nil"/>
                  </w:tcBorders>
                  <w:noWrap w:val="0"/>
                  <w:vAlign w:val="center"/>
                </w:tcPr>
                <w:p w14:paraId="5B049E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585</w:t>
                  </w:r>
                </w:p>
              </w:tc>
              <w:tc>
                <w:tcPr>
                  <w:tcW w:w="950" w:type="dxa"/>
                  <w:tcBorders>
                    <w:tl2br w:val="nil"/>
                    <w:tr2bl w:val="nil"/>
                  </w:tcBorders>
                  <w:noWrap w:val="0"/>
                  <w:vAlign w:val="center"/>
                </w:tcPr>
                <w:p w14:paraId="6ABBF9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0.0615</w:t>
                  </w:r>
                </w:p>
              </w:tc>
              <w:tc>
                <w:tcPr>
                  <w:tcW w:w="860" w:type="dxa"/>
                  <w:tcBorders>
                    <w:tl2br w:val="nil"/>
                    <w:tr2bl w:val="nil"/>
                  </w:tcBorders>
                  <w:noWrap w:val="0"/>
                  <w:vAlign w:val="center"/>
                </w:tcPr>
                <w:p w14:paraId="609315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105</w:t>
                  </w:r>
                </w:p>
              </w:tc>
              <w:tc>
                <w:tcPr>
                  <w:tcW w:w="460" w:type="dxa"/>
                  <w:vMerge w:val="continue"/>
                  <w:tcBorders>
                    <w:tl2br w:val="nil"/>
                    <w:tr2bl w:val="nil"/>
                  </w:tcBorders>
                  <w:noWrap w:val="0"/>
                  <w:vAlign w:val="center"/>
                </w:tcPr>
                <w:p w14:paraId="7B0A0B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55C9A1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386AAC8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347907C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7B4FD1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0D30850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300</w:t>
                  </w:r>
                </w:p>
              </w:tc>
            </w:tr>
            <w:tr w14:paraId="4DD11C0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center"/>
                </w:tcPr>
                <w:p w14:paraId="1EB35C70">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center"/>
                </w:tcPr>
                <w:p w14:paraId="757046D2">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0" w:type="auto"/>
                  <w:tcBorders>
                    <w:tl2br w:val="nil"/>
                    <w:tr2bl w:val="nil"/>
                  </w:tcBorders>
                  <w:noWrap w:val="0"/>
                  <w:vAlign w:val="center"/>
                </w:tcPr>
                <w:p w14:paraId="39D741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SS</w:t>
                  </w:r>
                </w:p>
              </w:tc>
              <w:tc>
                <w:tcPr>
                  <w:tcW w:w="1059" w:type="dxa"/>
                  <w:tcBorders>
                    <w:tl2br w:val="nil"/>
                    <w:tr2bl w:val="nil"/>
                  </w:tcBorders>
                  <w:shd w:val="clear" w:color="auto" w:fill="auto"/>
                  <w:noWrap w:val="0"/>
                  <w:vAlign w:val="center"/>
                </w:tcPr>
                <w:p w14:paraId="2F69A6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0.1170</w:t>
                  </w:r>
                </w:p>
              </w:tc>
              <w:tc>
                <w:tcPr>
                  <w:tcW w:w="900" w:type="dxa"/>
                  <w:tcBorders>
                    <w:tl2br w:val="nil"/>
                    <w:tr2bl w:val="nil"/>
                  </w:tcBorders>
                  <w:noWrap w:val="0"/>
                  <w:vAlign w:val="center"/>
                </w:tcPr>
                <w:p w14:paraId="333E33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200</w:t>
                  </w:r>
                </w:p>
              </w:tc>
              <w:tc>
                <w:tcPr>
                  <w:tcW w:w="638" w:type="dxa"/>
                  <w:vMerge w:val="continue"/>
                  <w:tcBorders>
                    <w:tl2br w:val="nil"/>
                    <w:tr2bl w:val="nil"/>
                  </w:tcBorders>
                  <w:noWrap w:val="0"/>
                  <w:vAlign w:val="center"/>
                </w:tcPr>
                <w:p w14:paraId="5520555D">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6C93B089">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3EF7EE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50</w:t>
                  </w:r>
                </w:p>
              </w:tc>
              <w:tc>
                <w:tcPr>
                  <w:tcW w:w="550" w:type="dxa"/>
                  <w:vMerge w:val="continue"/>
                  <w:tcBorders>
                    <w:tl2br w:val="nil"/>
                    <w:tr2bl w:val="nil"/>
                  </w:tcBorders>
                  <w:noWrap w:val="0"/>
                  <w:vAlign w:val="center"/>
                </w:tcPr>
                <w:p w14:paraId="33D7412F">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614B8C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727C72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0.0585</w:t>
                  </w:r>
                </w:p>
              </w:tc>
              <w:tc>
                <w:tcPr>
                  <w:tcW w:w="860" w:type="dxa"/>
                  <w:tcBorders>
                    <w:tl2br w:val="nil"/>
                    <w:tr2bl w:val="nil"/>
                  </w:tcBorders>
                  <w:noWrap w:val="0"/>
                  <w:vAlign w:val="center"/>
                </w:tcPr>
                <w:p w14:paraId="37A4CF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100</w:t>
                  </w:r>
                </w:p>
              </w:tc>
              <w:tc>
                <w:tcPr>
                  <w:tcW w:w="460" w:type="dxa"/>
                  <w:vMerge w:val="continue"/>
                  <w:tcBorders>
                    <w:tl2br w:val="nil"/>
                    <w:tr2bl w:val="nil"/>
                  </w:tcBorders>
                  <w:noWrap w:val="0"/>
                  <w:vAlign w:val="center"/>
                </w:tcPr>
                <w:p w14:paraId="026BFA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center"/>
                </w:tcPr>
                <w:p w14:paraId="3D00F1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center"/>
                </w:tcPr>
                <w:p w14:paraId="20F100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center"/>
                </w:tcPr>
                <w:p w14:paraId="39E26E1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center"/>
                </w:tcPr>
                <w:p w14:paraId="6DC4EB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730" w:type="dxa"/>
                  <w:tcBorders>
                    <w:tl2br w:val="nil"/>
                    <w:tr2bl w:val="nil"/>
                  </w:tcBorders>
                  <w:noWrap w:val="0"/>
                  <w:vAlign w:val="center"/>
                </w:tcPr>
                <w:p w14:paraId="1EEEC1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150</w:t>
                  </w:r>
                </w:p>
              </w:tc>
            </w:tr>
            <w:tr w14:paraId="114DF08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29" w:type="dxa"/>
                  <w:vMerge w:val="continue"/>
                  <w:tcBorders>
                    <w:tl2br w:val="nil"/>
                    <w:tr2bl w:val="nil"/>
                  </w:tcBorders>
                  <w:noWrap w:val="0"/>
                  <w:vAlign w:val="top"/>
                </w:tcPr>
                <w:p w14:paraId="24DE94E0">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825" w:type="dxa"/>
                  <w:vMerge w:val="continue"/>
                  <w:tcBorders>
                    <w:tl2br w:val="nil"/>
                    <w:tr2bl w:val="nil"/>
                  </w:tcBorders>
                  <w:noWrap w:val="0"/>
                  <w:vAlign w:val="top"/>
                </w:tcPr>
                <w:p w14:paraId="711A4F11">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0" w:type="auto"/>
                  <w:tcBorders>
                    <w:tl2br w:val="nil"/>
                    <w:tr2bl w:val="nil"/>
                  </w:tcBorders>
                  <w:noWrap w:val="0"/>
                  <w:vAlign w:val="center"/>
                </w:tcPr>
                <w:p w14:paraId="10D183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eastAsia="zh-CN"/>
                    </w:rPr>
                    <w:t>石油类</w:t>
                  </w:r>
                </w:p>
              </w:tc>
              <w:tc>
                <w:tcPr>
                  <w:tcW w:w="0" w:type="auto"/>
                  <w:tcBorders>
                    <w:tl2br w:val="nil"/>
                    <w:tr2bl w:val="nil"/>
                  </w:tcBorders>
                  <w:shd w:val="clear" w:color="auto" w:fill="auto"/>
                  <w:noWrap w:val="0"/>
                  <w:vAlign w:val="center"/>
                </w:tcPr>
                <w:p w14:paraId="34BFC4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0.0176</w:t>
                  </w:r>
                </w:p>
              </w:tc>
              <w:tc>
                <w:tcPr>
                  <w:tcW w:w="0" w:type="auto"/>
                  <w:tcBorders>
                    <w:tl2br w:val="nil"/>
                    <w:tr2bl w:val="nil"/>
                  </w:tcBorders>
                  <w:noWrap w:val="0"/>
                  <w:vAlign w:val="center"/>
                </w:tcPr>
                <w:p w14:paraId="54E2E2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kern w:val="2"/>
                      <w:sz w:val="21"/>
                      <w:szCs w:val="21"/>
                      <w:vertAlign w:val="baseline"/>
                      <w:lang w:val="en-US" w:eastAsia="zh-CN" w:bidi="ar-SA"/>
                    </w:rPr>
                  </w:pPr>
                  <w:r>
                    <w:rPr>
                      <w:rFonts w:hint="default" w:ascii="Times New Roman" w:hAnsi="Times New Roman" w:eastAsia="仿宋_GB2312" w:cs="Times New Roman"/>
                      <w:color w:val="auto"/>
                      <w:sz w:val="21"/>
                      <w:szCs w:val="21"/>
                      <w:vertAlign w:val="baseline"/>
                      <w:lang w:val="en-US" w:eastAsia="zh-CN"/>
                    </w:rPr>
                    <w:t>30</w:t>
                  </w:r>
                </w:p>
              </w:tc>
              <w:tc>
                <w:tcPr>
                  <w:tcW w:w="638" w:type="dxa"/>
                  <w:vMerge w:val="continue"/>
                  <w:tcBorders>
                    <w:tl2br w:val="nil"/>
                    <w:tr2bl w:val="nil"/>
                  </w:tcBorders>
                  <w:noWrap w:val="0"/>
                  <w:vAlign w:val="center"/>
                </w:tcPr>
                <w:p w14:paraId="4A64FE5B">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609" w:type="dxa"/>
                  <w:vMerge w:val="continue"/>
                  <w:tcBorders>
                    <w:tl2br w:val="nil"/>
                    <w:tr2bl w:val="nil"/>
                  </w:tcBorders>
                  <w:noWrap w:val="0"/>
                  <w:vAlign w:val="center"/>
                </w:tcPr>
                <w:p w14:paraId="495FD6AA">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563" w:type="dxa"/>
                  <w:tcBorders>
                    <w:tl2br w:val="nil"/>
                    <w:tr2bl w:val="nil"/>
                  </w:tcBorders>
                  <w:noWrap w:val="0"/>
                  <w:vAlign w:val="center"/>
                </w:tcPr>
                <w:p w14:paraId="40F431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70</w:t>
                  </w:r>
                </w:p>
              </w:tc>
              <w:tc>
                <w:tcPr>
                  <w:tcW w:w="550" w:type="dxa"/>
                  <w:vMerge w:val="continue"/>
                  <w:tcBorders>
                    <w:tl2br w:val="nil"/>
                    <w:tr2bl w:val="nil"/>
                  </w:tcBorders>
                  <w:noWrap w:val="0"/>
                  <w:vAlign w:val="center"/>
                </w:tcPr>
                <w:p w14:paraId="28510308">
                  <w:pPr>
                    <w:pStyle w:val="4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_GB2312" w:cs="Times New Roman"/>
                      <w:bCs/>
                      <w:color w:val="auto"/>
                      <w:spacing w:val="-10"/>
                      <w:sz w:val="21"/>
                      <w:szCs w:val="21"/>
                      <w:vertAlign w:val="baseline"/>
                      <w:lang w:val="en-US" w:eastAsia="zh-CN"/>
                    </w:rPr>
                  </w:pPr>
                </w:p>
              </w:tc>
              <w:tc>
                <w:tcPr>
                  <w:tcW w:w="770" w:type="dxa"/>
                  <w:vMerge w:val="continue"/>
                  <w:tcBorders>
                    <w:tl2br w:val="nil"/>
                    <w:tr2bl w:val="nil"/>
                  </w:tcBorders>
                  <w:noWrap w:val="0"/>
                  <w:vAlign w:val="center"/>
                </w:tcPr>
                <w:p w14:paraId="753A3C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50" w:type="dxa"/>
                  <w:tcBorders>
                    <w:tl2br w:val="nil"/>
                    <w:tr2bl w:val="nil"/>
                  </w:tcBorders>
                  <w:noWrap w:val="0"/>
                  <w:vAlign w:val="center"/>
                </w:tcPr>
                <w:p w14:paraId="0EA37D7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0.0053</w:t>
                  </w:r>
                </w:p>
              </w:tc>
              <w:tc>
                <w:tcPr>
                  <w:tcW w:w="860" w:type="dxa"/>
                  <w:tcBorders>
                    <w:tl2br w:val="nil"/>
                    <w:tr2bl w:val="nil"/>
                  </w:tcBorders>
                  <w:noWrap w:val="0"/>
                  <w:vAlign w:val="center"/>
                </w:tcPr>
                <w:p w14:paraId="670A33B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9</w:t>
                  </w:r>
                </w:p>
              </w:tc>
              <w:tc>
                <w:tcPr>
                  <w:tcW w:w="460" w:type="dxa"/>
                  <w:vMerge w:val="continue"/>
                  <w:tcBorders>
                    <w:tl2br w:val="nil"/>
                    <w:tr2bl w:val="nil"/>
                  </w:tcBorders>
                  <w:noWrap w:val="0"/>
                  <w:vAlign w:val="top"/>
                </w:tcPr>
                <w:p w14:paraId="38811D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990" w:type="dxa"/>
                  <w:vMerge w:val="continue"/>
                  <w:tcBorders>
                    <w:tl2br w:val="nil"/>
                    <w:tr2bl w:val="nil"/>
                  </w:tcBorders>
                  <w:noWrap w:val="0"/>
                  <w:vAlign w:val="top"/>
                </w:tcPr>
                <w:p w14:paraId="4FE86D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90" w:type="dxa"/>
                  <w:vMerge w:val="continue"/>
                  <w:tcBorders>
                    <w:tl2br w:val="nil"/>
                    <w:tr2bl w:val="nil"/>
                  </w:tcBorders>
                  <w:noWrap w:val="0"/>
                  <w:vAlign w:val="top"/>
                </w:tcPr>
                <w:p w14:paraId="28378D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470" w:type="dxa"/>
                  <w:vMerge w:val="continue"/>
                  <w:tcBorders>
                    <w:tl2br w:val="nil"/>
                    <w:tr2bl w:val="nil"/>
                  </w:tcBorders>
                  <w:noWrap w:val="0"/>
                  <w:vAlign w:val="top"/>
                </w:tcPr>
                <w:p w14:paraId="366D68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680" w:type="dxa"/>
                  <w:vMerge w:val="continue"/>
                  <w:tcBorders>
                    <w:tl2br w:val="nil"/>
                    <w:tr2bl w:val="nil"/>
                  </w:tcBorders>
                  <w:noWrap w:val="0"/>
                  <w:vAlign w:val="top"/>
                </w:tcPr>
                <w:p w14:paraId="1589FF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p>
              </w:tc>
              <w:tc>
                <w:tcPr>
                  <w:tcW w:w="0" w:type="auto"/>
                  <w:tcBorders>
                    <w:tl2br w:val="nil"/>
                    <w:tr2bl w:val="nil"/>
                  </w:tcBorders>
                  <w:noWrap w:val="0"/>
                  <w:vAlign w:val="center"/>
                </w:tcPr>
                <w:p w14:paraId="1D97C7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val="en-US" w:eastAsia="zh-CN"/>
                    </w:rPr>
                  </w:pPr>
                  <w:r>
                    <w:rPr>
                      <w:rFonts w:hint="default" w:ascii="Times New Roman" w:hAnsi="Times New Roman" w:eastAsia="仿宋_GB2312" w:cs="Times New Roman"/>
                      <w:color w:val="auto"/>
                      <w:sz w:val="21"/>
                      <w:szCs w:val="21"/>
                      <w:vertAlign w:val="baseline"/>
                      <w:lang w:val="en-US" w:eastAsia="zh-CN"/>
                    </w:rPr>
                    <w:t>20</w:t>
                  </w:r>
                </w:p>
              </w:tc>
            </w:tr>
          </w:tbl>
          <w:p w14:paraId="44F3C3AF">
            <w:pPr>
              <w:pStyle w:val="42"/>
              <w:ind w:firstLine="0" w:firstLineChars="0"/>
              <w:jc w:val="center"/>
              <w:rPr>
                <w:rFonts w:hint="default" w:ascii="Times New Roman" w:hAnsi="Times New Roman" w:eastAsia="仿宋_GB2312" w:cs="Times New Roman"/>
                <w:bCs/>
                <w:color w:val="auto"/>
                <w:spacing w:val="-10"/>
                <w:sz w:val="21"/>
                <w:szCs w:val="21"/>
                <w:lang w:val="en-US" w:eastAsia="zh-CN"/>
              </w:rPr>
            </w:pPr>
          </w:p>
          <w:p w14:paraId="62CBF3E3">
            <w:pPr>
              <w:numPr>
                <w:ilvl w:val="0"/>
                <w:numId w:val="0"/>
              </w:numPr>
              <w:adjustRightInd w:val="0"/>
              <w:snapToGrid w:val="0"/>
              <w:rPr>
                <w:rFonts w:hint="default" w:ascii="Times New Roman" w:hAnsi="Times New Roman" w:eastAsia="仿宋_GB2312" w:cs="Times New Roman"/>
                <w:color w:val="auto"/>
                <w:spacing w:val="-1"/>
              </w:rPr>
            </w:pPr>
          </w:p>
        </w:tc>
      </w:tr>
    </w:tbl>
    <w:p w14:paraId="374AEA73">
      <w:pPr>
        <w:rPr>
          <w:color w:val="auto"/>
        </w:rPr>
      </w:pPr>
    </w:p>
    <w:p w14:paraId="69DC8FE1">
      <w:pPr>
        <w:rPr>
          <w:color w:val="auto"/>
        </w:rPr>
        <w:sectPr>
          <w:pgSz w:w="16840" w:h="11907" w:orient="landscape"/>
          <w:pgMar w:top="1531" w:right="1701" w:bottom="1531" w:left="2127" w:header="851" w:footer="851" w:gutter="0"/>
          <w:pgBorders>
            <w:top w:val="none" w:sz="0" w:space="0"/>
            <w:left w:val="none" w:sz="0" w:space="0"/>
            <w:bottom w:val="none" w:sz="0" w:space="0"/>
            <w:right w:val="none" w:sz="0" w:space="0"/>
          </w:pgBorders>
          <w:pgNumType w:fmt="decimal"/>
          <w:cols w:space="720" w:num="1"/>
          <w:docGrid w:linePitch="312" w:charSpace="0"/>
        </w:sectPr>
      </w:pPr>
    </w:p>
    <w:p w14:paraId="08F81F40">
      <w:pPr>
        <w:rPr>
          <w:color w:val="auto"/>
        </w:rPr>
      </w:pPr>
    </w:p>
    <w:tbl>
      <w:tblPr>
        <w:tblStyle w:val="19"/>
        <w:tblW w:w="890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46"/>
        <w:gridCol w:w="8162"/>
      </w:tblGrid>
      <w:tr w14:paraId="1E6EE0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10" w:hRule="atLeast"/>
          <w:jc w:val="center"/>
        </w:trPr>
        <w:tc>
          <w:tcPr>
            <w:tcW w:w="746" w:type="dxa"/>
            <w:noWrap w:val="0"/>
            <w:tcMar>
              <w:left w:w="28" w:type="dxa"/>
              <w:right w:w="28" w:type="dxa"/>
            </w:tcMar>
            <w:vAlign w:val="center"/>
          </w:tcPr>
          <w:p w14:paraId="306A1B75">
            <w:pPr>
              <w:adjustRightInd w:val="0"/>
              <w:snapToGrid w:val="0"/>
              <w:jc w:val="center"/>
              <w:rPr>
                <w:rFonts w:hint="default" w:ascii="Times New Roman" w:hAnsi="Times New Roman" w:eastAsia="仿宋_GB2312" w:cs="Times New Roman"/>
                <w:bCs/>
                <w:color w:val="auto"/>
                <w:sz w:val="24"/>
                <w:szCs w:val="24"/>
                <w:highlight w:val="none"/>
              </w:rPr>
            </w:pPr>
          </w:p>
        </w:tc>
        <w:tc>
          <w:tcPr>
            <w:tcW w:w="8162" w:type="dxa"/>
            <w:noWrap w:val="0"/>
            <w:vAlign w:val="center"/>
          </w:tcPr>
          <w:p w14:paraId="70918237">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（2）废水预处理措施有效性分析</w:t>
            </w:r>
          </w:p>
          <w:p w14:paraId="00D388CE">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项目实行雨污分流排水制度，收集初期雨水进行隔油沉淀预处理，外排废水主要为生活污水、洗车废水、站区保洁废水。职工生活污水经地埋式一体化污水处理装置收集处理、洗车废水及保洁废水经隔油沉淀池处理，均可达到《污水综合排放标准》（GB 8978-1996）三级标准及东至国祯水处理有限公司接管标准后经市政污水管网进入东至国祯水处理有限公司处理</w:t>
            </w:r>
            <w:r>
              <w:rPr>
                <w:rFonts w:hint="default" w:ascii="Times New Roman" w:hAnsi="Times New Roman" w:eastAsia="仿宋_GB2312" w:cs="Times New Roman"/>
                <w:bCs/>
                <w:color w:val="auto"/>
                <w:sz w:val="24"/>
                <w:szCs w:val="24"/>
                <w:lang w:val="en-US" w:eastAsia="zh-CN"/>
              </w:rPr>
              <w:t>，尾水排入尧渡河</w:t>
            </w:r>
            <w:r>
              <w:rPr>
                <w:rFonts w:hint="default" w:ascii="Times New Roman" w:hAnsi="Times New Roman" w:eastAsia="仿宋_GB2312" w:cs="Times New Roman"/>
                <w:color w:val="auto"/>
                <w:sz w:val="24"/>
                <w:szCs w:val="24"/>
                <w:lang w:val="en-US" w:eastAsia="zh-CN"/>
              </w:rPr>
              <w:t>。</w:t>
            </w:r>
          </w:p>
          <w:p w14:paraId="0DA206FC">
            <w:pPr>
              <w:autoSpaceDE w:val="0"/>
              <w:autoSpaceDN w:val="0"/>
              <w:adjustRightInd w:val="0"/>
              <w:spacing w:line="360" w:lineRule="auto"/>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drawing>
                <wp:inline distT="0" distB="0" distL="114300" distR="114300">
                  <wp:extent cx="4585335" cy="1538605"/>
                  <wp:effectExtent l="0" t="0" r="5715" b="4445"/>
                  <wp:docPr id="95" name="图片 9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图片1"/>
                          <pic:cNvPicPr>
                            <a:picLocks noChangeAspect="1"/>
                          </pic:cNvPicPr>
                        </pic:nvPicPr>
                        <pic:blipFill>
                          <a:blip r:embed="rId32"/>
                          <a:stretch>
                            <a:fillRect/>
                          </a:stretch>
                        </pic:blipFill>
                        <pic:spPr>
                          <a:xfrm>
                            <a:off x="0" y="0"/>
                            <a:ext cx="4585335" cy="1538605"/>
                          </a:xfrm>
                          <a:prstGeom prst="rect">
                            <a:avLst/>
                          </a:prstGeom>
                        </pic:spPr>
                      </pic:pic>
                    </a:graphicData>
                  </a:graphic>
                </wp:inline>
              </w:drawing>
            </w:r>
          </w:p>
          <w:p w14:paraId="1DDA92F6">
            <w:pPr>
              <w:autoSpaceDE w:val="0"/>
              <w:autoSpaceDN w:val="0"/>
              <w:adjustRightInd w:val="0"/>
              <w:spacing w:line="360" w:lineRule="auto"/>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b/>
                <w:bCs/>
                <w:color w:val="auto"/>
                <w:spacing w:val="6"/>
                <w:sz w:val="24"/>
                <w:szCs w:val="24"/>
                <w:lang w:eastAsia="zh-CN"/>
              </w:rPr>
              <w:t>图</w:t>
            </w:r>
            <w:r>
              <w:rPr>
                <w:rFonts w:hint="default" w:ascii="Times New Roman" w:hAnsi="Times New Roman" w:eastAsia="仿宋_GB2312" w:cs="Times New Roman"/>
                <w:b/>
                <w:bCs/>
                <w:color w:val="auto"/>
                <w:spacing w:val="6"/>
                <w:sz w:val="24"/>
                <w:szCs w:val="24"/>
              </w:rPr>
              <w:t>4-</w:t>
            </w:r>
            <w:r>
              <w:rPr>
                <w:rFonts w:hint="default" w:ascii="Times New Roman" w:hAnsi="Times New Roman" w:eastAsia="仿宋_GB2312" w:cs="Times New Roman"/>
                <w:b/>
                <w:bCs/>
                <w:color w:val="auto"/>
                <w:spacing w:val="6"/>
                <w:sz w:val="24"/>
                <w:szCs w:val="24"/>
                <w:lang w:val="en-US" w:eastAsia="zh-CN"/>
              </w:rPr>
              <w:t>1</w:t>
            </w:r>
            <w:r>
              <w:rPr>
                <w:rFonts w:hint="default" w:ascii="Times New Roman" w:hAnsi="Times New Roman" w:eastAsia="仿宋_GB2312" w:cs="Times New Roman"/>
                <w:b/>
                <w:bCs/>
                <w:color w:val="auto"/>
                <w:spacing w:val="6"/>
                <w:sz w:val="24"/>
                <w:szCs w:val="24"/>
              </w:rPr>
              <w:t xml:space="preserve"> </w:t>
            </w:r>
            <w:r>
              <w:rPr>
                <w:rFonts w:hint="default" w:ascii="Times New Roman" w:hAnsi="Times New Roman" w:eastAsia="仿宋_GB2312" w:cs="Times New Roman"/>
                <w:b/>
                <w:bCs/>
                <w:color w:val="auto"/>
                <w:spacing w:val="6"/>
                <w:sz w:val="24"/>
                <w:szCs w:val="24"/>
                <w:lang w:eastAsia="zh-CN"/>
              </w:rPr>
              <w:t>项目</w:t>
            </w:r>
            <w:r>
              <w:rPr>
                <w:rFonts w:hint="default" w:ascii="Times New Roman" w:hAnsi="Times New Roman" w:eastAsia="仿宋_GB2312" w:cs="Times New Roman"/>
                <w:b/>
                <w:bCs/>
                <w:color w:val="auto"/>
                <w:spacing w:val="6"/>
                <w:sz w:val="24"/>
                <w:szCs w:val="24"/>
              </w:rPr>
              <w:t>废水</w:t>
            </w:r>
            <w:r>
              <w:rPr>
                <w:rFonts w:hint="default" w:ascii="Times New Roman" w:hAnsi="Times New Roman" w:eastAsia="仿宋_GB2312" w:cs="Times New Roman"/>
                <w:b/>
                <w:bCs/>
                <w:color w:val="auto"/>
                <w:spacing w:val="6"/>
                <w:sz w:val="24"/>
                <w:szCs w:val="24"/>
                <w:lang w:eastAsia="zh-CN"/>
              </w:rPr>
              <w:t>预处理工艺流程图</w:t>
            </w:r>
          </w:p>
          <w:p w14:paraId="35914579">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bCs/>
                <w:color w:val="auto"/>
                <w:sz w:val="24"/>
                <w:szCs w:val="24"/>
                <w:lang w:val="en-US" w:eastAsia="zh-CN"/>
              </w:rPr>
              <w:t>地埋式一体化污水处理装置预处理（</w:t>
            </w:r>
            <w:r>
              <w:rPr>
                <w:rFonts w:hint="default" w:ascii="Times New Roman" w:hAnsi="Times New Roman" w:eastAsia="仿宋_GB2312" w:cs="Times New Roman"/>
                <w:bCs/>
                <w:color w:val="auto"/>
                <w:sz w:val="24"/>
                <w:szCs w:val="24"/>
                <w:vertAlign w:val="baseline"/>
                <w:lang w:val="en-US" w:eastAsia="zh-CN"/>
              </w:rPr>
              <w:t>5m</w:t>
            </w:r>
            <w:r>
              <w:rPr>
                <w:rFonts w:hint="default" w:ascii="Times New Roman" w:hAnsi="Times New Roman" w:eastAsia="仿宋_GB2312" w:cs="Times New Roman"/>
                <w:bCs/>
                <w:color w:val="auto"/>
                <w:sz w:val="24"/>
                <w:szCs w:val="24"/>
                <w:vertAlign w:val="superscript"/>
                <w:lang w:val="en-US" w:eastAsia="zh-CN"/>
              </w:rPr>
              <w:t>3</w:t>
            </w:r>
            <w:r>
              <w:rPr>
                <w:rFonts w:hint="default" w:ascii="Times New Roman" w:hAnsi="Times New Roman" w:eastAsia="仿宋_GB2312" w:cs="Times New Roman"/>
                <w:bCs/>
                <w:color w:val="auto"/>
                <w:sz w:val="24"/>
                <w:szCs w:val="24"/>
                <w:vertAlign w:val="baseline"/>
                <w:lang w:val="en-US" w:eastAsia="zh-CN"/>
              </w:rPr>
              <w:t>/d</w:t>
            </w:r>
            <w:r>
              <w:rPr>
                <w:rFonts w:hint="default" w:ascii="Times New Roman" w:hAnsi="Times New Roman" w:eastAsia="仿宋_GB2312" w:cs="Times New Roman"/>
                <w:bCs/>
                <w:color w:val="auto"/>
                <w:sz w:val="24"/>
                <w:szCs w:val="24"/>
                <w:lang w:val="en-US" w:eastAsia="zh-CN"/>
              </w:rPr>
              <w:t>）：利用沉淀和厌氧发酵原理去除生活污水中悬浮性有机物的处理设备，处理工艺分为过滤沉淀、厌氧发酵、固体分解、粪液排放，原理是固化物在池底沉淀分解，上层水化物进入管道流走，防止管道堵塞。污水首先经进水口进入第一格，比较大的固体物及寄生虫卵等沉淀下来并经过一定时间发酵分解，上层污水及较轻的发酵粪液进入第二格，粪液厌氧发酵分解，虫卵继续下沉，病原体逐渐死亡，废液得到进一步无害化，进入第三格的粪液一般已经腐熟，其中病菌和寄生虫卵已基本杀死，尾液已基本达到无害化处理。</w:t>
            </w:r>
          </w:p>
          <w:p w14:paraId="6828E0E4">
            <w:pPr>
              <w:autoSpaceDE w:val="0"/>
              <w:autoSpaceDN w:val="0"/>
              <w:adjustRightInd w:val="0"/>
              <w:spacing w:line="360" w:lineRule="auto"/>
              <w:ind w:firstLine="480" w:firstLineChars="200"/>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隔油池（25m</w:t>
            </w:r>
            <w:r>
              <w:rPr>
                <w:rFonts w:hint="default" w:ascii="Times New Roman" w:hAnsi="Times New Roman" w:eastAsia="仿宋_GB2312" w:cs="Times New Roman"/>
                <w:bCs/>
                <w:color w:val="auto"/>
                <w:sz w:val="24"/>
                <w:szCs w:val="24"/>
                <w:vertAlign w:val="superscript"/>
                <w:lang w:val="en-US" w:eastAsia="zh-CN"/>
              </w:rPr>
              <w:t>3</w:t>
            </w:r>
            <w:r>
              <w:rPr>
                <w:rFonts w:hint="default" w:ascii="Times New Roman" w:hAnsi="Times New Roman" w:eastAsia="仿宋_GB2312" w:cs="Times New Roman"/>
                <w:bCs/>
                <w:color w:val="auto"/>
                <w:sz w:val="24"/>
                <w:szCs w:val="24"/>
                <w:lang w:val="en-US" w:eastAsia="zh-CN"/>
              </w:rPr>
              <w:t>）通过设置沉淀池和分离槽来实现油水分离的作用。隔油池的工作原理是：污水经过进水口进入隔油池，随着水流缓慢流入沉淀池，其中较大的污物和沉淀物沉淀到底部，污水中的油脂和悬浮物则根据密度不同漂浮在水面上。分离槽上设置有出水口，经过该出水口的污水已经除去了大部分的油脂和悬浮物，可以直接排放到下游处理站点或排放至下水道。</w:t>
            </w:r>
          </w:p>
          <w:p w14:paraId="2FF38CCF">
            <w:pPr>
              <w:autoSpaceDE w:val="0"/>
              <w:autoSpaceDN w:val="0"/>
              <w:adjustRightInd w:val="0"/>
              <w:spacing w:line="360" w:lineRule="auto"/>
              <w:ind w:firstLine="480" w:firstLineChars="200"/>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本项目废水经预处理后的达标排放见表4-</w:t>
            </w:r>
            <w:r>
              <w:rPr>
                <w:rFonts w:hint="eastAsia" w:ascii="Times New Roman" w:hAnsi="Times New Roman" w:eastAsia="仿宋_GB2312" w:cs="Times New Roman"/>
                <w:color w:val="auto"/>
                <w:sz w:val="24"/>
                <w:szCs w:val="24"/>
                <w:lang w:val="en-US" w:eastAsia="zh-CN"/>
              </w:rPr>
              <w:t>11</w:t>
            </w:r>
            <w:r>
              <w:rPr>
                <w:rFonts w:hint="default" w:ascii="Times New Roman" w:hAnsi="Times New Roman" w:eastAsia="仿宋_GB2312" w:cs="Times New Roman"/>
                <w:color w:val="auto"/>
                <w:sz w:val="24"/>
                <w:szCs w:val="24"/>
                <w:lang w:val="en-US" w:eastAsia="zh-CN"/>
              </w:rPr>
              <w:t>。</w:t>
            </w:r>
          </w:p>
          <w:p w14:paraId="3B5AD5B9">
            <w:pPr>
              <w:pStyle w:val="51"/>
              <w:keepNext w:val="0"/>
              <w:keepLines w:val="0"/>
              <w:pageBreakBefore w:val="0"/>
              <w:widowControl w:val="0"/>
              <w:kinsoku/>
              <w:wordWrap/>
              <w:overflowPunct/>
              <w:topLinePunct w:val="0"/>
              <w:autoSpaceDE/>
              <w:autoSpaceDN/>
              <w:bidi w:val="0"/>
              <w:adjustRightInd/>
              <w:snapToGrid/>
              <w:spacing w:line="240" w:lineRule="auto"/>
              <w:ind w:left="0"/>
              <w:jc w:val="right"/>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b/>
                <w:bCs/>
                <w:color w:val="auto"/>
                <w:spacing w:val="6"/>
                <w:sz w:val="24"/>
                <w:szCs w:val="24"/>
              </w:rPr>
              <w:t>表4-</w:t>
            </w:r>
            <w:r>
              <w:rPr>
                <w:rFonts w:hint="eastAsia" w:ascii="Times New Roman" w:hAnsi="Times New Roman" w:eastAsia="仿宋_GB2312" w:cs="Times New Roman"/>
                <w:b/>
                <w:bCs/>
                <w:color w:val="auto"/>
                <w:spacing w:val="6"/>
                <w:sz w:val="24"/>
                <w:szCs w:val="24"/>
                <w:lang w:val="en-US" w:eastAsia="zh-CN"/>
              </w:rPr>
              <w:t>11</w:t>
            </w:r>
            <w:r>
              <w:rPr>
                <w:rFonts w:hint="default" w:ascii="Times New Roman" w:hAnsi="Times New Roman" w:eastAsia="仿宋_GB2312" w:cs="Times New Roman"/>
                <w:b/>
                <w:bCs/>
                <w:color w:val="auto"/>
                <w:spacing w:val="6"/>
                <w:sz w:val="24"/>
                <w:szCs w:val="24"/>
              </w:rPr>
              <w:t xml:space="preserve"> 废水总排放口排放情况</w:t>
            </w:r>
            <w:r>
              <w:rPr>
                <w:rFonts w:hint="default" w:ascii="Times New Roman" w:hAnsi="Times New Roman" w:eastAsia="仿宋_GB2312" w:cs="Times New Roman"/>
                <w:color w:val="auto"/>
                <w:spacing w:val="6"/>
                <w:sz w:val="24"/>
                <w:szCs w:val="24"/>
              </w:rPr>
              <w:t xml:space="preserve"> </w:t>
            </w:r>
            <w:r>
              <w:rPr>
                <w:rFonts w:hint="default" w:ascii="Times New Roman" w:hAnsi="Times New Roman" w:eastAsia="仿宋_GB2312" w:cs="Times New Roman"/>
                <w:color w:val="auto"/>
                <w:spacing w:val="6"/>
                <w:sz w:val="24"/>
                <w:szCs w:val="24"/>
                <w:lang w:val="en-US" w:eastAsia="zh-CN"/>
              </w:rPr>
              <w:t xml:space="preserve">             </w:t>
            </w:r>
            <w:r>
              <w:rPr>
                <w:rFonts w:hint="default" w:ascii="Times New Roman" w:hAnsi="Times New Roman" w:eastAsia="仿宋_GB2312" w:cs="Times New Roman"/>
                <w:color w:val="auto"/>
                <w:spacing w:val="6"/>
                <w:sz w:val="24"/>
                <w:szCs w:val="24"/>
              </w:rPr>
              <w:t xml:space="preserve"> </w:t>
            </w:r>
            <w:r>
              <w:rPr>
                <w:rFonts w:hint="default" w:ascii="Times New Roman" w:hAnsi="Times New Roman" w:eastAsia="仿宋_GB2312" w:cs="Times New Roman"/>
                <w:b/>
                <w:bCs/>
                <w:color w:val="auto"/>
                <w:sz w:val="24"/>
                <w:szCs w:val="24"/>
              </w:rPr>
              <w:t>mg</w:t>
            </w:r>
            <w:r>
              <w:rPr>
                <w:rFonts w:hint="default" w:ascii="Times New Roman" w:hAnsi="Times New Roman" w:eastAsia="仿宋_GB2312" w:cs="Times New Roman"/>
                <w:b/>
                <w:bCs/>
                <w:color w:val="auto"/>
                <w:spacing w:val="6"/>
                <w:sz w:val="24"/>
                <w:szCs w:val="24"/>
              </w:rPr>
              <w:t>/L</w:t>
            </w:r>
          </w:p>
          <w:p w14:paraId="29D53E2C">
            <w:pPr>
              <w:spacing w:line="20" w:lineRule="exact"/>
              <w:rPr>
                <w:rFonts w:hint="default" w:ascii="Times New Roman" w:hAnsi="Times New Roman" w:eastAsia="仿宋_GB2312" w:cs="Times New Roman"/>
                <w:color w:val="auto"/>
                <w:sz w:val="24"/>
                <w:szCs w:val="24"/>
              </w:rPr>
            </w:pPr>
          </w:p>
          <w:tbl>
            <w:tblPr>
              <w:tblStyle w:val="52"/>
              <w:tblW w:w="7950" w:type="dxa"/>
              <w:tblInd w:w="3"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1256"/>
              <w:gridCol w:w="836"/>
              <w:gridCol w:w="836"/>
              <w:gridCol w:w="836"/>
              <w:gridCol w:w="836"/>
              <w:gridCol w:w="836"/>
              <w:gridCol w:w="836"/>
              <w:gridCol w:w="836"/>
              <w:gridCol w:w="842"/>
            </w:tblGrid>
            <w:tr w14:paraId="00C51D71">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1256" w:type="dxa"/>
                  <w:tcBorders>
                    <w:tl2br w:val="nil"/>
                    <w:tr2bl w:val="nil"/>
                  </w:tcBorders>
                  <w:noWrap w:val="0"/>
                  <w:vAlign w:val="center"/>
                </w:tcPr>
                <w:p w14:paraId="470EF326">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pacing w:val="5"/>
                      <w:sz w:val="21"/>
                      <w:szCs w:val="21"/>
                    </w:rPr>
                    <w:t>水质指标</w:t>
                  </w:r>
                </w:p>
              </w:tc>
              <w:tc>
                <w:tcPr>
                  <w:tcW w:w="836" w:type="dxa"/>
                  <w:tcBorders>
                    <w:tl2br w:val="nil"/>
                    <w:tr2bl w:val="nil"/>
                  </w:tcBorders>
                  <w:noWrap w:val="0"/>
                  <w:vAlign w:val="center"/>
                </w:tcPr>
                <w:p w14:paraId="42C3141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pacing w:val="4"/>
                      <w:sz w:val="21"/>
                      <w:szCs w:val="21"/>
                    </w:rPr>
                    <w:t>COD</w:t>
                  </w:r>
                </w:p>
              </w:tc>
              <w:tc>
                <w:tcPr>
                  <w:tcW w:w="836" w:type="dxa"/>
                  <w:tcBorders>
                    <w:tl2br w:val="nil"/>
                    <w:tr2bl w:val="nil"/>
                  </w:tcBorders>
                  <w:noWrap w:val="0"/>
                  <w:vAlign w:val="center"/>
                </w:tcPr>
                <w:p w14:paraId="57846116">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z w:val="21"/>
                      <w:szCs w:val="21"/>
                    </w:rPr>
                    <w:t>BOD</w:t>
                  </w:r>
                  <w:r>
                    <w:rPr>
                      <w:rFonts w:hint="default" w:ascii="Times New Roman" w:hAnsi="Times New Roman" w:eastAsia="仿宋_GB2312" w:cs="Times New Roman"/>
                      <w:b/>
                      <w:bCs/>
                      <w:color w:val="auto"/>
                      <w:spacing w:val="19"/>
                      <w:position w:val="-1"/>
                      <w:sz w:val="21"/>
                      <w:szCs w:val="21"/>
                      <w:vertAlign w:val="subscript"/>
                    </w:rPr>
                    <w:t>5</w:t>
                  </w:r>
                </w:p>
              </w:tc>
              <w:tc>
                <w:tcPr>
                  <w:tcW w:w="836" w:type="dxa"/>
                  <w:tcBorders>
                    <w:tl2br w:val="nil"/>
                    <w:tr2bl w:val="nil"/>
                  </w:tcBorders>
                  <w:noWrap w:val="0"/>
                  <w:vAlign w:val="center"/>
                </w:tcPr>
                <w:p w14:paraId="65E21583">
                  <w:pPr>
                    <w:pStyle w:val="51"/>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pacing w:val="3"/>
                      <w:sz w:val="21"/>
                      <w:szCs w:val="21"/>
                    </w:rPr>
                    <w:t>氨氮</w:t>
                  </w:r>
                </w:p>
              </w:tc>
              <w:tc>
                <w:tcPr>
                  <w:tcW w:w="836" w:type="dxa"/>
                  <w:tcBorders>
                    <w:tl2br w:val="nil"/>
                    <w:tr2bl w:val="nil"/>
                  </w:tcBorders>
                  <w:noWrap w:val="0"/>
                  <w:vAlign w:val="center"/>
                </w:tcPr>
                <w:p w14:paraId="71E3AE2F">
                  <w:pPr>
                    <w:pStyle w:val="51"/>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仿宋_GB2312" w:cs="Times New Roman"/>
                      <w:b/>
                      <w:bCs/>
                      <w:color w:val="auto"/>
                      <w:spacing w:val="3"/>
                      <w:sz w:val="21"/>
                      <w:szCs w:val="21"/>
                      <w:lang w:eastAsia="zh-CN"/>
                    </w:rPr>
                  </w:pPr>
                  <w:r>
                    <w:rPr>
                      <w:rFonts w:hint="eastAsia" w:ascii="Times New Roman" w:hAnsi="Times New Roman" w:eastAsia="仿宋_GB2312" w:cs="Times New Roman"/>
                      <w:b/>
                      <w:bCs/>
                      <w:color w:val="auto"/>
                      <w:spacing w:val="3"/>
                      <w:sz w:val="21"/>
                      <w:szCs w:val="21"/>
                      <w:lang w:eastAsia="zh-CN"/>
                    </w:rPr>
                    <w:t>总磷</w:t>
                  </w:r>
                </w:p>
              </w:tc>
              <w:tc>
                <w:tcPr>
                  <w:tcW w:w="836" w:type="dxa"/>
                  <w:tcBorders>
                    <w:tl2br w:val="nil"/>
                    <w:tr2bl w:val="nil"/>
                  </w:tcBorders>
                  <w:noWrap w:val="0"/>
                  <w:vAlign w:val="center"/>
                </w:tcPr>
                <w:p w14:paraId="0D2A1239">
                  <w:pPr>
                    <w:pStyle w:val="51"/>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仿宋_GB2312" w:cs="Times New Roman"/>
                      <w:b/>
                      <w:bCs/>
                      <w:color w:val="auto"/>
                      <w:spacing w:val="3"/>
                      <w:sz w:val="21"/>
                      <w:szCs w:val="21"/>
                      <w:lang w:eastAsia="zh-CN"/>
                    </w:rPr>
                  </w:pPr>
                  <w:r>
                    <w:rPr>
                      <w:rFonts w:hint="eastAsia" w:ascii="Times New Roman" w:hAnsi="Times New Roman" w:eastAsia="仿宋_GB2312" w:cs="Times New Roman"/>
                      <w:b/>
                      <w:bCs/>
                      <w:color w:val="auto"/>
                      <w:spacing w:val="3"/>
                      <w:sz w:val="21"/>
                      <w:szCs w:val="21"/>
                      <w:lang w:eastAsia="zh-CN"/>
                    </w:rPr>
                    <w:t>总氮</w:t>
                  </w:r>
                </w:p>
              </w:tc>
              <w:tc>
                <w:tcPr>
                  <w:tcW w:w="836" w:type="dxa"/>
                  <w:tcBorders>
                    <w:tl2br w:val="nil"/>
                    <w:tr2bl w:val="nil"/>
                  </w:tcBorders>
                  <w:noWrap w:val="0"/>
                  <w:vAlign w:val="center"/>
                </w:tcPr>
                <w:p w14:paraId="31B17BD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pacing w:val="-1"/>
                      <w:sz w:val="21"/>
                      <w:szCs w:val="21"/>
                    </w:rPr>
                    <w:t>SS</w:t>
                  </w:r>
                </w:p>
              </w:tc>
              <w:tc>
                <w:tcPr>
                  <w:tcW w:w="836" w:type="dxa"/>
                  <w:tcBorders>
                    <w:tl2br w:val="nil"/>
                    <w:tr2bl w:val="nil"/>
                  </w:tcBorders>
                  <w:noWrap w:val="0"/>
                  <w:vAlign w:val="center"/>
                </w:tcPr>
                <w:p w14:paraId="6FD8E5D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b/>
                      <w:bCs/>
                      <w:color w:val="auto"/>
                      <w:spacing w:val="-1"/>
                      <w:sz w:val="21"/>
                      <w:szCs w:val="21"/>
                      <w:lang w:eastAsia="zh-CN"/>
                    </w:rPr>
                  </w:pPr>
                  <w:r>
                    <w:rPr>
                      <w:rFonts w:hint="default" w:ascii="Times New Roman" w:hAnsi="Times New Roman" w:eastAsia="仿宋_GB2312" w:cs="Times New Roman"/>
                      <w:b/>
                      <w:bCs/>
                      <w:color w:val="auto"/>
                      <w:spacing w:val="-1"/>
                      <w:sz w:val="21"/>
                      <w:szCs w:val="21"/>
                      <w:lang w:eastAsia="zh-CN"/>
                    </w:rPr>
                    <w:t>石油类</w:t>
                  </w:r>
                </w:p>
              </w:tc>
              <w:tc>
                <w:tcPr>
                  <w:tcW w:w="842" w:type="dxa"/>
                  <w:tcBorders>
                    <w:tl2br w:val="nil"/>
                    <w:tr2bl w:val="nil"/>
                  </w:tcBorders>
                  <w:noWrap w:val="0"/>
                  <w:vAlign w:val="center"/>
                </w:tcPr>
                <w:p w14:paraId="78A7FFA7">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bCs/>
                      <w:color w:val="auto"/>
                      <w:spacing w:val="4"/>
                      <w:sz w:val="21"/>
                      <w:szCs w:val="21"/>
                    </w:rPr>
                    <w:t>LAS</w:t>
                  </w:r>
                </w:p>
              </w:tc>
            </w:tr>
            <w:tr w14:paraId="3C2E7190">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1256" w:type="dxa"/>
                  <w:tcBorders>
                    <w:tl2br w:val="nil"/>
                    <w:tr2bl w:val="nil"/>
                  </w:tcBorders>
                  <w:noWrap w:val="0"/>
                  <w:vAlign w:val="center"/>
                </w:tcPr>
                <w:p w14:paraId="5071ED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最终出水</w:t>
                  </w:r>
                </w:p>
              </w:tc>
              <w:tc>
                <w:tcPr>
                  <w:tcW w:w="836" w:type="dxa"/>
                  <w:tcBorders>
                    <w:tl2br w:val="nil"/>
                    <w:tr2bl w:val="nil"/>
                  </w:tcBorders>
                  <w:noWrap w:val="0"/>
                  <w:vAlign w:val="center"/>
                </w:tcPr>
                <w:p w14:paraId="1DDE3AA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pacing w:val="3"/>
                      <w:sz w:val="21"/>
                      <w:szCs w:val="21"/>
                    </w:rPr>
                    <w:t>21</w:t>
                  </w:r>
                  <w:r>
                    <w:rPr>
                      <w:rFonts w:hint="default" w:ascii="Times New Roman" w:hAnsi="Times New Roman" w:eastAsia="仿宋_GB2312" w:cs="Times New Roman"/>
                      <w:color w:val="auto"/>
                      <w:spacing w:val="3"/>
                      <w:sz w:val="21"/>
                      <w:szCs w:val="21"/>
                      <w:lang w:val="en-US" w:eastAsia="zh-CN"/>
                    </w:rPr>
                    <w:t>7</w:t>
                  </w:r>
                </w:p>
              </w:tc>
              <w:tc>
                <w:tcPr>
                  <w:tcW w:w="836" w:type="dxa"/>
                  <w:tcBorders>
                    <w:tl2br w:val="nil"/>
                    <w:tr2bl w:val="nil"/>
                  </w:tcBorders>
                  <w:noWrap w:val="0"/>
                  <w:vAlign w:val="center"/>
                </w:tcPr>
                <w:p w14:paraId="1AA3646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pacing w:val="-2"/>
                      <w:sz w:val="21"/>
                      <w:szCs w:val="21"/>
                      <w:lang w:val="en-US" w:eastAsia="zh-CN"/>
                    </w:rPr>
                    <w:t>58.4</w:t>
                  </w:r>
                </w:p>
              </w:tc>
              <w:tc>
                <w:tcPr>
                  <w:tcW w:w="836" w:type="dxa"/>
                  <w:tcBorders>
                    <w:tl2br w:val="nil"/>
                    <w:tr2bl w:val="nil"/>
                  </w:tcBorders>
                  <w:noWrap w:val="0"/>
                  <w:vAlign w:val="center"/>
                </w:tcPr>
                <w:p w14:paraId="7BA08F9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pacing w:val="1"/>
                      <w:sz w:val="21"/>
                      <w:szCs w:val="21"/>
                      <w:lang w:val="en-US" w:eastAsia="zh-CN"/>
                    </w:rPr>
                    <w:t>10.1</w:t>
                  </w:r>
                </w:p>
              </w:tc>
              <w:tc>
                <w:tcPr>
                  <w:tcW w:w="836" w:type="dxa"/>
                  <w:tcBorders>
                    <w:tl2br w:val="nil"/>
                    <w:tr2bl w:val="nil"/>
                  </w:tcBorders>
                  <w:noWrap w:val="0"/>
                  <w:vAlign w:val="center"/>
                </w:tcPr>
                <w:p w14:paraId="55305337">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pacing w:val="1"/>
                      <w:sz w:val="21"/>
                      <w:szCs w:val="21"/>
                      <w:lang w:val="en-US" w:eastAsia="zh-CN"/>
                    </w:rPr>
                  </w:pPr>
                  <w:r>
                    <w:rPr>
                      <w:rFonts w:hint="eastAsia" w:ascii="Times New Roman" w:hAnsi="Times New Roman" w:eastAsia="仿宋_GB2312" w:cs="Times New Roman"/>
                      <w:color w:val="auto"/>
                      <w:spacing w:val="1"/>
                      <w:sz w:val="21"/>
                      <w:szCs w:val="21"/>
                      <w:lang w:val="en-US" w:eastAsia="zh-CN"/>
                    </w:rPr>
                    <w:t>3</w:t>
                  </w:r>
                </w:p>
              </w:tc>
              <w:tc>
                <w:tcPr>
                  <w:tcW w:w="836" w:type="dxa"/>
                  <w:tcBorders>
                    <w:tl2br w:val="nil"/>
                    <w:tr2bl w:val="nil"/>
                  </w:tcBorders>
                  <w:noWrap w:val="0"/>
                  <w:vAlign w:val="center"/>
                </w:tcPr>
                <w:p w14:paraId="20AA268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pacing w:val="1"/>
                      <w:sz w:val="21"/>
                      <w:szCs w:val="21"/>
                      <w:lang w:val="en-US" w:eastAsia="zh-CN"/>
                    </w:rPr>
                  </w:pPr>
                  <w:r>
                    <w:rPr>
                      <w:rFonts w:hint="eastAsia" w:ascii="Times New Roman" w:hAnsi="Times New Roman" w:eastAsia="仿宋_GB2312" w:cs="Times New Roman"/>
                      <w:color w:val="auto"/>
                      <w:spacing w:val="1"/>
                      <w:sz w:val="21"/>
                      <w:szCs w:val="21"/>
                      <w:lang w:val="en-US" w:eastAsia="zh-CN"/>
                    </w:rPr>
                    <w:t>40</w:t>
                  </w:r>
                </w:p>
              </w:tc>
              <w:tc>
                <w:tcPr>
                  <w:tcW w:w="836" w:type="dxa"/>
                  <w:tcBorders>
                    <w:tl2br w:val="nil"/>
                    <w:tr2bl w:val="nil"/>
                  </w:tcBorders>
                  <w:noWrap w:val="0"/>
                  <w:vAlign w:val="center"/>
                </w:tcPr>
                <w:p w14:paraId="241D08C4">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pacing w:val="-3"/>
                      <w:sz w:val="21"/>
                      <w:szCs w:val="21"/>
                    </w:rPr>
                    <w:t>126</w:t>
                  </w:r>
                </w:p>
              </w:tc>
              <w:tc>
                <w:tcPr>
                  <w:tcW w:w="836" w:type="dxa"/>
                  <w:tcBorders>
                    <w:tl2br w:val="nil"/>
                    <w:tr2bl w:val="nil"/>
                  </w:tcBorders>
                  <w:noWrap w:val="0"/>
                  <w:vAlign w:val="center"/>
                </w:tcPr>
                <w:p w14:paraId="3FCE4D8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pacing w:val="-3"/>
                      <w:sz w:val="21"/>
                      <w:szCs w:val="21"/>
                      <w:lang w:val="en-US" w:eastAsia="zh-CN"/>
                    </w:rPr>
                  </w:pPr>
                  <w:r>
                    <w:rPr>
                      <w:rFonts w:hint="default" w:ascii="Times New Roman" w:hAnsi="Times New Roman" w:eastAsia="仿宋_GB2312" w:cs="Times New Roman"/>
                      <w:color w:val="auto"/>
                      <w:spacing w:val="-3"/>
                      <w:sz w:val="21"/>
                      <w:szCs w:val="21"/>
                      <w:lang w:val="en-US" w:eastAsia="zh-CN"/>
                    </w:rPr>
                    <w:t>5.97</w:t>
                  </w:r>
                </w:p>
              </w:tc>
              <w:tc>
                <w:tcPr>
                  <w:tcW w:w="842" w:type="dxa"/>
                  <w:tcBorders>
                    <w:tl2br w:val="nil"/>
                    <w:tr2bl w:val="nil"/>
                  </w:tcBorders>
                  <w:noWrap w:val="0"/>
                  <w:vAlign w:val="center"/>
                </w:tcPr>
                <w:p w14:paraId="63B9858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pacing w:val="2"/>
                      <w:sz w:val="21"/>
                      <w:szCs w:val="21"/>
                      <w:lang w:val="en-US" w:eastAsia="zh-CN"/>
                    </w:rPr>
                    <w:t>1.85</w:t>
                  </w:r>
                </w:p>
              </w:tc>
            </w:tr>
            <w:tr w14:paraId="472822BD">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1256" w:type="dxa"/>
                  <w:tcBorders>
                    <w:tl2br w:val="nil"/>
                    <w:tr2bl w:val="nil"/>
                  </w:tcBorders>
                  <w:noWrap w:val="0"/>
                  <w:vAlign w:val="center"/>
                </w:tcPr>
                <w:p w14:paraId="23A535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vertAlign w:val="baseline"/>
                      <w:lang w:eastAsia="zh-CN"/>
                    </w:rPr>
                  </w:pPr>
                  <w:r>
                    <w:rPr>
                      <w:rFonts w:hint="default" w:ascii="Times New Roman" w:hAnsi="Times New Roman" w:eastAsia="仿宋_GB2312" w:cs="Times New Roman"/>
                      <w:color w:val="auto"/>
                      <w:sz w:val="21"/>
                      <w:szCs w:val="21"/>
                      <w:vertAlign w:val="baseline"/>
                      <w:lang w:eastAsia="zh-CN"/>
                    </w:rPr>
                    <w:t>排放标准</w:t>
                  </w:r>
                </w:p>
              </w:tc>
              <w:tc>
                <w:tcPr>
                  <w:tcW w:w="836" w:type="dxa"/>
                  <w:tcBorders>
                    <w:tl2br w:val="nil"/>
                    <w:tr2bl w:val="nil"/>
                  </w:tcBorders>
                  <w:noWrap w:val="0"/>
                  <w:vAlign w:val="center"/>
                </w:tcPr>
                <w:p w14:paraId="4959517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pacing w:val="2"/>
                      <w:sz w:val="21"/>
                      <w:szCs w:val="21"/>
                    </w:rPr>
                    <w:t>300</w:t>
                  </w:r>
                </w:p>
              </w:tc>
              <w:tc>
                <w:tcPr>
                  <w:tcW w:w="836" w:type="dxa"/>
                  <w:tcBorders>
                    <w:tl2br w:val="nil"/>
                    <w:tr2bl w:val="nil"/>
                  </w:tcBorders>
                  <w:noWrap w:val="0"/>
                  <w:vAlign w:val="center"/>
                </w:tcPr>
                <w:p w14:paraId="0765921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pacing w:val="-3"/>
                      <w:sz w:val="21"/>
                      <w:szCs w:val="21"/>
                    </w:rPr>
                    <w:t>150</w:t>
                  </w:r>
                </w:p>
              </w:tc>
              <w:tc>
                <w:tcPr>
                  <w:tcW w:w="836" w:type="dxa"/>
                  <w:tcBorders>
                    <w:tl2br w:val="nil"/>
                    <w:tr2bl w:val="nil"/>
                  </w:tcBorders>
                  <w:noWrap w:val="0"/>
                  <w:vAlign w:val="center"/>
                </w:tcPr>
                <w:p w14:paraId="7FB0EC9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pacing w:val="2"/>
                      <w:sz w:val="21"/>
                      <w:szCs w:val="21"/>
                    </w:rPr>
                    <w:t>25</w:t>
                  </w:r>
                </w:p>
              </w:tc>
              <w:tc>
                <w:tcPr>
                  <w:tcW w:w="836" w:type="dxa"/>
                  <w:tcBorders>
                    <w:tl2br w:val="nil"/>
                    <w:tr2bl w:val="nil"/>
                  </w:tcBorders>
                  <w:noWrap w:val="0"/>
                  <w:vAlign w:val="center"/>
                </w:tcPr>
                <w:p w14:paraId="28E2A7F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imes New Roman" w:hAnsi="Times New Roman" w:eastAsia="仿宋_GB2312" w:cs="Times New Roman"/>
                      <w:color w:val="auto"/>
                      <w:spacing w:val="2"/>
                      <w:sz w:val="21"/>
                      <w:szCs w:val="21"/>
                      <w:lang w:val="en-US" w:eastAsia="zh-CN"/>
                    </w:rPr>
                  </w:pPr>
                  <w:r>
                    <w:rPr>
                      <w:rFonts w:hint="eastAsia" w:ascii="Times New Roman" w:hAnsi="Times New Roman" w:eastAsia="仿宋_GB2312" w:cs="Times New Roman"/>
                      <w:color w:val="auto"/>
                      <w:spacing w:val="2"/>
                      <w:sz w:val="21"/>
                      <w:szCs w:val="21"/>
                      <w:lang w:val="en-US" w:eastAsia="zh-CN"/>
                    </w:rPr>
                    <w:t>3</w:t>
                  </w:r>
                </w:p>
              </w:tc>
              <w:tc>
                <w:tcPr>
                  <w:tcW w:w="836" w:type="dxa"/>
                  <w:tcBorders>
                    <w:tl2br w:val="nil"/>
                    <w:tr2bl w:val="nil"/>
                  </w:tcBorders>
                  <w:noWrap w:val="0"/>
                  <w:vAlign w:val="center"/>
                </w:tcPr>
                <w:p w14:paraId="549DC7E7">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pacing w:val="2"/>
                      <w:sz w:val="21"/>
                      <w:szCs w:val="21"/>
                      <w:lang w:val="en-US" w:eastAsia="zh-CN"/>
                    </w:rPr>
                  </w:pPr>
                  <w:r>
                    <w:rPr>
                      <w:rFonts w:hint="eastAsia" w:ascii="Times New Roman" w:hAnsi="Times New Roman" w:eastAsia="仿宋_GB2312" w:cs="Times New Roman"/>
                      <w:color w:val="auto"/>
                      <w:spacing w:val="2"/>
                      <w:sz w:val="21"/>
                      <w:szCs w:val="21"/>
                      <w:lang w:val="en-US" w:eastAsia="zh-CN"/>
                    </w:rPr>
                    <w:t>40</w:t>
                  </w:r>
                </w:p>
              </w:tc>
              <w:tc>
                <w:tcPr>
                  <w:tcW w:w="836" w:type="dxa"/>
                  <w:tcBorders>
                    <w:tl2br w:val="nil"/>
                    <w:tr2bl w:val="nil"/>
                  </w:tcBorders>
                  <w:noWrap w:val="0"/>
                  <w:vAlign w:val="center"/>
                </w:tcPr>
                <w:p w14:paraId="48088E3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pacing w:val="-3"/>
                      <w:sz w:val="21"/>
                      <w:szCs w:val="21"/>
                    </w:rPr>
                    <w:t>1</w:t>
                  </w:r>
                  <w:r>
                    <w:rPr>
                      <w:rFonts w:hint="default" w:ascii="Times New Roman" w:hAnsi="Times New Roman" w:eastAsia="仿宋_GB2312" w:cs="Times New Roman"/>
                      <w:color w:val="auto"/>
                      <w:spacing w:val="-3"/>
                      <w:sz w:val="21"/>
                      <w:szCs w:val="21"/>
                      <w:lang w:val="en-US" w:eastAsia="zh-CN"/>
                    </w:rPr>
                    <w:t>50</w:t>
                  </w:r>
                </w:p>
              </w:tc>
              <w:tc>
                <w:tcPr>
                  <w:tcW w:w="836" w:type="dxa"/>
                  <w:tcBorders>
                    <w:tl2br w:val="nil"/>
                    <w:tr2bl w:val="nil"/>
                  </w:tcBorders>
                  <w:noWrap w:val="0"/>
                  <w:vAlign w:val="center"/>
                </w:tcPr>
                <w:p w14:paraId="39670CE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pacing w:val="-3"/>
                      <w:sz w:val="21"/>
                      <w:szCs w:val="21"/>
                      <w:lang w:val="en-US" w:eastAsia="zh-CN"/>
                    </w:rPr>
                  </w:pPr>
                  <w:r>
                    <w:rPr>
                      <w:rFonts w:hint="default" w:ascii="Times New Roman" w:hAnsi="Times New Roman" w:eastAsia="仿宋_GB2312" w:cs="Times New Roman"/>
                      <w:color w:val="auto"/>
                      <w:spacing w:val="-3"/>
                      <w:sz w:val="21"/>
                      <w:szCs w:val="21"/>
                      <w:lang w:val="en-US" w:eastAsia="zh-CN"/>
                    </w:rPr>
                    <w:t>20</w:t>
                  </w:r>
                </w:p>
              </w:tc>
              <w:tc>
                <w:tcPr>
                  <w:tcW w:w="842" w:type="dxa"/>
                  <w:tcBorders>
                    <w:tl2br w:val="nil"/>
                    <w:tr2bl w:val="nil"/>
                  </w:tcBorders>
                  <w:noWrap w:val="0"/>
                  <w:vAlign w:val="center"/>
                </w:tcPr>
                <w:p w14:paraId="7652403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pacing w:val="2"/>
                      <w:sz w:val="21"/>
                      <w:szCs w:val="21"/>
                    </w:rPr>
                    <w:t>20</w:t>
                  </w:r>
                </w:p>
              </w:tc>
            </w:tr>
          </w:tbl>
          <w:p w14:paraId="16D6833A">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根据上表可知，项目生活污水经预处理后能够达到《污水综合排放标准》（GB 8978-1996）表4中三级标准及东至国祯水处理有限公司接管标准要求。</w:t>
            </w:r>
          </w:p>
          <w:p w14:paraId="4C13BF13">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（3）接管可行性分析</w:t>
            </w:r>
          </w:p>
          <w:p w14:paraId="7A082A76">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①纳管污水量可行性</w:t>
            </w:r>
          </w:p>
          <w:p w14:paraId="6A0B89F4">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东至县东至国祯水处理有限公司位于东至县尧渡镇毛田村，一期工程设计污水处理能力为2万t/d，于2010年10月建成投产，2019年进行了提标改造，出水水质执行《城镇污水处理厂污染物排放标准》（GB 18918-2002）一级A标准。二期2万t/d，扩规工程设计已经完成，目前正在进行工程建设筹备。本项目投产后，全厂废水产生量2111.5t/a，仅占东至国祯水处理有限公司污水处理能力的0.029%，完全可以被东至国祯水处理有限公司接纳。</w:t>
            </w:r>
          </w:p>
          <w:p w14:paraId="5AEBE0CC">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②纳管污水水质可行性</w:t>
            </w:r>
          </w:p>
          <w:p w14:paraId="252844A0">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东至国祯水处理有限公司纳管水质按《污水综合排放标准》（GB 8978-1996）三级标准设计。本项目排放的废水各项水质指标均满足纳管标准要求，因此，不会对污水处理厂处理工艺造成冲击，不会影响东至国祯水处理有限公司的污水处理效果。</w:t>
            </w:r>
          </w:p>
          <w:p w14:paraId="6AC30227">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③管网铺设</w:t>
            </w:r>
          </w:p>
          <w:p w14:paraId="729A5F82">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项目所在地归属于东至县城区，紧邻东至国祯水处理有限公司，在其收水范围之内，故项目建成后废水可以经市政污水管网被接管。</w:t>
            </w:r>
          </w:p>
          <w:p w14:paraId="4EF7085A">
            <w:pPr>
              <w:keepNext w:val="0"/>
              <w:keepLines w:val="0"/>
              <w:pageBreakBefore w:val="0"/>
              <w:widowControl w:val="0"/>
              <w:numPr>
                <w:ilvl w:val="0"/>
                <w:numId w:val="0"/>
              </w:numPr>
              <w:tabs>
                <w:tab w:val="left" w:pos="2730"/>
              </w:tabs>
              <w:kinsoku/>
              <w:wordWrap/>
              <w:overflowPunct/>
              <w:topLinePunct w:val="0"/>
              <w:autoSpaceDE/>
              <w:autoSpaceDN/>
              <w:bidi w:val="0"/>
              <w:adjustRightInd/>
              <w:snapToGrid/>
              <w:spacing w:before="157" w:beforeLines="50" w:line="360" w:lineRule="auto"/>
              <w:ind w:left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④处理工艺</w:t>
            </w:r>
          </w:p>
          <w:p w14:paraId="2FBE58DE">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东至国祯水处理有限公司污水处理工艺流程主要为：进水经粗格栅处理去除较大漂浮物后经潜污泵提升后过细格栅，进一步拦截和去除细小悬浮物，再经旋流沉砂池进行沉沙，分离去除水中漂浮物和大颗粒悬浮物；进入卡鲁赛尔2000氧化沟进行高效生物处理脱氮除磷并去除有机物；高效沉淀池和反硝化深床滤池进一步去除悬浮物和氮磷，再进加氯消毒后达标排放。</w:t>
            </w:r>
          </w:p>
          <w:p w14:paraId="06A5F8A3">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污水厂处理工艺流程图如下图4-2。</w:t>
            </w:r>
          </w:p>
          <w:p w14:paraId="78319199">
            <w:pPr>
              <w:pStyle w:val="51"/>
              <w:spacing w:before="95" w:line="220" w:lineRule="auto"/>
              <w:rPr>
                <w:rFonts w:hint="default" w:ascii="Times New Roman" w:hAnsi="Times New Roman" w:eastAsia="仿宋_GB2312" w:cs="Times New Roman"/>
                <w:color w:val="auto"/>
                <w:spacing w:val="-1"/>
                <w:sz w:val="24"/>
                <w:szCs w:val="24"/>
                <w:lang w:eastAsia="zh-CN"/>
              </w:rPr>
            </w:pPr>
            <w:r>
              <w:rPr>
                <w:rFonts w:hint="default" w:ascii="Times New Roman" w:hAnsi="Times New Roman" w:eastAsia="仿宋_GB2312" w:cs="Times New Roman"/>
                <w:color w:val="auto"/>
                <w:spacing w:val="-1"/>
                <w:sz w:val="24"/>
                <w:szCs w:val="24"/>
                <w:lang w:eastAsia="zh-CN"/>
              </w:rPr>
              <w:drawing>
                <wp:inline distT="0" distB="0" distL="114300" distR="114300">
                  <wp:extent cx="5041265" cy="1946275"/>
                  <wp:effectExtent l="0" t="0" r="0" b="15875"/>
                  <wp:docPr id="87" name="图片 33"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33" descr="图片2"/>
                          <pic:cNvPicPr>
                            <a:picLocks noChangeAspect="1"/>
                          </pic:cNvPicPr>
                        </pic:nvPicPr>
                        <pic:blipFill>
                          <a:blip r:embed="rId33"/>
                          <a:stretch>
                            <a:fillRect/>
                          </a:stretch>
                        </pic:blipFill>
                        <pic:spPr>
                          <a:xfrm>
                            <a:off x="0" y="0"/>
                            <a:ext cx="5041265" cy="1946275"/>
                          </a:xfrm>
                          <a:prstGeom prst="rect">
                            <a:avLst/>
                          </a:prstGeom>
                          <a:noFill/>
                          <a:ln>
                            <a:noFill/>
                          </a:ln>
                        </pic:spPr>
                      </pic:pic>
                    </a:graphicData>
                  </a:graphic>
                </wp:inline>
              </w:drawing>
            </w:r>
          </w:p>
          <w:p w14:paraId="1557B971">
            <w:pPr>
              <w:pStyle w:val="51"/>
              <w:spacing w:before="95" w:line="220" w:lineRule="auto"/>
              <w:jc w:val="center"/>
              <w:rPr>
                <w:rFonts w:hint="default" w:ascii="Times New Roman" w:hAnsi="Times New Roman" w:eastAsia="仿宋_GB2312" w:cs="Times New Roman"/>
                <w:color w:val="auto"/>
                <w:spacing w:val="-1"/>
                <w:sz w:val="24"/>
                <w:szCs w:val="24"/>
                <w:lang w:eastAsia="zh-CN"/>
              </w:rPr>
            </w:pPr>
            <w:r>
              <w:rPr>
                <w:rFonts w:hint="default" w:ascii="Times New Roman" w:hAnsi="Times New Roman" w:eastAsia="仿宋_GB2312" w:cs="Times New Roman"/>
                <w:b/>
                <w:bCs/>
                <w:color w:val="auto"/>
                <w:spacing w:val="6"/>
                <w:sz w:val="24"/>
                <w:szCs w:val="24"/>
                <w:lang w:eastAsia="zh-CN"/>
              </w:rPr>
              <w:t>图</w:t>
            </w:r>
            <w:r>
              <w:rPr>
                <w:rFonts w:hint="default" w:ascii="Times New Roman" w:hAnsi="Times New Roman" w:eastAsia="仿宋_GB2312" w:cs="Times New Roman"/>
                <w:b/>
                <w:bCs/>
                <w:color w:val="auto"/>
                <w:spacing w:val="6"/>
                <w:sz w:val="24"/>
                <w:szCs w:val="24"/>
              </w:rPr>
              <w:t>4-</w:t>
            </w:r>
            <w:r>
              <w:rPr>
                <w:rFonts w:hint="default" w:ascii="Times New Roman" w:hAnsi="Times New Roman" w:eastAsia="仿宋_GB2312" w:cs="Times New Roman"/>
                <w:b/>
                <w:bCs/>
                <w:color w:val="auto"/>
                <w:spacing w:val="6"/>
                <w:sz w:val="24"/>
                <w:szCs w:val="24"/>
                <w:lang w:val="en-US" w:eastAsia="zh-CN"/>
              </w:rPr>
              <w:t>2</w:t>
            </w:r>
            <w:r>
              <w:rPr>
                <w:rFonts w:hint="default" w:ascii="Times New Roman" w:hAnsi="Times New Roman" w:eastAsia="仿宋_GB2312" w:cs="Times New Roman"/>
                <w:b/>
                <w:bCs/>
                <w:color w:val="auto"/>
                <w:spacing w:val="6"/>
                <w:sz w:val="24"/>
                <w:szCs w:val="24"/>
              </w:rPr>
              <w:t xml:space="preserve"> </w:t>
            </w:r>
            <w:r>
              <w:rPr>
                <w:rFonts w:hint="default" w:ascii="Times New Roman" w:hAnsi="Times New Roman" w:eastAsia="仿宋_GB2312" w:cs="Times New Roman"/>
                <w:b/>
                <w:bCs/>
                <w:color w:val="auto"/>
                <w:spacing w:val="6"/>
                <w:sz w:val="24"/>
                <w:szCs w:val="24"/>
                <w:lang w:eastAsia="zh-CN"/>
              </w:rPr>
              <w:t>东至国祯水处理有限公司处理工艺流程图</w:t>
            </w:r>
          </w:p>
          <w:p w14:paraId="4E2721EB">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综上，本项目废水经预处理后排入东至国祯水处理有限公司可行，经东至国祯水处理有限公司处理后出水可满足《城镇污水处理厂污染物排放标准》（GB 18918-2002）一级A标准要求，对周围地表水环境影响较小。</w:t>
            </w:r>
          </w:p>
          <w:p w14:paraId="5C1E4CB9">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（4）运营期废水监测计划</w:t>
            </w:r>
          </w:p>
          <w:p w14:paraId="7E9C45CB">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本项目属于建设项目行业类别“五十、社会事业与服务业”中“119 加油站、加气站”，参照《固定污染源排污许可管理名录》（2019版）相关内容，本项目可实行排污许可“</w:t>
            </w:r>
            <w:r>
              <w:rPr>
                <w:rFonts w:hint="eastAsia" w:eastAsia="仿宋_GB2312" w:cs="Times New Roman"/>
                <w:bCs/>
                <w:color w:val="auto"/>
                <w:sz w:val="24"/>
                <w:szCs w:val="24"/>
                <w:lang w:val="en-US" w:eastAsia="zh-CN"/>
              </w:rPr>
              <w:t>简化</w:t>
            </w:r>
            <w:r>
              <w:rPr>
                <w:rFonts w:hint="default" w:ascii="Times New Roman" w:hAnsi="Times New Roman" w:eastAsia="仿宋_GB2312" w:cs="Times New Roman"/>
                <w:bCs/>
                <w:color w:val="auto"/>
                <w:sz w:val="24"/>
                <w:szCs w:val="24"/>
                <w:lang w:val="en-US" w:eastAsia="zh-CN"/>
              </w:rPr>
              <w:t>管理”。根据《排污单位自行监测技术指南 储油库、加油站》（HJ 1249-2022）和《排污许可证申请与核发技术规范 储油库、加油站》（HJ 1118-2020）中相关要求，本次环评建议项目运营期废水监测计划如下表4-1</w:t>
            </w:r>
            <w:r>
              <w:rPr>
                <w:rFonts w:hint="eastAsia" w:ascii="Times New Roman" w:hAnsi="Times New Roman" w:eastAsia="仿宋_GB2312" w:cs="Times New Roman"/>
                <w:bCs/>
                <w:color w:val="auto"/>
                <w:sz w:val="24"/>
                <w:szCs w:val="24"/>
                <w:lang w:val="en-US" w:eastAsia="zh-CN"/>
              </w:rPr>
              <w:t>2</w:t>
            </w:r>
            <w:r>
              <w:rPr>
                <w:rFonts w:hint="default" w:ascii="Times New Roman" w:hAnsi="Times New Roman" w:eastAsia="仿宋_GB2312" w:cs="Times New Roman"/>
                <w:bCs/>
                <w:color w:val="auto"/>
                <w:sz w:val="24"/>
                <w:szCs w:val="24"/>
                <w:lang w:val="en-US" w:eastAsia="zh-CN"/>
              </w:rPr>
              <w:t>。</w:t>
            </w:r>
          </w:p>
          <w:p w14:paraId="4112E619">
            <w:pPr>
              <w:keepNext w:val="0"/>
              <w:keepLines w:val="0"/>
              <w:pageBreakBefore w:val="0"/>
              <w:widowControl w:val="0"/>
              <w:tabs>
                <w:tab w:val="left" w:pos="2730"/>
              </w:tabs>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仿宋_GB2312" w:cs="Times New Roman"/>
                <w:b/>
                <w:color w:val="auto"/>
                <w:sz w:val="24"/>
                <w:szCs w:val="24"/>
                <w:lang w:eastAsia="zh-CN"/>
              </w:rPr>
            </w:pPr>
            <w:r>
              <w:rPr>
                <w:rFonts w:hint="default" w:ascii="Times New Roman" w:hAnsi="Times New Roman" w:eastAsia="仿宋_GB2312" w:cs="Times New Roman"/>
                <w:b/>
                <w:color w:val="auto"/>
                <w:sz w:val="24"/>
                <w:szCs w:val="24"/>
              </w:rPr>
              <w:t>表</w:t>
            </w:r>
            <w:r>
              <w:rPr>
                <w:rFonts w:hint="default" w:ascii="Times New Roman" w:hAnsi="Times New Roman" w:eastAsia="仿宋_GB2312" w:cs="Times New Roman"/>
                <w:b/>
                <w:color w:val="auto"/>
                <w:sz w:val="24"/>
                <w:szCs w:val="24"/>
                <w:lang w:val="en-US" w:eastAsia="zh-CN"/>
              </w:rPr>
              <w:t>4-1</w:t>
            </w:r>
            <w:r>
              <w:rPr>
                <w:rFonts w:hint="eastAsia" w:ascii="Times New Roman" w:hAnsi="Times New Roman" w:eastAsia="仿宋_GB2312" w:cs="Times New Roman"/>
                <w:b/>
                <w:color w:val="auto"/>
                <w:sz w:val="24"/>
                <w:szCs w:val="24"/>
                <w:lang w:val="en-US" w:eastAsia="zh-CN"/>
              </w:rPr>
              <w:t>2</w:t>
            </w:r>
            <w:r>
              <w:rPr>
                <w:rFonts w:hint="default" w:ascii="Times New Roman" w:hAnsi="Times New Roman" w:eastAsia="仿宋_GB2312" w:cs="Times New Roman"/>
                <w:b/>
                <w:color w:val="auto"/>
                <w:sz w:val="24"/>
                <w:szCs w:val="24"/>
              </w:rPr>
              <w:t xml:space="preserve"> </w:t>
            </w:r>
            <w:r>
              <w:rPr>
                <w:rFonts w:hint="default" w:ascii="Times New Roman" w:hAnsi="Times New Roman" w:eastAsia="仿宋_GB2312" w:cs="Times New Roman"/>
                <w:b/>
                <w:color w:val="auto"/>
                <w:sz w:val="24"/>
                <w:szCs w:val="24"/>
                <w:lang w:eastAsia="zh-CN"/>
              </w:rPr>
              <w:t>项目废水污染源监测计划</w:t>
            </w:r>
          </w:p>
          <w:tbl>
            <w:tblPr>
              <w:tblStyle w:val="20"/>
              <w:tblW w:w="7828"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1350"/>
              <w:gridCol w:w="1680"/>
              <w:gridCol w:w="1080"/>
              <w:gridCol w:w="2439"/>
            </w:tblGrid>
            <w:tr w14:paraId="6F00910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9" w:type="dxa"/>
                  <w:tcBorders>
                    <w:tl2br w:val="nil"/>
                    <w:tr2bl w:val="nil"/>
                  </w:tcBorders>
                  <w:noWrap w:val="0"/>
                  <w:vAlign w:val="center"/>
                </w:tcPr>
                <w:p w14:paraId="573FD82C">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监测点位</w:t>
                  </w:r>
                </w:p>
              </w:tc>
              <w:tc>
                <w:tcPr>
                  <w:tcW w:w="1350" w:type="dxa"/>
                  <w:tcBorders>
                    <w:tl2br w:val="nil"/>
                    <w:tr2bl w:val="nil"/>
                  </w:tcBorders>
                  <w:noWrap w:val="0"/>
                  <w:vAlign w:val="center"/>
                </w:tcPr>
                <w:p w14:paraId="6CDBBB0F">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排放口类型</w:t>
                  </w:r>
                </w:p>
              </w:tc>
              <w:tc>
                <w:tcPr>
                  <w:tcW w:w="1680" w:type="dxa"/>
                  <w:tcBorders>
                    <w:tl2br w:val="nil"/>
                    <w:tr2bl w:val="nil"/>
                  </w:tcBorders>
                  <w:noWrap w:val="0"/>
                  <w:vAlign w:val="center"/>
                </w:tcPr>
                <w:p w14:paraId="393EEDB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监测因子</w:t>
                  </w:r>
                </w:p>
              </w:tc>
              <w:tc>
                <w:tcPr>
                  <w:tcW w:w="1080" w:type="dxa"/>
                  <w:tcBorders>
                    <w:tl2br w:val="nil"/>
                    <w:tr2bl w:val="nil"/>
                  </w:tcBorders>
                  <w:noWrap w:val="0"/>
                  <w:vAlign w:val="center"/>
                </w:tcPr>
                <w:p w14:paraId="17554E76">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频次</w:t>
                  </w:r>
                </w:p>
              </w:tc>
              <w:tc>
                <w:tcPr>
                  <w:tcW w:w="2439" w:type="dxa"/>
                  <w:tcBorders>
                    <w:tl2br w:val="nil"/>
                    <w:tr2bl w:val="nil"/>
                  </w:tcBorders>
                  <w:noWrap w:val="0"/>
                  <w:vAlign w:val="center"/>
                </w:tcPr>
                <w:p w14:paraId="16DFAB1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执行标准</w:t>
                  </w:r>
                </w:p>
              </w:tc>
            </w:tr>
            <w:tr w14:paraId="7D0AC4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9" w:type="dxa"/>
                  <w:vMerge w:val="restart"/>
                  <w:tcBorders>
                    <w:tl2br w:val="nil"/>
                    <w:tr2bl w:val="nil"/>
                  </w:tcBorders>
                  <w:noWrap w:val="0"/>
                  <w:vAlign w:val="center"/>
                </w:tcPr>
                <w:p w14:paraId="3C129DDB">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废水总排口</w:t>
                  </w:r>
                </w:p>
                <w:p w14:paraId="7DD8CCEE">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（DW001）</w:t>
                  </w:r>
                </w:p>
              </w:tc>
              <w:tc>
                <w:tcPr>
                  <w:tcW w:w="1350" w:type="dxa"/>
                  <w:vMerge w:val="restart"/>
                  <w:tcBorders>
                    <w:tl2br w:val="nil"/>
                    <w:tr2bl w:val="nil"/>
                  </w:tcBorders>
                  <w:noWrap w:val="0"/>
                  <w:vAlign w:val="center"/>
                </w:tcPr>
                <w:p w14:paraId="58E0C48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一般排放口</w:t>
                  </w:r>
                </w:p>
              </w:tc>
              <w:tc>
                <w:tcPr>
                  <w:tcW w:w="1680" w:type="dxa"/>
                  <w:tcBorders>
                    <w:tl2br w:val="nil"/>
                    <w:tr2bl w:val="nil"/>
                  </w:tcBorders>
                  <w:noWrap w:val="0"/>
                  <w:vAlign w:val="center"/>
                </w:tcPr>
                <w:p w14:paraId="31CC441E">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COD、BOD</w:t>
                  </w:r>
                  <w:r>
                    <w:rPr>
                      <w:rFonts w:hint="default" w:ascii="Times New Roman" w:hAnsi="Times New Roman" w:eastAsia="仿宋_GB2312" w:cs="Times New Roman"/>
                      <w:bCs/>
                      <w:color w:val="auto"/>
                      <w:sz w:val="21"/>
                      <w:szCs w:val="21"/>
                      <w:vertAlign w:val="subscript"/>
                      <w:lang w:val="en-US" w:eastAsia="zh-CN"/>
                    </w:rPr>
                    <w:t>5</w:t>
                  </w:r>
                  <w:r>
                    <w:rPr>
                      <w:rFonts w:hint="default" w:ascii="Times New Roman" w:hAnsi="Times New Roman" w:eastAsia="仿宋_GB2312" w:cs="Times New Roman"/>
                      <w:bCs/>
                      <w:color w:val="auto"/>
                      <w:sz w:val="21"/>
                      <w:szCs w:val="21"/>
                      <w:vertAlign w:val="baseline"/>
                      <w:lang w:val="en-US" w:eastAsia="zh-CN"/>
                    </w:rPr>
                    <w:t>、氨氮</w:t>
                  </w:r>
                </w:p>
              </w:tc>
              <w:tc>
                <w:tcPr>
                  <w:tcW w:w="1080" w:type="dxa"/>
                  <w:tcBorders>
                    <w:tl2br w:val="nil"/>
                    <w:tr2bl w:val="nil"/>
                  </w:tcBorders>
                  <w:noWrap w:val="0"/>
                  <w:vAlign w:val="center"/>
                </w:tcPr>
                <w:p w14:paraId="263065FE">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1次/季度</w:t>
                  </w:r>
                </w:p>
              </w:tc>
              <w:tc>
                <w:tcPr>
                  <w:tcW w:w="2439" w:type="dxa"/>
                  <w:vMerge w:val="restart"/>
                  <w:tcBorders>
                    <w:tl2br w:val="nil"/>
                    <w:tr2bl w:val="nil"/>
                  </w:tcBorders>
                  <w:noWrap w:val="0"/>
                  <w:vAlign w:val="center"/>
                </w:tcPr>
                <w:p w14:paraId="77CACC1F">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东至县尧城污水处理厂</w:t>
                  </w:r>
                </w:p>
                <w:p w14:paraId="2E644EA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纳管标准</w:t>
                  </w:r>
                </w:p>
                <w:p w14:paraId="59D0896C">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GB 8978-1996表4的三级排放标准</w:t>
                  </w:r>
                </w:p>
              </w:tc>
            </w:tr>
            <w:tr w14:paraId="22ACB8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79" w:type="dxa"/>
                  <w:vMerge w:val="continue"/>
                  <w:tcBorders>
                    <w:tl2br w:val="nil"/>
                    <w:tr2bl w:val="nil"/>
                  </w:tcBorders>
                  <w:noWrap w:val="0"/>
                  <w:vAlign w:val="center"/>
                </w:tcPr>
                <w:p w14:paraId="78917AD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350" w:type="dxa"/>
                  <w:vMerge w:val="continue"/>
                  <w:tcBorders>
                    <w:tl2br w:val="nil"/>
                    <w:tr2bl w:val="nil"/>
                  </w:tcBorders>
                  <w:noWrap w:val="0"/>
                  <w:vAlign w:val="center"/>
                </w:tcPr>
                <w:p w14:paraId="2C8BE590">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680" w:type="dxa"/>
                  <w:tcBorders>
                    <w:tl2br w:val="nil"/>
                    <w:tr2bl w:val="nil"/>
                  </w:tcBorders>
                  <w:noWrap w:val="0"/>
                  <w:vAlign w:val="center"/>
                </w:tcPr>
                <w:p w14:paraId="6F1F1B23">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pH、SS、石油类、LAS</w:t>
                  </w:r>
                </w:p>
              </w:tc>
              <w:tc>
                <w:tcPr>
                  <w:tcW w:w="1080" w:type="dxa"/>
                  <w:tcBorders>
                    <w:tl2br w:val="nil"/>
                    <w:tr2bl w:val="nil"/>
                  </w:tcBorders>
                  <w:noWrap w:val="0"/>
                  <w:vAlign w:val="center"/>
                </w:tcPr>
                <w:p w14:paraId="24139718">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1次/半年</w:t>
                  </w:r>
                </w:p>
              </w:tc>
              <w:tc>
                <w:tcPr>
                  <w:tcW w:w="2439" w:type="dxa"/>
                  <w:vMerge w:val="continue"/>
                  <w:tcBorders>
                    <w:tl2br w:val="nil"/>
                    <w:tr2bl w:val="nil"/>
                  </w:tcBorders>
                  <w:noWrap w:val="0"/>
                  <w:vAlign w:val="center"/>
                </w:tcPr>
                <w:p w14:paraId="2A939F54">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bl>
          <w:p w14:paraId="65B9376A">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3、噪声</w:t>
            </w:r>
          </w:p>
          <w:p w14:paraId="174D4E12">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（1）噪声源强</w:t>
            </w:r>
          </w:p>
          <w:p w14:paraId="4EDB0BBC">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噪声源主要是各设备运行时产生的噪声，其噪声源强在55~70dB（A）（源强数据参照《中国石化销售股份有限公司安徽池州分公司城西加油站新建项目》）。为尽可能降低噪声对周围环境的影响，要求企业采取如下防治措施：</w:t>
            </w:r>
          </w:p>
          <w:p w14:paraId="153B6119">
            <w:pPr>
              <w:keepNext w:val="0"/>
              <w:keepLines w:val="0"/>
              <w:pageBreakBefore w:val="0"/>
              <w:widowControl w:val="0"/>
              <w:tabs>
                <w:tab w:val="left" w:pos="2730"/>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①设备选型尽量选择噪声低、振动小的设备，安装时设置减</w:t>
            </w:r>
            <w:r>
              <w:rPr>
                <w:rFonts w:hint="eastAsia" w:eastAsia="仿宋_GB2312" w:cs="Times New Roman"/>
                <w:bCs/>
                <w:color w:val="auto"/>
                <w:sz w:val="24"/>
                <w:szCs w:val="24"/>
                <w:lang w:val="en-US" w:eastAsia="zh-CN"/>
              </w:rPr>
              <w:t>振</w:t>
            </w:r>
            <w:r>
              <w:rPr>
                <w:rFonts w:hint="default" w:ascii="Times New Roman" w:hAnsi="Times New Roman" w:eastAsia="仿宋_GB2312" w:cs="Times New Roman"/>
                <w:bCs/>
                <w:color w:val="auto"/>
                <w:sz w:val="24"/>
                <w:szCs w:val="24"/>
                <w:lang w:val="en-US" w:eastAsia="zh-CN"/>
              </w:rPr>
              <w:t>、隔声措施。</w:t>
            </w:r>
          </w:p>
          <w:p w14:paraId="7F343F5B">
            <w:pPr>
              <w:keepNext w:val="0"/>
              <w:keepLines w:val="0"/>
              <w:pageBreakBefore w:val="0"/>
              <w:widowControl w:val="0"/>
              <w:tabs>
                <w:tab w:val="left" w:pos="2730"/>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②设备定期维护、保养，保持设备处于良好运行状态。</w:t>
            </w:r>
          </w:p>
          <w:p w14:paraId="2E227EAB">
            <w:pPr>
              <w:keepNext w:val="0"/>
              <w:keepLines w:val="0"/>
              <w:pageBreakBefore w:val="0"/>
              <w:widowControl w:val="0"/>
              <w:tabs>
                <w:tab w:val="left" w:pos="2730"/>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③加强进出车辆的管理，设置减速、禁鸣标识。</w:t>
            </w:r>
          </w:p>
          <w:p w14:paraId="58160682">
            <w:pPr>
              <w:keepNext w:val="0"/>
              <w:keepLines w:val="0"/>
              <w:pageBreakBefore w:val="0"/>
              <w:widowControl w:val="0"/>
              <w:tabs>
                <w:tab w:val="left" w:pos="2730"/>
              </w:tabs>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项目主要噪声源强及防治措施具体详见下表。</w:t>
            </w:r>
          </w:p>
          <w:p w14:paraId="54AAFE3D">
            <w:pPr>
              <w:keepNext w:val="0"/>
              <w:keepLines w:val="0"/>
              <w:pageBreakBefore w:val="0"/>
              <w:widowControl w:val="0"/>
              <w:tabs>
                <w:tab w:val="left" w:pos="2730"/>
              </w:tabs>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b/>
                <w:color w:val="auto"/>
                <w:sz w:val="24"/>
                <w:szCs w:val="24"/>
              </w:rPr>
              <w:t>表</w:t>
            </w:r>
            <w:r>
              <w:rPr>
                <w:rFonts w:hint="default" w:ascii="Times New Roman" w:hAnsi="Times New Roman" w:eastAsia="仿宋_GB2312" w:cs="Times New Roman"/>
                <w:b/>
                <w:color w:val="auto"/>
                <w:sz w:val="24"/>
                <w:szCs w:val="24"/>
                <w:lang w:val="en-US" w:eastAsia="zh-CN"/>
              </w:rPr>
              <w:t>4-1</w:t>
            </w:r>
            <w:r>
              <w:rPr>
                <w:rFonts w:hint="eastAsia" w:ascii="Times New Roman" w:hAnsi="Times New Roman" w:eastAsia="仿宋_GB2312" w:cs="Times New Roman"/>
                <w:b/>
                <w:color w:val="auto"/>
                <w:sz w:val="24"/>
                <w:szCs w:val="24"/>
                <w:lang w:val="en-US" w:eastAsia="zh-CN"/>
              </w:rPr>
              <w:t>3</w:t>
            </w:r>
            <w:r>
              <w:rPr>
                <w:rFonts w:hint="default" w:ascii="Times New Roman" w:hAnsi="Times New Roman" w:eastAsia="仿宋_GB2312" w:cs="Times New Roman"/>
                <w:b/>
                <w:color w:val="auto"/>
                <w:sz w:val="24"/>
                <w:szCs w:val="24"/>
              </w:rPr>
              <w:t xml:space="preserve"> </w:t>
            </w:r>
            <w:r>
              <w:rPr>
                <w:rFonts w:hint="default" w:ascii="Times New Roman" w:hAnsi="Times New Roman" w:eastAsia="仿宋_GB2312" w:cs="Times New Roman"/>
                <w:b/>
                <w:color w:val="auto"/>
                <w:sz w:val="24"/>
                <w:szCs w:val="24"/>
                <w:lang w:eastAsia="zh-CN"/>
              </w:rPr>
              <w:t>项目主要噪声源强清单</w:t>
            </w:r>
          </w:p>
          <w:tbl>
            <w:tblPr>
              <w:tblStyle w:val="20"/>
              <w:tblW w:w="7946"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18"/>
              <w:gridCol w:w="700"/>
              <w:gridCol w:w="1430"/>
              <w:gridCol w:w="782"/>
              <w:gridCol w:w="782"/>
              <w:gridCol w:w="784"/>
              <w:gridCol w:w="1110"/>
              <w:gridCol w:w="1136"/>
              <w:gridCol w:w="704"/>
            </w:tblGrid>
            <w:tr w14:paraId="1E86D91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8" w:type="dxa"/>
                  <w:vMerge w:val="restart"/>
                  <w:tcBorders>
                    <w:tl2br w:val="nil"/>
                    <w:tr2bl w:val="nil"/>
                  </w:tcBorders>
                  <w:shd w:val="clear" w:color="auto" w:fill="auto"/>
                  <w:noWrap w:val="0"/>
                  <w:vAlign w:val="center"/>
                </w:tcPr>
                <w:p w14:paraId="17AF822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kern w:val="2"/>
                      <w:sz w:val="21"/>
                      <w:szCs w:val="21"/>
                      <w:vertAlign w:val="baseline"/>
                      <w:lang w:val="en-US" w:eastAsia="zh-CN" w:bidi="ar-SA"/>
                    </w:rPr>
                  </w:pPr>
                  <w:r>
                    <w:rPr>
                      <w:rFonts w:hint="default" w:ascii="Times New Roman" w:hAnsi="Times New Roman" w:eastAsia="仿宋_GB2312" w:cs="Times New Roman"/>
                      <w:b/>
                      <w:bCs w:val="0"/>
                      <w:color w:val="auto"/>
                      <w:sz w:val="21"/>
                      <w:szCs w:val="21"/>
                      <w:vertAlign w:val="baseline"/>
                      <w:lang w:val="en-US" w:eastAsia="zh-CN"/>
                    </w:rPr>
                    <w:t>序号</w:t>
                  </w:r>
                </w:p>
              </w:tc>
              <w:tc>
                <w:tcPr>
                  <w:tcW w:w="700" w:type="dxa"/>
                  <w:vMerge w:val="restart"/>
                  <w:tcBorders>
                    <w:tl2br w:val="nil"/>
                    <w:tr2bl w:val="nil"/>
                  </w:tcBorders>
                  <w:shd w:val="clear" w:color="auto" w:fill="auto"/>
                  <w:noWrap w:val="0"/>
                  <w:vAlign w:val="center"/>
                </w:tcPr>
                <w:p w14:paraId="0AB66038">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kern w:val="2"/>
                      <w:sz w:val="21"/>
                      <w:szCs w:val="21"/>
                      <w:vertAlign w:val="baseline"/>
                      <w:lang w:val="en-US" w:eastAsia="zh-CN" w:bidi="ar-SA"/>
                    </w:rPr>
                  </w:pPr>
                  <w:r>
                    <w:rPr>
                      <w:rFonts w:hint="default" w:ascii="Times New Roman" w:hAnsi="Times New Roman" w:eastAsia="仿宋_GB2312" w:cs="Times New Roman"/>
                      <w:b/>
                      <w:bCs w:val="0"/>
                      <w:color w:val="auto"/>
                      <w:sz w:val="21"/>
                      <w:szCs w:val="21"/>
                      <w:vertAlign w:val="baseline"/>
                      <w:lang w:val="en-US" w:eastAsia="zh-CN"/>
                    </w:rPr>
                    <w:t>声源类型</w:t>
                  </w:r>
                </w:p>
              </w:tc>
              <w:tc>
                <w:tcPr>
                  <w:tcW w:w="1430" w:type="dxa"/>
                  <w:vMerge w:val="restart"/>
                  <w:tcBorders>
                    <w:tl2br w:val="nil"/>
                    <w:tr2bl w:val="nil"/>
                  </w:tcBorders>
                  <w:shd w:val="clear" w:color="auto" w:fill="auto"/>
                  <w:noWrap w:val="0"/>
                  <w:vAlign w:val="center"/>
                </w:tcPr>
                <w:p w14:paraId="20F4760F">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kern w:val="2"/>
                      <w:sz w:val="21"/>
                      <w:szCs w:val="21"/>
                      <w:vertAlign w:val="baseline"/>
                      <w:lang w:val="en-US" w:eastAsia="zh-CN" w:bidi="ar-SA"/>
                    </w:rPr>
                  </w:pPr>
                  <w:r>
                    <w:rPr>
                      <w:rFonts w:hint="default" w:ascii="Times New Roman" w:hAnsi="Times New Roman" w:eastAsia="仿宋_GB2312" w:cs="Times New Roman"/>
                      <w:b/>
                      <w:bCs w:val="0"/>
                      <w:color w:val="auto"/>
                      <w:sz w:val="21"/>
                      <w:szCs w:val="21"/>
                      <w:vertAlign w:val="baseline"/>
                      <w:lang w:val="en-US" w:eastAsia="zh-CN"/>
                    </w:rPr>
                    <w:t>声源名称</w:t>
                  </w:r>
                </w:p>
              </w:tc>
              <w:tc>
                <w:tcPr>
                  <w:tcW w:w="2348" w:type="dxa"/>
                  <w:gridSpan w:val="3"/>
                  <w:tcBorders>
                    <w:tl2br w:val="nil"/>
                    <w:tr2bl w:val="nil"/>
                  </w:tcBorders>
                  <w:shd w:val="clear" w:color="auto" w:fill="auto"/>
                  <w:noWrap w:val="0"/>
                  <w:vAlign w:val="center"/>
                </w:tcPr>
                <w:p w14:paraId="7D51A80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空间相对位置/m</w:t>
                  </w:r>
                </w:p>
              </w:tc>
              <w:tc>
                <w:tcPr>
                  <w:tcW w:w="1110" w:type="dxa"/>
                  <w:vMerge w:val="restart"/>
                  <w:tcBorders>
                    <w:tl2br w:val="nil"/>
                    <w:tr2bl w:val="nil"/>
                  </w:tcBorders>
                  <w:noWrap w:val="0"/>
                  <w:vAlign w:val="center"/>
                </w:tcPr>
                <w:p w14:paraId="0EB5C903">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声功率级dB（A）</w:t>
                  </w:r>
                </w:p>
              </w:tc>
              <w:tc>
                <w:tcPr>
                  <w:tcW w:w="1136" w:type="dxa"/>
                  <w:vMerge w:val="restart"/>
                  <w:tcBorders>
                    <w:tl2br w:val="nil"/>
                    <w:tr2bl w:val="nil"/>
                  </w:tcBorders>
                  <w:noWrap w:val="0"/>
                  <w:vAlign w:val="center"/>
                </w:tcPr>
                <w:p w14:paraId="27237F8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kern w:val="2"/>
                      <w:sz w:val="21"/>
                      <w:szCs w:val="21"/>
                      <w:vertAlign w:val="baseline"/>
                      <w:lang w:val="en-US" w:eastAsia="zh-CN" w:bidi="ar-SA"/>
                    </w:rPr>
                  </w:pPr>
                  <w:r>
                    <w:rPr>
                      <w:rFonts w:hint="default" w:ascii="Times New Roman" w:hAnsi="Times New Roman" w:eastAsia="仿宋_GB2312" w:cs="Times New Roman"/>
                      <w:b/>
                      <w:bCs w:val="0"/>
                      <w:color w:val="auto"/>
                      <w:sz w:val="21"/>
                      <w:szCs w:val="21"/>
                      <w:vertAlign w:val="baseline"/>
                      <w:lang w:val="en-US" w:eastAsia="zh-CN"/>
                    </w:rPr>
                    <w:t>声源控制措施</w:t>
                  </w:r>
                </w:p>
              </w:tc>
              <w:tc>
                <w:tcPr>
                  <w:tcW w:w="704" w:type="dxa"/>
                  <w:vMerge w:val="restart"/>
                  <w:tcBorders>
                    <w:tl2br w:val="nil"/>
                    <w:tr2bl w:val="nil"/>
                  </w:tcBorders>
                  <w:noWrap w:val="0"/>
                  <w:vAlign w:val="center"/>
                </w:tcPr>
                <w:p w14:paraId="2E5109A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运行</w:t>
                  </w:r>
                </w:p>
                <w:p w14:paraId="4458F5C7">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kern w:val="2"/>
                      <w:sz w:val="21"/>
                      <w:szCs w:val="21"/>
                      <w:vertAlign w:val="baseline"/>
                      <w:lang w:val="en-US" w:eastAsia="zh-CN" w:bidi="ar-SA"/>
                    </w:rPr>
                  </w:pPr>
                  <w:r>
                    <w:rPr>
                      <w:rFonts w:hint="default" w:ascii="Times New Roman" w:hAnsi="Times New Roman" w:eastAsia="仿宋_GB2312" w:cs="Times New Roman"/>
                      <w:b/>
                      <w:bCs w:val="0"/>
                      <w:color w:val="auto"/>
                      <w:sz w:val="21"/>
                      <w:szCs w:val="21"/>
                      <w:vertAlign w:val="baseline"/>
                      <w:lang w:val="en-US" w:eastAsia="zh-CN"/>
                    </w:rPr>
                    <w:t>时段</w:t>
                  </w:r>
                </w:p>
              </w:tc>
            </w:tr>
            <w:tr w14:paraId="1AFC813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518" w:type="dxa"/>
                  <w:vMerge w:val="continue"/>
                  <w:tcBorders>
                    <w:tl2br w:val="nil"/>
                    <w:tr2bl w:val="nil"/>
                  </w:tcBorders>
                  <w:noWrap w:val="0"/>
                  <w:vAlign w:val="center"/>
                </w:tcPr>
                <w:p w14:paraId="42DE2F7F">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700" w:type="dxa"/>
                  <w:vMerge w:val="continue"/>
                  <w:tcBorders>
                    <w:tl2br w:val="nil"/>
                    <w:tr2bl w:val="nil"/>
                  </w:tcBorders>
                  <w:noWrap w:val="0"/>
                  <w:vAlign w:val="center"/>
                </w:tcPr>
                <w:p w14:paraId="4E024053">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430" w:type="dxa"/>
                  <w:vMerge w:val="continue"/>
                  <w:tcBorders>
                    <w:tl2br w:val="nil"/>
                    <w:tr2bl w:val="nil"/>
                  </w:tcBorders>
                  <w:noWrap w:val="0"/>
                  <w:vAlign w:val="center"/>
                </w:tcPr>
                <w:p w14:paraId="4A961E6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782" w:type="dxa"/>
                  <w:tcBorders>
                    <w:tl2br w:val="nil"/>
                    <w:tr2bl w:val="nil"/>
                  </w:tcBorders>
                  <w:shd w:val="clear" w:color="auto" w:fill="auto"/>
                  <w:noWrap w:val="0"/>
                  <w:vAlign w:val="center"/>
                </w:tcPr>
                <w:p w14:paraId="6632E3A8">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X</w:t>
                  </w:r>
                </w:p>
              </w:tc>
              <w:tc>
                <w:tcPr>
                  <w:tcW w:w="782" w:type="dxa"/>
                  <w:tcBorders>
                    <w:tl2br w:val="nil"/>
                    <w:tr2bl w:val="nil"/>
                  </w:tcBorders>
                  <w:shd w:val="clear" w:color="auto" w:fill="auto"/>
                  <w:noWrap w:val="0"/>
                  <w:vAlign w:val="center"/>
                </w:tcPr>
                <w:p w14:paraId="11DA982D">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Y</w:t>
                  </w:r>
                </w:p>
              </w:tc>
              <w:tc>
                <w:tcPr>
                  <w:tcW w:w="784" w:type="dxa"/>
                  <w:tcBorders>
                    <w:tl2br w:val="nil"/>
                    <w:tr2bl w:val="nil"/>
                  </w:tcBorders>
                  <w:shd w:val="clear" w:color="auto" w:fill="auto"/>
                  <w:noWrap w:val="0"/>
                  <w:vAlign w:val="center"/>
                </w:tcPr>
                <w:p w14:paraId="67F048D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Z</w:t>
                  </w:r>
                </w:p>
              </w:tc>
              <w:tc>
                <w:tcPr>
                  <w:tcW w:w="1110" w:type="dxa"/>
                  <w:vMerge w:val="continue"/>
                  <w:tcBorders>
                    <w:tl2br w:val="nil"/>
                    <w:tr2bl w:val="nil"/>
                  </w:tcBorders>
                  <w:noWrap w:val="0"/>
                  <w:vAlign w:val="center"/>
                </w:tcPr>
                <w:p w14:paraId="2D7AB9E0">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136" w:type="dxa"/>
                  <w:vMerge w:val="continue"/>
                  <w:tcBorders>
                    <w:tl2br w:val="nil"/>
                    <w:tr2bl w:val="nil"/>
                  </w:tcBorders>
                  <w:shd w:val="clear" w:color="auto" w:fill="auto"/>
                  <w:noWrap w:val="0"/>
                  <w:vAlign w:val="center"/>
                </w:tcPr>
                <w:p w14:paraId="37213A30">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kern w:val="2"/>
                      <w:sz w:val="21"/>
                      <w:szCs w:val="21"/>
                      <w:vertAlign w:val="baseline"/>
                      <w:lang w:val="en-US" w:eastAsia="zh-CN" w:bidi="ar-SA"/>
                    </w:rPr>
                  </w:pPr>
                </w:p>
              </w:tc>
              <w:tc>
                <w:tcPr>
                  <w:tcW w:w="704" w:type="dxa"/>
                  <w:vMerge w:val="continue"/>
                  <w:tcBorders>
                    <w:tl2br w:val="nil"/>
                    <w:tr2bl w:val="nil"/>
                  </w:tcBorders>
                  <w:shd w:val="clear" w:color="auto" w:fill="auto"/>
                  <w:noWrap w:val="0"/>
                  <w:vAlign w:val="center"/>
                </w:tcPr>
                <w:p w14:paraId="170E99FD">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bCs w:val="0"/>
                      <w:color w:val="auto"/>
                      <w:kern w:val="2"/>
                      <w:sz w:val="21"/>
                      <w:szCs w:val="21"/>
                      <w:vertAlign w:val="baseline"/>
                      <w:lang w:val="en-US" w:eastAsia="zh-CN" w:bidi="ar-SA"/>
                    </w:rPr>
                  </w:pPr>
                </w:p>
              </w:tc>
            </w:tr>
            <w:tr w14:paraId="0281365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8" w:type="dxa"/>
                  <w:tcBorders>
                    <w:tl2br w:val="nil"/>
                    <w:tr2bl w:val="nil"/>
                  </w:tcBorders>
                  <w:shd w:val="clear" w:color="auto" w:fill="auto"/>
                  <w:noWrap w:val="0"/>
                  <w:vAlign w:val="center"/>
                </w:tcPr>
                <w:p w14:paraId="7F6A8C1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1</w:t>
                  </w:r>
                </w:p>
              </w:tc>
              <w:tc>
                <w:tcPr>
                  <w:tcW w:w="700" w:type="dxa"/>
                  <w:vMerge w:val="restart"/>
                  <w:tcBorders>
                    <w:tl2br w:val="nil"/>
                    <w:tr2bl w:val="nil"/>
                  </w:tcBorders>
                  <w:noWrap w:val="0"/>
                  <w:vAlign w:val="center"/>
                </w:tcPr>
                <w:p w14:paraId="74BD4618">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室外声源</w:t>
                  </w:r>
                </w:p>
              </w:tc>
              <w:tc>
                <w:tcPr>
                  <w:tcW w:w="1430" w:type="dxa"/>
                  <w:tcBorders>
                    <w:tl2br w:val="nil"/>
                    <w:tr2bl w:val="nil"/>
                  </w:tcBorders>
                  <w:shd w:val="clear" w:color="auto" w:fill="auto"/>
                  <w:noWrap w:val="0"/>
                  <w:vAlign w:val="center"/>
                </w:tcPr>
                <w:p w14:paraId="0B6B85E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加油岛1</w:t>
                  </w:r>
                </w:p>
              </w:tc>
              <w:tc>
                <w:tcPr>
                  <w:tcW w:w="782" w:type="dxa"/>
                  <w:tcBorders>
                    <w:tl2br w:val="nil"/>
                    <w:tr2bl w:val="nil"/>
                  </w:tcBorders>
                  <w:shd w:val="clear" w:color="auto" w:fill="auto"/>
                  <w:noWrap w:val="0"/>
                  <w:vAlign w:val="center"/>
                </w:tcPr>
                <w:p w14:paraId="5D7187D6">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-83.8</w:t>
                  </w:r>
                </w:p>
              </w:tc>
              <w:tc>
                <w:tcPr>
                  <w:tcW w:w="782" w:type="dxa"/>
                  <w:tcBorders>
                    <w:tl2br w:val="nil"/>
                    <w:tr2bl w:val="nil"/>
                  </w:tcBorders>
                  <w:shd w:val="clear" w:color="auto" w:fill="auto"/>
                  <w:noWrap w:val="0"/>
                  <w:vAlign w:val="center"/>
                </w:tcPr>
                <w:p w14:paraId="431611CE">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25.5</w:t>
                  </w:r>
                </w:p>
              </w:tc>
              <w:tc>
                <w:tcPr>
                  <w:tcW w:w="784" w:type="dxa"/>
                  <w:tcBorders>
                    <w:tl2br w:val="nil"/>
                    <w:tr2bl w:val="nil"/>
                  </w:tcBorders>
                  <w:shd w:val="clear" w:color="auto" w:fill="auto"/>
                  <w:noWrap w:val="0"/>
                  <w:vAlign w:val="center"/>
                </w:tcPr>
                <w:p w14:paraId="5E9A24E7">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1.2</w:t>
                  </w:r>
                </w:p>
              </w:tc>
              <w:tc>
                <w:tcPr>
                  <w:tcW w:w="1110" w:type="dxa"/>
                  <w:tcBorders>
                    <w:tl2br w:val="nil"/>
                    <w:tr2bl w:val="nil"/>
                  </w:tcBorders>
                  <w:shd w:val="clear" w:color="auto" w:fill="auto"/>
                  <w:noWrap w:val="0"/>
                  <w:vAlign w:val="center"/>
                </w:tcPr>
                <w:p w14:paraId="3C6B8237">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65</w:t>
                  </w:r>
                </w:p>
              </w:tc>
              <w:tc>
                <w:tcPr>
                  <w:tcW w:w="1136" w:type="dxa"/>
                  <w:vMerge w:val="restart"/>
                  <w:tcBorders>
                    <w:tl2br w:val="nil"/>
                    <w:tr2bl w:val="nil"/>
                  </w:tcBorders>
                  <w:shd w:val="clear" w:color="auto" w:fill="auto"/>
                  <w:noWrap w:val="0"/>
                  <w:vAlign w:val="center"/>
                </w:tcPr>
                <w:p w14:paraId="7006332C">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选用低噪声设备，基础减振消声等措施</w:t>
                  </w:r>
                </w:p>
                <w:p w14:paraId="1531145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选用低噪声设备，基础减振消声等措施</w:t>
                  </w:r>
                </w:p>
              </w:tc>
              <w:tc>
                <w:tcPr>
                  <w:tcW w:w="704" w:type="dxa"/>
                  <w:vMerge w:val="restart"/>
                  <w:tcBorders>
                    <w:tl2br w:val="nil"/>
                    <w:tr2bl w:val="nil"/>
                  </w:tcBorders>
                  <w:shd w:val="clear" w:color="auto" w:fill="auto"/>
                  <w:noWrap w:val="0"/>
                  <w:vAlign w:val="center"/>
                </w:tcPr>
                <w:p w14:paraId="17C93DD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连续</w:t>
                  </w:r>
                </w:p>
              </w:tc>
            </w:tr>
            <w:tr w14:paraId="25F8685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8" w:type="dxa"/>
                  <w:tcBorders>
                    <w:tl2br w:val="nil"/>
                    <w:tr2bl w:val="nil"/>
                  </w:tcBorders>
                  <w:shd w:val="clear" w:color="auto" w:fill="auto"/>
                  <w:noWrap w:val="0"/>
                  <w:vAlign w:val="center"/>
                </w:tcPr>
                <w:p w14:paraId="16011D22">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2</w:t>
                  </w:r>
                </w:p>
              </w:tc>
              <w:tc>
                <w:tcPr>
                  <w:tcW w:w="700" w:type="dxa"/>
                  <w:vMerge w:val="continue"/>
                  <w:tcBorders>
                    <w:tl2br w:val="nil"/>
                    <w:tr2bl w:val="nil"/>
                  </w:tcBorders>
                  <w:noWrap w:val="0"/>
                  <w:vAlign w:val="center"/>
                </w:tcPr>
                <w:p w14:paraId="2A39C88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430" w:type="dxa"/>
                  <w:tcBorders>
                    <w:tl2br w:val="nil"/>
                    <w:tr2bl w:val="nil"/>
                  </w:tcBorders>
                  <w:shd w:val="clear" w:color="auto" w:fill="auto"/>
                  <w:noWrap w:val="0"/>
                  <w:vAlign w:val="center"/>
                </w:tcPr>
                <w:p w14:paraId="697F016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加油岛2</w:t>
                  </w:r>
                </w:p>
              </w:tc>
              <w:tc>
                <w:tcPr>
                  <w:tcW w:w="782" w:type="dxa"/>
                  <w:tcBorders>
                    <w:tl2br w:val="nil"/>
                    <w:tr2bl w:val="nil"/>
                  </w:tcBorders>
                  <w:shd w:val="clear" w:color="auto" w:fill="auto"/>
                  <w:noWrap w:val="0"/>
                  <w:vAlign w:val="center"/>
                </w:tcPr>
                <w:p w14:paraId="190F37B4">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-79.8</w:t>
                  </w:r>
                </w:p>
              </w:tc>
              <w:tc>
                <w:tcPr>
                  <w:tcW w:w="782" w:type="dxa"/>
                  <w:tcBorders>
                    <w:tl2br w:val="nil"/>
                    <w:tr2bl w:val="nil"/>
                  </w:tcBorders>
                  <w:shd w:val="clear" w:color="auto" w:fill="auto"/>
                  <w:noWrap w:val="0"/>
                  <w:vAlign w:val="center"/>
                </w:tcPr>
                <w:p w14:paraId="3DC0384E">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2.2</w:t>
                  </w:r>
                </w:p>
              </w:tc>
              <w:tc>
                <w:tcPr>
                  <w:tcW w:w="784" w:type="dxa"/>
                  <w:tcBorders>
                    <w:tl2br w:val="nil"/>
                    <w:tr2bl w:val="nil"/>
                  </w:tcBorders>
                  <w:shd w:val="clear" w:color="auto" w:fill="auto"/>
                  <w:noWrap w:val="0"/>
                  <w:vAlign w:val="center"/>
                </w:tcPr>
                <w:p w14:paraId="57D3568F">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1.2</w:t>
                  </w:r>
                </w:p>
              </w:tc>
              <w:tc>
                <w:tcPr>
                  <w:tcW w:w="1110" w:type="dxa"/>
                  <w:tcBorders>
                    <w:tl2br w:val="nil"/>
                    <w:tr2bl w:val="nil"/>
                  </w:tcBorders>
                  <w:shd w:val="clear" w:color="auto" w:fill="auto"/>
                  <w:noWrap w:val="0"/>
                  <w:vAlign w:val="center"/>
                </w:tcPr>
                <w:p w14:paraId="10BD4C3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65</w:t>
                  </w:r>
                </w:p>
              </w:tc>
              <w:tc>
                <w:tcPr>
                  <w:tcW w:w="1136" w:type="dxa"/>
                  <w:vMerge w:val="continue"/>
                  <w:tcBorders>
                    <w:tl2br w:val="nil"/>
                    <w:tr2bl w:val="nil"/>
                  </w:tcBorders>
                  <w:shd w:val="clear" w:color="auto" w:fill="auto"/>
                  <w:noWrap w:val="0"/>
                  <w:vAlign w:val="center"/>
                </w:tcPr>
                <w:p w14:paraId="4E3767F7">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704" w:type="dxa"/>
                  <w:vMerge w:val="continue"/>
                  <w:tcBorders>
                    <w:tl2br w:val="nil"/>
                    <w:tr2bl w:val="nil"/>
                  </w:tcBorders>
                  <w:shd w:val="clear" w:color="auto" w:fill="auto"/>
                  <w:noWrap w:val="0"/>
                  <w:vAlign w:val="center"/>
                </w:tcPr>
                <w:p w14:paraId="7727C972">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18328E7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8" w:type="dxa"/>
                  <w:tcBorders>
                    <w:tl2br w:val="nil"/>
                    <w:tr2bl w:val="nil"/>
                  </w:tcBorders>
                  <w:shd w:val="clear" w:color="auto" w:fill="auto"/>
                  <w:noWrap w:val="0"/>
                  <w:vAlign w:val="center"/>
                </w:tcPr>
                <w:p w14:paraId="45EA387F">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3</w:t>
                  </w:r>
                </w:p>
              </w:tc>
              <w:tc>
                <w:tcPr>
                  <w:tcW w:w="700" w:type="dxa"/>
                  <w:vMerge w:val="continue"/>
                  <w:tcBorders>
                    <w:tl2br w:val="nil"/>
                    <w:tr2bl w:val="nil"/>
                  </w:tcBorders>
                  <w:noWrap w:val="0"/>
                  <w:vAlign w:val="center"/>
                </w:tcPr>
                <w:p w14:paraId="3F8B583B">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430" w:type="dxa"/>
                  <w:tcBorders>
                    <w:tl2br w:val="nil"/>
                    <w:tr2bl w:val="nil"/>
                  </w:tcBorders>
                  <w:shd w:val="clear" w:color="auto" w:fill="auto"/>
                  <w:noWrap w:val="0"/>
                  <w:vAlign w:val="center"/>
                </w:tcPr>
                <w:p w14:paraId="5AD912B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加油岛3</w:t>
                  </w:r>
                </w:p>
              </w:tc>
              <w:tc>
                <w:tcPr>
                  <w:tcW w:w="782" w:type="dxa"/>
                  <w:tcBorders>
                    <w:tl2br w:val="nil"/>
                    <w:tr2bl w:val="nil"/>
                  </w:tcBorders>
                  <w:shd w:val="clear" w:color="auto" w:fill="auto"/>
                  <w:noWrap w:val="0"/>
                  <w:vAlign w:val="center"/>
                </w:tcPr>
                <w:p w14:paraId="69BA410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-56.2</w:t>
                  </w:r>
                </w:p>
              </w:tc>
              <w:tc>
                <w:tcPr>
                  <w:tcW w:w="782" w:type="dxa"/>
                  <w:tcBorders>
                    <w:tl2br w:val="nil"/>
                    <w:tr2bl w:val="nil"/>
                  </w:tcBorders>
                  <w:shd w:val="clear" w:color="auto" w:fill="auto"/>
                  <w:noWrap w:val="0"/>
                  <w:vAlign w:val="center"/>
                </w:tcPr>
                <w:p w14:paraId="55FB7DCB">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6.7</w:t>
                  </w:r>
                </w:p>
              </w:tc>
              <w:tc>
                <w:tcPr>
                  <w:tcW w:w="784" w:type="dxa"/>
                  <w:tcBorders>
                    <w:tl2br w:val="nil"/>
                    <w:tr2bl w:val="nil"/>
                  </w:tcBorders>
                  <w:shd w:val="clear" w:color="auto" w:fill="auto"/>
                  <w:noWrap w:val="0"/>
                  <w:vAlign w:val="center"/>
                </w:tcPr>
                <w:p w14:paraId="766A8407">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1.2</w:t>
                  </w:r>
                </w:p>
              </w:tc>
              <w:tc>
                <w:tcPr>
                  <w:tcW w:w="1110" w:type="dxa"/>
                  <w:tcBorders>
                    <w:tl2br w:val="nil"/>
                    <w:tr2bl w:val="nil"/>
                  </w:tcBorders>
                  <w:shd w:val="clear" w:color="auto" w:fill="auto"/>
                  <w:noWrap w:val="0"/>
                  <w:vAlign w:val="center"/>
                </w:tcPr>
                <w:p w14:paraId="161C31D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65</w:t>
                  </w:r>
                </w:p>
              </w:tc>
              <w:tc>
                <w:tcPr>
                  <w:tcW w:w="1136" w:type="dxa"/>
                  <w:vMerge w:val="continue"/>
                  <w:tcBorders>
                    <w:tl2br w:val="nil"/>
                    <w:tr2bl w:val="nil"/>
                  </w:tcBorders>
                  <w:shd w:val="clear" w:color="auto" w:fill="auto"/>
                  <w:noWrap w:val="0"/>
                  <w:vAlign w:val="center"/>
                </w:tcPr>
                <w:p w14:paraId="4CA15477">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704" w:type="dxa"/>
                  <w:vMerge w:val="continue"/>
                  <w:tcBorders>
                    <w:tl2br w:val="nil"/>
                    <w:tr2bl w:val="nil"/>
                  </w:tcBorders>
                  <w:shd w:val="clear" w:color="auto" w:fill="auto"/>
                  <w:noWrap w:val="0"/>
                  <w:vAlign w:val="center"/>
                </w:tcPr>
                <w:p w14:paraId="7761E17C">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3DEBF92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8" w:type="dxa"/>
                  <w:tcBorders>
                    <w:tl2br w:val="nil"/>
                    <w:tr2bl w:val="nil"/>
                  </w:tcBorders>
                  <w:shd w:val="clear" w:color="auto" w:fill="auto"/>
                  <w:noWrap w:val="0"/>
                  <w:vAlign w:val="center"/>
                </w:tcPr>
                <w:p w14:paraId="5C047E1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4</w:t>
                  </w:r>
                </w:p>
              </w:tc>
              <w:tc>
                <w:tcPr>
                  <w:tcW w:w="700" w:type="dxa"/>
                  <w:vMerge w:val="continue"/>
                  <w:tcBorders>
                    <w:tl2br w:val="nil"/>
                    <w:tr2bl w:val="nil"/>
                  </w:tcBorders>
                  <w:noWrap w:val="0"/>
                  <w:vAlign w:val="center"/>
                </w:tcPr>
                <w:p w14:paraId="157538F3">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430" w:type="dxa"/>
                  <w:tcBorders>
                    <w:tl2br w:val="nil"/>
                    <w:tr2bl w:val="nil"/>
                  </w:tcBorders>
                  <w:shd w:val="clear" w:color="auto" w:fill="auto"/>
                  <w:noWrap w:val="0"/>
                  <w:vAlign w:val="center"/>
                </w:tcPr>
                <w:p w14:paraId="0DC43DFE">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加油岛4</w:t>
                  </w:r>
                </w:p>
              </w:tc>
              <w:tc>
                <w:tcPr>
                  <w:tcW w:w="782" w:type="dxa"/>
                  <w:tcBorders>
                    <w:tl2br w:val="nil"/>
                    <w:tr2bl w:val="nil"/>
                  </w:tcBorders>
                  <w:shd w:val="clear" w:color="auto" w:fill="auto"/>
                  <w:noWrap w:val="0"/>
                  <w:vAlign w:val="center"/>
                </w:tcPr>
                <w:p w14:paraId="780C53C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-33.1</w:t>
                  </w:r>
                </w:p>
              </w:tc>
              <w:tc>
                <w:tcPr>
                  <w:tcW w:w="782" w:type="dxa"/>
                  <w:tcBorders>
                    <w:tl2br w:val="nil"/>
                    <w:tr2bl w:val="nil"/>
                  </w:tcBorders>
                  <w:shd w:val="clear" w:color="auto" w:fill="auto"/>
                  <w:noWrap w:val="0"/>
                  <w:vAlign w:val="center"/>
                </w:tcPr>
                <w:p w14:paraId="5A1778AF">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11.5</w:t>
                  </w:r>
                </w:p>
              </w:tc>
              <w:tc>
                <w:tcPr>
                  <w:tcW w:w="784" w:type="dxa"/>
                  <w:tcBorders>
                    <w:tl2br w:val="nil"/>
                    <w:tr2bl w:val="nil"/>
                  </w:tcBorders>
                  <w:shd w:val="clear" w:color="auto" w:fill="auto"/>
                  <w:noWrap w:val="0"/>
                  <w:vAlign w:val="center"/>
                </w:tcPr>
                <w:p w14:paraId="6600E7B7">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1.2</w:t>
                  </w:r>
                </w:p>
              </w:tc>
              <w:tc>
                <w:tcPr>
                  <w:tcW w:w="1110" w:type="dxa"/>
                  <w:tcBorders>
                    <w:tl2br w:val="nil"/>
                    <w:tr2bl w:val="nil"/>
                  </w:tcBorders>
                  <w:shd w:val="clear" w:color="auto" w:fill="auto"/>
                  <w:noWrap w:val="0"/>
                  <w:vAlign w:val="center"/>
                </w:tcPr>
                <w:p w14:paraId="44AF39A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65</w:t>
                  </w:r>
                </w:p>
              </w:tc>
              <w:tc>
                <w:tcPr>
                  <w:tcW w:w="1136" w:type="dxa"/>
                  <w:vMerge w:val="continue"/>
                  <w:tcBorders>
                    <w:tl2br w:val="nil"/>
                    <w:tr2bl w:val="nil"/>
                  </w:tcBorders>
                  <w:shd w:val="clear" w:color="auto" w:fill="auto"/>
                  <w:noWrap w:val="0"/>
                  <w:vAlign w:val="center"/>
                </w:tcPr>
                <w:p w14:paraId="58B1802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704" w:type="dxa"/>
                  <w:vMerge w:val="continue"/>
                  <w:tcBorders>
                    <w:tl2br w:val="nil"/>
                    <w:tr2bl w:val="nil"/>
                  </w:tcBorders>
                  <w:shd w:val="clear" w:color="auto" w:fill="auto"/>
                  <w:noWrap w:val="0"/>
                  <w:vAlign w:val="center"/>
                </w:tcPr>
                <w:p w14:paraId="78D289CD">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24EF647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8" w:type="dxa"/>
                  <w:tcBorders>
                    <w:tl2br w:val="nil"/>
                    <w:tr2bl w:val="nil"/>
                  </w:tcBorders>
                  <w:shd w:val="clear" w:color="auto" w:fill="auto"/>
                  <w:noWrap w:val="0"/>
                  <w:vAlign w:val="center"/>
                </w:tcPr>
                <w:p w14:paraId="52B101A3">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5</w:t>
                  </w:r>
                </w:p>
              </w:tc>
              <w:tc>
                <w:tcPr>
                  <w:tcW w:w="700" w:type="dxa"/>
                  <w:vMerge w:val="continue"/>
                  <w:tcBorders>
                    <w:tl2br w:val="nil"/>
                    <w:tr2bl w:val="nil"/>
                  </w:tcBorders>
                  <w:noWrap w:val="0"/>
                  <w:vAlign w:val="center"/>
                </w:tcPr>
                <w:p w14:paraId="3EC7F8F6">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430" w:type="dxa"/>
                  <w:tcBorders>
                    <w:tl2br w:val="nil"/>
                    <w:tr2bl w:val="nil"/>
                  </w:tcBorders>
                  <w:shd w:val="clear" w:color="auto" w:fill="auto"/>
                  <w:noWrap w:val="0"/>
                  <w:vAlign w:val="center"/>
                </w:tcPr>
                <w:p w14:paraId="08C5F014">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加油岛5</w:t>
                  </w:r>
                </w:p>
              </w:tc>
              <w:tc>
                <w:tcPr>
                  <w:tcW w:w="782" w:type="dxa"/>
                  <w:tcBorders>
                    <w:tl2br w:val="nil"/>
                    <w:tr2bl w:val="nil"/>
                  </w:tcBorders>
                  <w:shd w:val="clear" w:color="auto" w:fill="auto"/>
                  <w:noWrap w:val="0"/>
                  <w:vAlign w:val="center"/>
                </w:tcPr>
                <w:p w14:paraId="3650D966">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-37.9</w:t>
                  </w:r>
                </w:p>
              </w:tc>
              <w:tc>
                <w:tcPr>
                  <w:tcW w:w="782" w:type="dxa"/>
                  <w:tcBorders>
                    <w:tl2br w:val="nil"/>
                    <w:tr2bl w:val="nil"/>
                  </w:tcBorders>
                  <w:shd w:val="clear" w:color="auto" w:fill="auto"/>
                  <w:noWrap w:val="0"/>
                  <w:vAlign w:val="center"/>
                </w:tcPr>
                <w:p w14:paraId="66BD8E8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32.0</w:t>
                  </w:r>
                </w:p>
              </w:tc>
              <w:tc>
                <w:tcPr>
                  <w:tcW w:w="784" w:type="dxa"/>
                  <w:tcBorders>
                    <w:tl2br w:val="nil"/>
                    <w:tr2bl w:val="nil"/>
                  </w:tcBorders>
                  <w:shd w:val="clear" w:color="auto" w:fill="auto"/>
                  <w:noWrap w:val="0"/>
                  <w:vAlign w:val="center"/>
                </w:tcPr>
                <w:p w14:paraId="2DEB42F4">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1.2</w:t>
                  </w:r>
                </w:p>
              </w:tc>
              <w:tc>
                <w:tcPr>
                  <w:tcW w:w="1110" w:type="dxa"/>
                  <w:tcBorders>
                    <w:tl2br w:val="nil"/>
                    <w:tr2bl w:val="nil"/>
                  </w:tcBorders>
                  <w:shd w:val="clear" w:color="auto" w:fill="auto"/>
                  <w:noWrap w:val="0"/>
                  <w:vAlign w:val="center"/>
                </w:tcPr>
                <w:p w14:paraId="1497C7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65</w:t>
                  </w:r>
                </w:p>
              </w:tc>
              <w:tc>
                <w:tcPr>
                  <w:tcW w:w="1136" w:type="dxa"/>
                  <w:vMerge w:val="continue"/>
                  <w:tcBorders>
                    <w:tl2br w:val="nil"/>
                    <w:tr2bl w:val="nil"/>
                  </w:tcBorders>
                  <w:shd w:val="clear" w:color="auto" w:fill="auto"/>
                  <w:noWrap w:val="0"/>
                  <w:vAlign w:val="center"/>
                </w:tcPr>
                <w:p w14:paraId="0803756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704" w:type="dxa"/>
                  <w:vMerge w:val="continue"/>
                  <w:tcBorders>
                    <w:tl2br w:val="nil"/>
                    <w:tr2bl w:val="nil"/>
                  </w:tcBorders>
                  <w:shd w:val="clear" w:color="auto" w:fill="auto"/>
                  <w:noWrap w:val="0"/>
                  <w:vAlign w:val="center"/>
                </w:tcPr>
                <w:p w14:paraId="5DA15A62">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333A2CE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8" w:type="dxa"/>
                  <w:tcBorders>
                    <w:tl2br w:val="nil"/>
                    <w:tr2bl w:val="nil"/>
                  </w:tcBorders>
                  <w:shd w:val="clear" w:color="auto" w:fill="auto"/>
                  <w:noWrap w:val="0"/>
                  <w:vAlign w:val="center"/>
                </w:tcPr>
                <w:p w14:paraId="144FC0ED">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6</w:t>
                  </w:r>
                </w:p>
              </w:tc>
              <w:tc>
                <w:tcPr>
                  <w:tcW w:w="700" w:type="dxa"/>
                  <w:vMerge w:val="continue"/>
                  <w:tcBorders>
                    <w:tl2br w:val="nil"/>
                    <w:tr2bl w:val="nil"/>
                  </w:tcBorders>
                  <w:noWrap w:val="0"/>
                  <w:vAlign w:val="center"/>
                </w:tcPr>
                <w:p w14:paraId="548D05C8">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430" w:type="dxa"/>
                  <w:tcBorders>
                    <w:tl2br w:val="nil"/>
                    <w:tr2bl w:val="nil"/>
                  </w:tcBorders>
                  <w:shd w:val="clear" w:color="auto" w:fill="auto"/>
                  <w:noWrap w:val="0"/>
                  <w:vAlign w:val="center"/>
                </w:tcPr>
                <w:p w14:paraId="7E26877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加气岛</w:t>
                  </w:r>
                </w:p>
              </w:tc>
              <w:tc>
                <w:tcPr>
                  <w:tcW w:w="782" w:type="dxa"/>
                  <w:tcBorders>
                    <w:tl2br w:val="nil"/>
                    <w:tr2bl w:val="nil"/>
                  </w:tcBorders>
                  <w:shd w:val="clear" w:color="auto" w:fill="auto"/>
                  <w:noWrap w:val="0"/>
                  <w:vAlign w:val="center"/>
                </w:tcPr>
                <w:p w14:paraId="123770F0">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-61.3</w:t>
                  </w:r>
                </w:p>
              </w:tc>
              <w:tc>
                <w:tcPr>
                  <w:tcW w:w="782" w:type="dxa"/>
                  <w:tcBorders>
                    <w:tl2br w:val="nil"/>
                    <w:tr2bl w:val="nil"/>
                  </w:tcBorders>
                  <w:shd w:val="clear" w:color="auto" w:fill="auto"/>
                  <w:noWrap w:val="0"/>
                  <w:vAlign w:val="center"/>
                </w:tcPr>
                <w:p w14:paraId="5FBDFC3B">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28.3</w:t>
                  </w:r>
                </w:p>
              </w:tc>
              <w:tc>
                <w:tcPr>
                  <w:tcW w:w="784" w:type="dxa"/>
                  <w:tcBorders>
                    <w:tl2br w:val="nil"/>
                    <w:tr2bl w:val="nil"/>
                  </w:tcBorders>
                  <w:shd w:val="clear" w:color="auto" w:fill="auto"/>
                  <w:noWrap w:val="0"/>
                  <w:vAlign w:val="center"/>
                </w:tcPr>
                <w:p w14:paraId="141FBAA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1.2</w:t>
                  </w:r>
                </w:p>
              </w:tc>
              <w:tc>
                <w:tcPr>
                  <w:tcW w:w="1110" w:type="dxa"/>
                  <w:tcBorders>
                    <w:tl2br w:val="nil"/>
                    <w:tr2bl w:val="nil"/>
                  </w:tcBorders>
                  <w:shd w:val="clear" w:color="auto" w:fill="auto"/>
                  <w:noWrap w:val="0"/>
                  <w:vAlign w:val="center"/>
                </w:tcPr>
                <w:p w14:paraId="3F6A97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65</w:t>
                  </w:r>
                </w:p>
              </w:tc>
              <w:tc>
                <w:tcPr>
                  <w:tcW w:w="1136" w:type="dxa"/>
                  <w:vMerge w:val="continue"/>
                  <w:tcBorders>
                    <w:tl2br w:val="nil"/>
                    <w:tr2bl w:val="nil"/>
                  </w:tcBorders>
                  <w:shd w:val="clear" w:color="auto" w:fill="auto"/>
                  <w:noWrap w:val="0"/>
                  <w:vAlign w:val="center"/>
                </w:tcPr>
                <w:p w14:paraId="0EDBAB5D">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704" w:type="dxa"/>
                  <w:vMerge w:val="continue"/>
                  <w:tcBorders>
                    <w:tl2br w:val="nil"/>
                    <w:tr2bl w:val="nil"/>
                  </w:tcBorders>
                  <w:shd w:val="clear" w:color="auto" w:fill="auto"/>
                  <w:noWrap w:val="0"/>
                  <w:vAlign w:val="center"/>
                </w:tcPr>
                <w:p w14:paraId="25A4FAA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r>
            <w:tr w14:paraId="3A39F08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8" w:type="dxa"/>
                  <w:tcBorders>
                    <w:tl2br w:val="nil"/>
                    <w:tr2bl w:val="nil"/>
                  </w:tcBorders>
                  <w:noWrap w:val="0"/>
                  <w:vAlign w:val="center"/>
                </w:tcPr>
                <w:p w14:paraId="0814D288">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7</w:t>
                  </w:r>
                </w:p>
              </w:tc>
              <w:tc>
                <w:tcPr>
                  <w:tcW w:w="700" w:type="dxa"/>
                  <w:vMerge w:val="continue"/>
                  <w:tcBorders>
                    <w:tl2br w:val="nil"/>
                    <w:tr2bl w:val="nil"/>
                  </w:tcBorders>
                  <w:noWrap w:val="0"/>
                  <w:vAlign w:val="center"/>
                </w:tcPr>
                <w:p w14:paraId="4478F9DC">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430" w:type="dxa"/>
                  <w:tcBorders>
                    <w:tl2br w:val="nil"/>
                    <w:tr2bl w:val="nil"/>
                  </w:tcBorders>
                  <w:noWrap w:val="0"/>
                  <w:vAlign w:val="center"/>
                </w:tcPr>
                <w:p w14:paraId="2210A158">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洗车机</w:t>
                  </w:r>
                </w:p>
              </w:tc>
              <w:tc>
                <w:tcPr>
                  <w:tcW w:w="782" w:type="dxa"/>
                  <w:tcBorders>
                    <w:tl2br w:val="nil"/>
                    <w:tr2bl w:val="nil"/>
                  </w:tcBorders>
                  <w:noWrap w:val="0"/>
                  <w:vAlign w:val="center"/>
                </w:tcPr>
                <w:p w14:paraId="5F7FDCC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0.9</w:t>
                  </w:r>
                </w:p>
              </w:tc>
              <w:tc>
                <w:tcPr>
                  <w:tcW w:w="782" w:type="dxa"/>
                  <w:tcBorders>
                    <w:tl2br w:val="nil"/>
                    <w:tr2bl w:val="nil"/>
                  </w:tcBorders>
                  <w:noWrap w:val="0"/>
                  <w:vAlign w:val="center"/>
                </w:tcPr>
                <w:p w14:paraId="261628AE">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-26.2</w:t>
                  </w:r>
                </w:p>
              </w:tc>
              <w:tc>
                <w:tcPr>
                  <w:tcW w:w="784" w:type="dxa"/>
                  <w:tcBorders>
                    <w:tl2br w:val="nil"/>
                    <w:tr2bl w:val="nil"/>
                  </w:tcBorders>
                  <w:noWrap w:val="0"/>
                  <w:vAlign w:val="center"/>
                </w:tcPr>
                <w:p w14:paraId="36362D25">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1.2</w:t>
                  </w:r>
                </w:p>
              </w:tc>
              <w:tc>
                <w:tcPr>
                  <w:tcW w:w="1110" w:type="dxa"/>
                  <w:tcBorders>
                    <w:tl2br w:val="nil"/>
                    <w:tr2bl w:val="nil"/>
                  </w:tcBorders>
                  <w:noWrap w:val="0"/>
                  <w:vAlign w:val="center"/>
                </w:tcPr>
                <w:p w14:paraId="085F6ABF">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70</w:t>
                  </w:r>
                </w:p>
              </w:tc>
              <w:tc>
                <w:tcPr>
                  <w:tcW w:w="1136" w:type="dxa"/>
                  <w:vMerge w:val="continue"/>
                  <w:tcBorders>
                    <w:tl2br w:val="nil"/>
                    <w:tr2bl w:val="nil"/>
                  </w:tcBorders>
                  <w:shd w:val="clear" w:color="auto" w:fill="auto"/>
                  <w:noWrap w:val="0"/>
                  <w:vAlign w:val="center"/>
                </w:tcPr>
                <w:p w14:paraId="5B324161">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p>
              </w:tc>
              <w:tc>
                <w:tcPr>
                  <w:tcW w:w="704" w:type="dxa"/>
                  <w:vMerge w:val="continue"/>
                  <w:tcBorders>
                    <w:tl2br w:val="nil"/>
                    <w:tr2bl w:val="nil"/>
                  </w:tcBorders>
                  <w:shd w:val="clear" w:color="auto" w:fill="auto"/>
                  <w:noWrap w:val="0"/>
                  <w:vAlign w:val="center"/>
                </w:tcPr>
                <w:p w14:paraId="3278EBF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p>
              </w:tc>
            </w:tr>
            <w:tr w14:paraId="3886BE0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18" w:type="dxa"/>
                  <w:tcBorders>
                    <w:tl2br w:val="nil"/>
                    <w:tr2bl w:val="nil"/>
                  </w:tcBorders>
                  <w:noWrap w:val="0"/>
                  <w:vAlign w:val="center"/>
                </w:tcPr>
                <w:p w14:paraId="2505EBB0">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8</w:t>
                  </w:r>
                </w:p>
              </w:tc>
              <w:tc>
                <w:tcPr>
                  <w:tcW w:w="700" w:type="dxa"/>
                  <w:vMerge w:val="continue"/>
                  <w:tcBorders>
                    <w:tl2br w:val="nil"/>
                    <w:tr2bl w:val="nil"/>
                  </w:tcBorders>
                  <w:noWrap w:val="0"/>
                  <w:vAlign w:val="center"/>
                </w:tcPr>
                <w:p w14:paraId="760E5917">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430" w:type="dxa"/>
                  <w:tcBorders>
                    <w:tl2br w:val="nil"/>
                    <w:tr2bl w:val="nil"/>
                  </w:tcBorders>
                  <w:noWrap w:val="0"/>
                  <w:vAlign w:val="center"/>
                </w:tcPr>
                <w:p w14:paraId="447AC23C">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撬装设备</w:t>
                  </w:r>
                </w:p>
              </w:tc>
              <w:tc>
                <w:tcPr>
                  <w:tcW w:w="782" w:type="dxa"/>
                  <w:tcBorders>
                    <w:tl2br w:val="nil"/>
                    <w:tr2bl w:val="nil"/>
                  </w:tcBorders>
                  <w:noWrap w:val="0"/>
                  <w:vAlign w:val="center"/>
                </w:tcPr>
                <w:p w14:paraId="28B5517A">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-45.6</w:t>
                  </w:r>
                </w:p>
              </w:tc>
              <w:tc>
                <w:tcPr>
                  <w:tcW w:w="782" w:type="dxa"/>
                  <w:tcBorders>
                    <w:tl2br w:val="nil"/>
                    <w:tr2bl w:val="nil"/>
                  </w:tcBorders>
                  <w:noWrap w:val="0"/>
                  <w:vAlign w:val="center"/>
                </w:tcPr>
                <w:p w14:paraId="088788B8">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75.3</w:t>
                  </w:r>
                </w:p>
              </w:tc>
              <w:tc>
                <w:tcPr>
                  <w:tcW w:w="784" w:type="dxa"/>
                  <w:tcBorders>
                    <w:tl2br w:val="nil"/>
                    <w:tr2bl w:val="nil"/>
                  </w:tcBorders>
                  <w:noWrap w:val="0"/>
                  <w:vAlign w:val="center"/>
                </w:tcPr>
                <w:p w14:paraId="2FE81894">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1.2</w:t>
                  </w:r>
                </w:p>
              </w:tc>
              <w:tc>
                <w:tcPr>
                  <w:tcW w:w="1110" w:type="dxa"/>
                  <w:tcBorders>
                    <w:tl2br w:val="nil"/>
                    <w:tr2bl w:val="nil"/>
                  </w:tcBorders>
                  <w:noWrap w:val="0"/>
                  <w:vAlign w:val="center"/>
                </w:tcPr>
                <w:p w14:paraId="7C2BA469">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80</w:t>
                  </w:r>
                </w:p>
              </w:tc>
              <w:tc>
                <w:tcPr>
                  <w:tcW w:w="1136" w:type="dxa"/>
                  <w:vMerge w:val="continue"/>
                  <w:tcBorders>
                    <w:tl2br w:val="nil"/>
                    <w:tr2bl w:val="nil"/>
                  </w:tcBorders>
                  <w:shd w:val="clear" w:color="auto" w:fill="auto"/>
                  <w:noWrap w:val="0"/>
                  <w:vAlign w:val="center"/>
                </w:tcPr>
                <w:p w14:paraId="2FA090FF">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p>
              </w:tc>
              <w:tc>
                <w:tcPr>
                  <w:tcW w:w="704" w:type="dxa"/>
                  <w:vMerge w:val="continue"/>
                  <w:tcBorders>
                    <w:tl2br w:val="nil"/>
                    <w:tr2bl w:val="nil"/>
                  </w:tcBorders>
                  <w:shd w:val="clear" w:color="auto" w:fill="auto"/>
                  <w:noWrap w:val="0"/>
                  <w:vAlign w:val="center"/>
                </w:tcPr>
                <w:p w14:paraId="5FBE1ED8">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p>
              </w:tc>
            </w:tr>
            <w:tr w14:paraId="0070B66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946" w:type="dxa"/>
                  <w:gridSpan w:val="9"/>
                  <w:tcBorders>
                    <w:tl2br w:val="nil"/>
                    <w:tr2bl w:val="nil"/>
                  </w:tcBorders>
                  <w:noWrap w:val="0"/>
                  <w:vAlign w:val="center"/>
                </w:tcPr>
                <w:p w14:paraId="64AAAECB">
                  <w:pPr>
                    <w:keepNext w:val="0"/>
                    <w:keepLines w:val="0"/>
                    <w:pageBreakBefore w:val="0"/>
                    <w:widowControl w:val="0"/>
                    <w:tabs>
                      <w:tab w:val="left" w:pos="2730"/>
                    </w:tabs>
                    <w:kinsoku/>
                    <w:wordWrap/>
                    <w:overflowPunct/>
                    <w:topLinePunct w:val="0"/>
                    <w:autoSpaceDE/>
                    <w:autoSpaceDN/>
                    <w:bidi w:val="0"/>
                    <w:adjustRightInd/>
                    <w:snapToGrid/>
                    <w:spacing w:line="240" w:lineRule="auto"/>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注：表中坐标以厂界中心（</w:t>
                  </w:r>
                  <w:bookmarkStart w:id="6" w:name="PO_6"/>
                  <w:r>
                    <w:rPr>
                      <w:rFonts w:hint="default" w:ascii="Times New Roman" w:hAnsi="Times New Roman" w:eastAsia="仿宋_GB2312" w:cs="Times New Roman"/>
                      <w:bCs/>
                      <w:color w:val="auto"/>
                      <w:sz w:val="21"/>
                      <w:szCs w:val="21"/>
                      <w:vertAlign w:val="baseline"/>
                      <w:lang w:val="en-US" w:eastAsia="zh-CN"/>
                    </w:rPr>
                    <w:t>116.999939º,30.155008</w:t>
                  </w:r>
                  <w:bookmarkEnd w:id="6"/>
                  <w:r>
                    <w:rPr>
                      <w:rFonts w:hint="default" w:ascii="Times New Roman" w:hAnsi="Times New Roman" w:eastAsia="仿宋_GB2312" w:cs="Times New Roman"/>
                      <w:bCs/>
                      <w:color w:val="auto"/>
                      <w:sz w:val="21"/>
                      <w:szCs w:val="21"/>
                      <w:vertAlign w:val="baseline"/>
                      <w:lang w:val="en-US" w:eastAsia="zh-CN"/>
                    </w:rPr>
                    <w:t>º）为坐标原点，正东向为X轴正方向，正北向为Y轴正方向。</w:t>
                  </w:r>
                </w:p>
              </w:tc>
            </w:tr>
          </w:tbl>
          <w:p w14:paraId="67C38339">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（2）噪声预测模型</w:t>
            </w:r>
          </w:p>
          <w:p w14:paraId="1E4BE0EF">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采用《环境影响评价技术导则—声环境》（HJ 2.4-2021）中的工业噪声预测计算模型。具体模式如下：</w:t>
            </w:r>
          </w:p>
          <w:p w14:paraId="107FE8AA">
            <w:pPr>
              <w:keepNext w:val="0"/>
              <w:keepLines w:val="0"/>
              <w:pageBreakBefore w:val="0"/>
              <w:widowControl w:val="0"/>
              <w:tabs>
                <w:tab w:val="left" w:pos="2730"/>
              </w:tabs>
              <w:kinsoku/>
              <w:wordWrap/>
              <w:overflowPunct/>
              <w:topLinePunct w:val="0"/>
              <w:autoSpaceDE/>
              <w:autoSpaceDN/>
              <w:bidi w:val="0"/>
              <w:adjustRightInd/>
              <w:snapToGrid/>
              <w:spacing w:before="157" w:beforeLines="50" w:line="360" w:lineRule="auto"/>
              <w:textAlignment w:val="auto"/>
              <w:rPr>
                <w:rFonts w:hint="default" w:ascii="Times New Roman" w:hAnsi="Times New Roman" w:eastAsia="仿宋_GB2312" w:cs="Times New Roman"/>
                <w:color w:val="auto"/>
                <w:sz w:val="24"/>
                <w:szCs w:val="24"/>
                <w:lang w:eastAsia="zh-CN"/>
              </w:rPr>
            </w:pPr>
            <w:r>
              <w:rPr>
                <w:rFonts w:hint="default" w:ascii="Times New Roman" w:hAnsi="Times New Roman" w:eastAsia="仿宋_GB2312" w:cs="Times New Roman"/>
                <w:color w:val="auto"/>
                <w:sz w:val="24"/>
                <w:szCs w:val="24"/>
                <w:lang w:eastAsia="zh-CN"/>
              </w:rPr>
              <w:t>①室外声源</w:t>
            </w:r>
          </w:p>
          <w:p w14:paraId="341ED040">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仿宋_GB2312" w:cs="Times New Roman"/>
                <w:color w:val="auto"/>
                <w:kern w:val="0"/>
                <w:sz w:val="24"/>
                <w:szCs w:val="21"/>
                <w:lang w:bidi="ar"/>
              </w:rPr>
            </w:pPr>
            <w:r>
              <w:rPr>
                <w:rFonts w:hint="default" w:ascii="Times New Roman" w:hAnsi="Times New Roman" w:eastAsia="仿宋_GB2312" w:cs="Times New Roman"/>
                <w:color w:val="auto"/>
                <w:kern w:val="0"/>
                <w:sz w:val="24"/>
                <w:szCs w:val="21"/>
                <w:lang w:bidi="ar"/>
              </w:rPr>
              <w:t>计算基本公式为：</w:t>
            </w:r>
          </w:p>
          <w:p w14:paraId="6A8D53EB">
            <w:pPr>
              <w:keepNext w:val="0"/>
              <w:keepLines w:val="0"/>
              <w:suppressLineNumbers w:val="0"/>
              <w:spacing w:before="0" w:beforeAutospacing="0" w:after="0" w:afterAutospacing="0" w:line="360" w:lineRule="auto"/>
              <w:ind w:left="0" w:right="0" w:firstLine="480" w:firstLineChars="200"/>
              <w:jc w:val="center"/>
              <w:rPr>
                <w:rFonts w:hint="default" w:ascii="Times New Roman" w:hAnsi="Times New Roman" w:eastAsia="仿宋_GB2312" w:cs="Times New Roman"/>
                <w:color w:val="auto"/>
                <w:kern w:val="0"/>
                <w:sz w:val="24"/>
                <w:szCs w:val="21"/>
                <w:lang w:bidi="ar"/>
              </w:rPr>
            </w:pPr>
            <w:r>
              <w:rPr>
                <w:rFonts w:hint="default" w:ascii="Times New Roman" w:hAnsi="Times New Roman" w:eastAsia="仿宋_GB2312" w:cs="Times New Roman"/>
                <w:color w:val="auto"/>
                <w:kern w:val="0"/>
                <w:position w:val="-14"/>
                <w:sz w:val="24"/>
                <w:szCs w:val="21"/>
                <w:lang w:bidi="ar"/>
              </w:rPr>
              <w:object>
                <v:shape id="_x0000_i1032" o:spt="75" type="#_x0000_t75" style="height:18.65pt;width:252.75pt;" o:ole="t" filled="f" stroked="f" coordsize="21600,21600">
                  <v:path/>
                  <v:fill on="f" focussize="0,0"/>
                  <v:stroke on="f"/>
                  <v:imagedata r:id="rId35" o:title=""/>
                  <o:lock v:ext="edit" aspectratio="t"/>
                  <w10:wrap type="none"/>
                  <w10:anchorlock/>
                </v:shape>
                <o:OLEObject Type="Embed" ProgID="Equation.3" ShapeID="_x0000_i1032" DrawAspect="Content" ObjectID="_1468075732" r:id="rId34">
                  <o:LockedField>false</o:LockedField>
                </o:OLEObject>
              </w:object>
            </w:r>
          </w:p>
          <w:p w14:paraId="1FD8F187">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式中：</w:t>
            </w:r>
            <w:r>
              <w:rPr>
                <w:rFonts w:hint="default" w:ascii="Times New Roman" w:hAnsi="Times New Roman" w:eastAsia="仿宋_GB2312" w:cs="Times New Roman"/>
                <w:bCs/>
                <w:color w:val="auto"/>
                <w:position w:val="-14"/>
                <w:sz w:val="24"/>
                <w:szCs w:val="21"/>
              </w:rPr>
              <w:object>
                <v:shape id="_x0000_i1033" o:spt="75" type="#_x0000_t75" style="height:18.65pt;width:30.65pt;" o:ole="t" filled="f" stroked="f" coordsize="21600,21600">
                  <v:path/>
                  <v:fill on="f" focussize="0,0"/>
                  <v:stroke on="f"/>
                  <v:imagedata r:id="rId37" o:title=""/>
                  <o:lock v:ext="edit" aspectratio="t"/>
                  <w10:wrap type="none"/>
                  <w10:anchorlock/>
                </v:shape>
                <o:OLEObject Type="Embed" ProgID="Equation.3" ShapeID="_x0000_i1033" DrawAspect="Content" ObjectID="_1468075733" r:id="rId36">
                  <o:LockedField>false</o:LockedField>
                </o:OLEObject>
              </w:object>
            </w:r>
            <w:r>
              <w:rPr>
                <w:rFonts w:hint="default" w:ascii="Times New Roman" w:hAnsi="Times New Roman" w:eastAsia="仿宋_GB2312" w:cs="Times New Roman"/>
                <w:bCs/>
                <w:color w:val="auto"/>
                <w:sz w:val="24"/>
                <w:szCs w:val="21"/>
              </w:rPr>
              <w:t>——预测点处的声压级，dB；</w:t>
            </w:r>
          </w:p>
          <w:p w14:paraId="0E072F21">
            <w:pPr>
              <w:keepNext w:val="0"/>
              <w:keepLines w:val="0"/>
              <w:suppressLineNumbers w:val="0"/>
              <w:adjustRightInd w:val="0"/>
              <w:snapToGrid w:val="0"/>
              <w:spacing w:before="0" w:beforeAutospacing="0" w:after="0" w:afterAutospacing="0" w:line="360" w:lineRule="auto"/>
              <w:ind w:left="0" w:right="0" w:firstLine="1200" w:firstLineChars="5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position w:val="-14"/>
                <w:sz w:val="24"/>
                <w:szCs w:val="21"/>
              </w:rPr>
              <w:object>
                <v:shape id="_x0000_i1034" o:spt="75" type="#_x0000_t75" style="height:18.65pt;width:34pt;" o:ole="t" filled="f" stroked="f" coordsize="21600,21600">
                  <v:path/>
                  <v:fill on="f" focussize="0,0"/>
                  <v:stroke on="f"/>
                  <v:imagedata r:id="rId39" o:title=""/>
                  <o:lock v:ext="edit" aspectratio="t"/>
                  <w10:wrap type="none"/>
                  <w10:anchorlock/>
                </v:shape>
                <o:OLEObject Type="Embed" ProgID="Equation.3" ShapeID="_x0000_i1034" DrawAspect="Content" ObjectID="_1468075734" r:id="rId38">
                  <o:LockedField>false</o:LockedField>
                </o:OLEObject>
              </w:object>
            </w:r>
            <w:r>
              <w:rPr>
                <w:rFonts w:hint="default" w:ascii="Times New Roman" w:hAnsi="Times New Roman" w:eastAsia="仿宋_GB2312" w:cs="Times New Roman"/>
                <w:bCs/>
                <w:color w:val="auto"/>
                <w:sz w:val="24"/>
                <w:szCs w:val="21"/>
              </w:rPr>
              <w:t>——参考位置</w:t>
            </w:r>
            <w:r>
              <w:rPr>
                <w:rFonts w:hint="default" w:ascii="Times New Roman" w:hAnsi="Times New Roman" w:eastAsia="仿宋_GB2312" w:cs="Times New Roman"/>
                <w:bCs/>
                <w:color w:val="auto"/>
                <w:position w:val="-12"/>
                <w:sz w:val="24"/>
                <w:szCs w:val="21"/>
              </w:rPr>
              <w:object>
                <v:shape id="_x0000_i1035" o:spt="75" type="#_x0000_t75" style="height:18pt;width:11.35pt;" o:ole="t" filled="f" stroked="f" coordsize="21600,21600">
                  <v:path/>
                  <v:fill on="f" focussize="0,0"/>
                  <v:stroke on="f"/>
                  <v:imagedata r:id="rId41" o:title=""/>
                  <o:lock v:ext="edit" aspectratio="t"/>
                  <w10:wrap type="none"/>
                  <w10:anchorlock/>
                </v:shape>
                <o:OLEObject Type="Embed" ProgID="Equation.3" ShapeID="_x0000_i1035" DrawAspect="Content" ObjectID="_1468075735" r:id="rId40">
                  <o:LockedField>false</o:LockedField>
                </o:OLEObject>
              </w:object>
            </w:r>
            <w:r>
              <w:rPr>
                <w:rFonts w:hint="default" w:ascii="Times New Roman" w:hAnsi="Times New Roman" w:eastAsia="仿宋_GB2312" w:cs="Times New Roman"/>
                <w:bCs/>
                <w:color w:val="auto"/>
                <w:sz w:val="24"/>
                <w:szCs w:val="21"/>
              </w:rPr>
              <w:t>处的声压级，dB；</w:t>
            </w:r>
          </w:p>
          <w:p w14:paraId="6ECCD8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position w:val="-12"/>
                <w:sz w:val="24"/>
                <w:szCs w:val="21"/>
              </w:rPr>
              <w:object>
                <v:shape id="_x0000_i1036" o:spt="75" type="#_x0000_t75" style="height:18pt;width:18pt;" o:ole="t" filled="f" stroked="f" coordsize="21600,21600">
                  <v:path/>
                  <v:fill on="f" focussize="0,0"/>
                  <v:stroke on="f"/>
                  <v:imagedata r:id="rId43" o:title=""/>
                  <o:lock v:ext="edit" aspectratio="t"/>
                  <w10:wrap type="none"/>
                  <w10:anchorlock/>
                </v:shape>
                <o:OLEObject Type="Embed" ProgID="Equation.3" ShapeID="_x0000_i1036" DrawAspect="Content" ObjectID="_1468075736" r:id="rId42">
                  <o:LockedField>false</o:LockedField>
                </o:OLEObject>
              </w:object>
            </w:r>
            <w:r>
              <w:rPr>
                <w:rFonts w:hint="default" w:ascii="Times New Roman" w:hAnsi="Times New Roman" w:eastAsia="仿宋_GB2312" w:cs="Times New Roman"/>
                <w:bCs/>
                <w:color w:val="auto"/>
                <w:sz w:val="24"/>
                <w:szCs w:val="21"/>
              </w:rPr>
              <w:t>——指向性校正，它描述点声源的等效连续声压级与产生声功率级</w:t>
            </w:r>
            <w:r>
              <w:rPr>
                <w:rFonts w:hint="default" w:ascii="Times New Roman" w:hAnsi="Times New Roman" w:eastAsia="仿宋_GB2312" w:cs="Times New Roman"/>
                <w:bCs/>
                <w:color w:val="auto"/>
                <w:position w:val="-12"/>
                <w:sz w:val="24"/>
                <w:szCs w:val="21"/>
              </w:rPr>
              <w:object>
                <v:shape id="_x0000_i1037" o:spt="75" type="#_x0000_t75" style="height:18pt;width:15.35pt;" o:ole="t" filled="f" stroked="f" coordsize="21600,21600">
                  <v:path/>
                  <v:fill on="f" focussize="0,0"/>
                  <v:stroke on="f"/>
                  <v:imagedata r:id="rId45" o:title=""/>
                  <o:lock v:ext="edit" aspectratio="t"/>
                  <w10:wrap type="none"/>
                  <w10:anchorlock/>
                </v:shape>
                <o:OLEObject Type="Embed" ProgID="Equation.3" ShapeID="_x0000_i1037" DrawAspect="Content" ObjectID="_1468075737" r:id="rId44">
                  <o:LockedField>false</o:LockedField>
                </o:OLEObject>
              </w:object>
            </w:r>
            <w:r>
              <w:rPr>
                <w:rFonts w:hint="default" w:ascii="Times New Roman" w:hAnsi="Times New Roman" w:eastAsia="仿宋_GB2312" w:cs="Times New Roman"/>
                <w:bCs/>
                <w:color w:val="auto"/>
                <w:sz w:val="24"/>
                <w:szCs w:val="21"/>
              </w:rPr>
              <w:t>的全向点声源在规定方向的声级的偏差程度，dB；</w:t>
            </w:r>
          </w:p>
          <w:p w14:paraId="7F9E788B">
            <w:pPr>
              <w:keepNext w:val="0"/>
              <w:keepLines w:val="0"/>
              <w:suppressLineNumbers w:val="0"/>
              <w:adjustRightInd w:val="0"/>
              <w:snapToGrid w:val="0"/>
              <w:spacing w:before="0" w:beforeAutospacing="0" w:after="0" w:afterAutospacing="0" w:line="360" w:lineRule="auto"/>
              <w:ind w:left="0" w:right="0" w:firstLine="1200" w:firstLineChars="5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position w:val="-12"/>
                <w:sz w:val="24"/>
                <w:szCs w:val="21"/>
              </w:rPr>
              <w:object>
                <v:shape id="_x0000_i1038" o:spt="75" type="#_x0000_t75" style="height:18pt;width:20pt;" o:ole="t" filled="f" stroked="f" coordsize="21600,21600">
                  <v:path/>
                  <v:fill on="f" focussize="0,0"/>
                  <v:stroke on="f"/>
                  <v:imagedata r:id="rId47" o:title=""/>
                  <o:lock v:ext="edit" aspectratio="t"/>
                  <w10:wrap type="none"/>
                  <w10:anchorlock/>
                </v:shape>
                <o:OLEObject Type="Embed" ProgID="Equation.3" ShapeID="_x0000_i1038" DrawAspect="Content" ObjectID="_1468075738" r:id="rId46">
                  <o:LockedField>false</o:LockedField>
                </o:OLEObject>
              </w:object>
            </w:r>
            <w:r>
              <w:rPr>
                <w:rFonts w:hint="default" w:ascii="Times New Roman" w:hAnsi="Times New Roman" w:eastAsia="仿宋_GB2312" w:cs="Times New Roman"/>
                <w:bCs/>
                <w:color w:val="auto"/>
                <w:sz w:val="24"/>
                <w:szCs w:val="21"/>
              </w:rPr>
              <w:t>——几何发散引起的衰减，dB；</w:t>
            </w:r>
          </w:p>
          <w:p w14:paraId="6E29A680">
            <w:pPr>
              <w:keepNext w:val="0"/>
              <w:keepLines w:val="0"/>
              <w:suppressLineNumbers w:val="0"/>
              <w:adjustRightInd w:val="0"/>
              <w:snapToGrid w:val="0"/>
              <w:spacing w:before="0" w:beforeAutospacing="0" w:after="0" w:afterAutospacing="0" w:line="360" w:lineRule="auto"/>
              <w:ind w:left="0" w:right="0" w:firstLine="1200" w:firstLineChars="5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position w:val="-12"/>
                <w:sz w:val="24"/>
                <w:szCs w:val="21"/>
              </w:rPr>
              <w:object>
                <v:shape id="_x0000_i1039" o:spt="75" type="#_x0000_t75" style="height:18pt;width:22pt;" o:ole="t" filled="f" stroked="f" coordsize="21600,21600">
                  <v:path/>
                  <v:fill on="f" focussize="0,0"/>
                  <v:stroke on="f"/>
                  <v:imagedata r:id="rId49" o:title=""/>
                  <o:lock v:ext="edit" aspectratio="t"/>
                  <w10:wrap type="none"/>
                  <w10:anchorlock/>
                </v:shape>
                <o:OLEObject Type="Embed" ProgID="Equation.3" ShapeID="_x0000_i1039" DrawAspect="Content" ObjectID="_1468075739" r:id="rId48">
                  <o:LockedField>false</o:LockedField>
                </o:OLEObject>
              </w:object>
            </w:r>
            <w:r>
              <w:rPr>
                <w:rFonts w:hint="default" w:ascii="Times New Roman" w:hAnsi="Times New Roman" w:eastAsia="仿宋_GB2312" w:cs="Times New Roman"/>
                <w:bCs/>
                <w:color w:val="auto"/>
                <w:sz w:val="24"/>
                <w:szCs w:val="21"/>
              </w:rPr>
              <w:t>——大气吸收引起的衰减，dB；</w:t>
            </w:r>
          </w:p>
          <w:p w14:paraId="312D8C97">
            <w:pPr>
              <w:keepNext w:val="0"/>
              <w:keepLines w:val="0"/>
              <w:suppressLineNumbers w:val="0"/>
              <w:adjustRightInd w:val="0"/>
              <w:snapToGrid w:val="0"/>
              <w:spacing w:before="0" w:beforeAutospacing="0" w:after="0" w:afterAutospacing="0" w:line="360" w:lineRule="auto"/>
              <w:ind w:left="0" w:right="0" w:firstLine="1200" w:firstLineChars="5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position w:val="-14"/>
                <w:sz w:val="24"/>
                <w:szCs w:val="21"/>
              </w:rPr>
              <w:object>
                <v:shape id="_x0000_i1040" o:spt="75" type="#_x0000_t75" style="height:18.65pt;width:18pt;" o:ole="t" filled="f" stroked="f" coordsize="21600,21600">
                  <v:path/>
                  <v:fill on="f" focussize="0,0"/>
                  <v:stroke on="f"/>
                  <v:imagedata r:id="rId51" o:title=""/>
                  <o:lock v:ext="edit" aspectratio="t"/>
                  <w10:wrap type="none"/>
                  <w10:anchorlock/>
                </v:shape>
                <o:OLEObject Type="Embed" ProgID="Equation.3" ShapeID="_x0000_i1040" DrawAspect="Content" ObjectID="_1468075740" r:id="rId50">
                  <o:LockedField>false</o:LockedField>
                </o:OLEObject>
              </w:object>
            </w:r>
            <w:r>
              <w:rPr>
                <w:rFonts w:hint="default" w:ascii="Times New Roman" w:hAnsi="Times New Roman" w:eastAsia="仿宋_GB2312" w:cs="Times New Roman"/>
                <w:bCs/>
                <w:color w:val="auto"/>
                <w:sz w:val="24"/>
                <w:szCs w:val="21"/>
              </w:rPr>
              <w:t>——地面效应引起的衰减，dB；</w:t>
            </w:r>
          </w:p>
          <w:p w14:paraId="3F6D2B7A">
            <w:pPr>
              <w:keepNext w:val="0"/>
              <w:keepLines w:val="0"/>
              <w:suppressLineNumbers w:val="0"/>
              <w:adjustRightInd w:val="0"/>
              <w:snapToGrid w:val="0"/>
              <w:spacing w:before="0" w:beforeAutospacing="0" w:after="0" w:afterAutospacing="0" w:line="360" w:lineRule="auto"/>
              <w:ind w:left="0" w:right="0" w:firstLine="1200" w:firstLineChars="5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position w:val="-12"/>
                <w:sz w:val="24"/>
                <w:szCs w:val="21"/>
              </w:rPr>
              <w:object>
                <v:shape id="_x0000_i1041" o:spt="75" type="#_x0000_t75" style="height:18pt;width:21.35pt;" o:ole="t" filled="f" stroked="f" coordsize="21600,21600">
                  <v:path/>
                  <v:fill on="f" focussize="0,0"/>
                  <v:stroke on="f"/>
                  <v:imagedata r:id="rId53" o:title=""/>
                  <o:lock v:ext="edit" aspectratio="t"/>
                  <w10:wrap type="none"/>
                  <w10:anchorlock/>
                </v:shape>
                <o:OLEObject Type="Embed" ProgID="Equation.3" ShapeID="_x0000_i1041" DrawAspect="Content" ObjectID="_1468075741" r:id="rId52">
                  <o:LockedField>false</o:LockedField>
                </o:OLEObject>
              </w:object>
            </w:r>
            <w:r>
              <w:rPr>
                <w:rFonts w:hint="default" w:ascii="Times New Roman" w:hAnsi="Times New Roman" w:eastAsia="仿宋_GB2312" w:cs="Times New Roman"/>
                <w:bCs/>
                <w:color w:val="auto"/>
                <w:sz w:val="24"/>
                <w:szCs w:val="21"/>
              </w:rPr>
              <w:t>——障碍物屏障引起的衰减，dB；</w:t>
            </w:r>
          </w:p>
          <w:p w14:paraId="785D2F84">
            <w:pPr>
              <w:keepNext w:val="0"/>
              <w:keepLines w:val="0"/>
              <w:suppressLineNumbers w:val="0"/>
              <w:adjustRightInd w:val="0"/>
              <w:snapToGrid w:val="0"/>
              <w:spacing w:before="0" w:beforeAutospacing="0" w:after="0" w:afterAutospacing="0" w:line="360" w:lineRule="auto"/>
              <w:ind w:left="0" w:right="0" w:firstLine="1200" w:firstLineChars="5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position w:val="-12"/>
                <w:sz w:val="24"/>
                <w:szCs w:val="21"/>
              </w:rPr>
              <w:object>
                <v:shape id="_x0000_i1042" o:spt="75" type="#_x0000_t75" style="height:18pt;width:24pt;" o:ole="t" filled="f" stroked="f" coordsize="21600,21600">
                  <v:path/>
                  <v:fill on="f" focussize="0,0"/>
                  <v:stroke on="f"/>
                  <v:imagedata r:id="rId55" o:title=""/>
                  <o:lock v:ext="edit" aspectratio="t"/>
                  <w10:wrap type="none"/>
                  <w10:anchorlock/>
                </v:shape>
                <o:OLEObject Type="Embed" ProgID="Equation.3" ShapeID="_x0000_i1042" DrawAspect="Content" ObjectID="_1468075742" r:id="rId54">
                  <o:LockedField>false</o:LockedField>
                </o:OLEObject>
              </w:object>
            </w:r>
            <w:r>
              <w:rPr>
                <w:rFonts w:hint="default" w:ascii="Times New Roman" w:hAnsi="Times New Roman" w:eastAsia="仿宋_GB2312" w:cs="Times New Roman"/>
                <w:bCs/>
                <w:color w:val="auto"/>
                <w:sz w:val="24"/>
                <w:szCs w:val="21"/>
              </w:rPr>
              <w:t>——其他多方面效应引起的衰减，dB。</w:t>
            </w:r>
          </w:p>
          <w:p w14:paraId="3B85015A">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为保守起见，本次预测仅考虑点声源几何发散衰减，无指向性点声源几何发散衰减的基本公式如下：</w:t>
            </w:r>
          </w:p>
          <w:p w14:paraId="19B09F4B">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color w:val="auto"/>
                <w:sz w:val="24"/>
                <w:szCs w:val="21"/>
              </w:rPr>
              <w:drawing>
                <wp:inline distT="0" distB="0" distL="114300" distR="114300">
                  <wp:extent cx="1961515" cy="539750"/>
                  <wp:effectExtent l="0" t="0" r="635" b="12700"/>
                  <wp:docPr id="10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2"/>
                          <pic:cNvPicPr>
                            <a:picLocks noChangeAspect="1"/>
                          </pic:cNvPicPr>
                        </pic:nvPicPr>
                        <pic:blipFill>
                          <a:blip r:embed="rId56"/>
                          <a:stretch>
                            <a:fillRect/>
                          </a:stretch>
                        </pic:blipFill>
                        <pic:spPr>
                          <a:xfrm>
                            <a:off x="0" y="0"/>
                            <a:ext cx="1961515" cy="539750"/>
                          </a:xfrm>
                          <a:prstGeom prst="rect">
                            <a:avLst/>
                          </a:prstGeom>
                          <a:noFill/>
                          <a:ln>
                            <a:noFill/>
                          </a:ln>
                        </pic:spPr>
                      </pic:pic>
                    </a:graphicData>
                  </a:graphic>
                </wp:inline>
              </w:drawing>
            </w:r>
          </w:p>
          <w:p w14:paraId="2CFB81F3">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②室内声源</w:t>
            </w:r>
          </w:p>
          <w:p w14:paraId="29923E16">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对室内噪声源采用等效室外声源声功率级法进行计算。设靠近开口处（或窗户）室内、室外某倍频带的声压级分别为Lp1和Lp2。若声源所在室内声场为近似扩散声场，则室外的倍频带声压级可按下式近似求出：</w:t>
            </w:r>
          </w:p>
          <w:p w14:paraId="4A46E125">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color w:val="auto"/>
                <w:sz w:val="24"/>
                <w:szCs w:val="21"/>
              </w:rPr>
              <w:drawing>
                <wp:inline distT="0" distB="0" distL="114300" distR="114300">
                  <wp:extent cx="1653540" cy="328930"/>
                  <wp:effectExtent l="0" t="0" r="3810" b="13970"/>
                  <wp:docPr id="10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3"/>
                          <pic:cNvPicPr>
                            <a:picLocks noChangeAspect="1"/>
                          </pic:cNvPicPr>
                        </pic:nvPicPr>
                        <pic:blipFill>
                          <a:blip r:embed="rId57"/>
                          <a:stretch>
                            <a:fillRect/>
                          </a:stretch>
                        </pic:blipFill>
                        <pic:spPr>
                          <a:xfrm>
                            <a:off x="0" y="0"/>
                            <a:ext cx="1653540" cy="328930"/>
                          </a:xfrm>
                          <a:prstGeom prst="rect">
                            <a:avLst/>
                          </a:prstGeom>
                          <a:noFill/>
                          <a:ln>
                            <a:noFill/>
                          </a:ln>
                        </pic:spPr>
                      </pic:pic>
                    </a:graphicData>
                  </a:graphic>
                </wp:inline>
              </w:drawing>
            </w:r>
          </w:p>
          <w:p w14:paraId="67820B5B">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式中：TL—隔墙（或窗户）倍频带的隔声量，dB(A)。</w:t>
            </w:r>
          </w:p>
          <w:p w14:paraId="6A5BF8F6">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color w:val="auto"/>
                <w:sz w:val="24"/>
                <w:szCs w:val="21"/>
              </w:rPr>
              <w:drawing>
                <wp:inline distT="0" distB="0" distL="114300" distR="114300">
                  <wp:extent cx="3131820" cy="1565910"/>
                  <wp:effectExtent l="0" t="0" r="11430" b="15240"/>
                  <wp:docPr id="10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4"/>
                          <pic:cNvPicPr>
                            <a:picLocks noChangeAspect="1"/>
                          </pic:cNvPicPr>
                        </pic:nvPicPr>
                        <pic:blipFill>
                          <a:blip r:embed="rId58"/>
                          <a:stretch>
                            <a:fillRect/>
                          </a:stretch>
                        </pic:blipFill>
                        <pic:spPr>
                          <a:xfrm>
                            <a:off x="0" y="0"/>
                            <a:ext cx="3131820" cy="1565910"/>
                          </a:xfrm>
                          <a:prstGeom prst="rect">
                            <a:avLst/>
                          </a:prstGeom>
                          <a:noFill/>
                          <a:ln>
                            <a:noFill/>
                          </a:ln>
                        </pic:spPr>
                      </pic:pic>
                    </a:graphicData>
                  </a:graphic>
                </wp:inline>
              </w:drawing>
            </w:r>
          </w:p>
          <w:p w14:paraId="04B12236">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也可按照下式计算某一室内声源靠近围护结构处产生的倍频带声压级：</w:t>
            </w:r>
          </w:p>
          <w:p w14:paraId="2712B052">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color w:val="auto"/>
                <w:sz w:val="24"/>
                <w:szCs w:val="21"/>
              </w:rPr>
              <w:drawing>
                <wp:inline distT="0" distB="0" distL="114300" distR="114300">
                  <wp:extent cx="1934845" cy="495300"/>
                  <wp:effectExtent l="0" t="0" r="8255" b="0"/>
                  <wp:docPr id="10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5"/>
                          <pic:cNvPicPr>
                            <a:picLocks noChangeAspect="1"/>
                          </pic:cNvPicPr>
                        </pic:nvPicPr>
                        <pic:blipFill>
                          <a:blip r:embed="rId59"/>
                          <a:stretch>
                            <a:fillRect/>
                          </a:stretch>
                        </pic:blipFill>
                        <pic:spPr>
                          <a:xfrm>
                            <a:off x="0" y="0"/>
                            <a:ext cx="1934845" cy="495300"/>
                          </a:xfrm>
                          <a:prstGeom prst="rect">
                            <a:avLst/>
                          </a:prstGeom>
                          <a:noFill/>
                          <a:ln>
                            <a:noFill/>
                          </a:ln>
                        </pic:spPr>
                      </pic:pic>
                    </a:graphicData>
                  </a:graphic>
                </wp:inline>
              </w:drawing>
            </w:r>
          </w:p>
          <w:p w14:paraId="6D3FBC1B">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式中：Q——指向性因数；通常对无指向性声源，当声源放在房间中心时，Q=1；当入在一面墙的中心时，Q=2；当放在两面墙夹角处时，Q=4；当放在三面墙夹角处时，Q=8；</w:t>
            </w:r>
          </w:p>
          <w:p w14:paraId="3CE03B21">
            <w:pPr>
              <w:keepNext w:val="0"/>
              <w:keepLines w:val="0"/>
              <w:suppressLineNumbers w:val="0"/>
              <w:adjustRightInd w:val="0"/>
              <w:snapToGrid w:val="0"/>
              <w:spacing w:before="0" w:beforeAutospacing="0" w:after="0" w:afterAutospacing="0" w:line="360" w:lineRule="auto"/>
              <w:ind w:left="0" w:right="0" w:firstLine="1200" w:firstLineChars="5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R——房间常数；R=Sα/(1−α)，S为房间内表面面积，m</w:t>
            </w:r>
            <w:r>
              <w:rPr>
                <w:rFonts w:hint="default" w:ascii="Times New Roman" w:hAnsi="Times New Roman" w:eastAsia="仿宋_GB2312" w:cs="Times New Roman"/>
                <w:bCs/>
                <w:color w:val="auto"/>
                <w:sz w:val="24"/>
                <w:szCs w:val="21"/>
                <w:vertAlign w:val="superscript"/>
              </w:rPr>
              <w:t>2</w:t>
            </w:r>
            <w:r>
              <w:rPr>
                <w:rFonts w:hint="default" w:ascii="Times New Roman" w:hAnsi="Times New Roman" w:eastAsia="仿宋_GB2312" w:cs="Times New Roman"/>
                <w:bCs/>
                <w:color w:val="auto"/>
                <w:sz w:val="24"/>
                <w:szCs w:val="21"/>
              </w:rPr>
              <w:t>；α为平均吸声系数；</w:t>
            </w:r>
          </w:p>
          <w:p w14:paraId="42D17A73">
            <w:pPr>
              <w:keepNext w:val="0"/>
              <w:keepLines w:val="0"/>
              <w:suppressLineNumbers w:val="0"/>
              <w:adjustRightInd w:val="0"/>
              <w:snapToGrid w:val="0"/>
              <w:spacing w:before="0" w:beforeAutospacing="0" w:after="0" w:afterAutospacing="0" w:line="360" w:lineRule="auto"/>
              <w:ind w:left="0" w:right="0" w:firstLine="1200" w:firstLineChars="5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r——声源到靠近围护结构某点处的距离，m。</w:t>
            </w:r>
          </w:p>
          <w:p w14:paraId="55AF2611">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所有室内声源在围护结构处产生的i倍频带叠加声压级的计算：</w:t>
            </w:r>
          </w:p>
          <w:p w14:paraId="15314332">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color w:val="auto"/>
                <w:sz w:val="24"/>
                <w:szCs w:val="21"/>
              </w:rPr>
              <w:drawing>
                <wp:inline distT="0" distB="0" distL="114300" distR="114300">
                  <wp:extent cx="1835785" cy="518160"/>
                  <wp:effectExtent l="0" t="0" r="12065" b="15240"/>
                  <wp:docPr id="11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6"/>
                          <pic:cNvPicPr>
                            <a:picLocks noChangeAspect="1"/>
                          </pic:cNvPicPr>
                        </pic:nvPicPr>
                        <pic:blipFill>
                          <a:blip r:embed="rId60"/>
                          <a:stretch>
                            <a:fillRect/>
                          </a:stretch>
                        </pic:blipFill>
                        <pic:spPr>
                          <a:xfrm>
                            <a:off x="0" y="0"/>
                            <a:ext cx="1835785" cy="518160"/>
                          </a:xfrm>
                          <a:prstGeom prst="rect">
                            <a:avLst/>
                          </a:prstGeom>
                          <a:noFill/>
                          <a:ln>
                            <a:noFill/>
                          </a:ln>
                        </pic:spPr>
                      </pic:pic>
                    </a:graphicData>
                  </a:graphic>
                </wp:inline>
              </w:drawing>
            </w:r>
          </w:p>
          <w:p w14:paraId="7B44A2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式中：LP1，i（T）——靠近围护结构处室内N个声源i倍频带的叠加声压级，dB；</w:t>
            </w:r>
          </w:p>
          <w:p w14:paraId="6C75DB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LP1，j——室内j声源i倍频带的声压级，dB；</w:t>
            </w:r>
          </w:p>
          <w:p w14:paraId="1BA089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N——室内声源总数；</w:t>
            </w:r>
          </w:p>
          <w:p w14:paraId="5716449B">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在室内近似为扩散声场时，按下式计算出靠近室外围护结构处的声压级：</w:t>
            </w:r>
          </w:p>
          <w:p w14:paraId="13C5CE5E">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color w:val="auto"/>
                <w:sz w:val="24"/>
                <w:szCs w:val="21"/>
              </w:rPr>
              <w:drawing>
                <wp:inline distT="0" distB="0" distL="114300" distR="114300">
                  <wp:extent cx="2029460" cy="321310"/>
                  <wp:effectExtent l="0" t="0" r="8890" b="2540"/>
                  <wp:docPr id="11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7"/>
                          <pic:cNvPicPr>
                            <a:picLocks noChangeAspect="1"/>
                          </pic:cNvPicPr>
                        </pic:nvPicPr>
                        <pic:blipFill>
                          <a:blip r:embed="rId61"/>
                          <a:stretch>
                            <a:fillRect/>
                          </a:stretch>
                        </pic:blipFill>
                        <pic:spPr>
                          <a:xfrm>
                            <a:off x="0" y="0"/>
                            <a:ext cx="2029460" cy="321310"/>
                          </a:xfrm>
                          <a:prstGeom prst="rect">
                            <a:avLst/>
                          </a:prstGeom>
                          <a:noFill/>
                          <a:ln>
                            <a:noFill/>
                          </a:ln>
                        </pic:spPr>
                      </pic:pic>
                    </a:graphicData>
                  </a:graphic>
                </wp:inline>
              </w:drawing>
            </w:r>
          </w:p>
          <w:p w14:paraId="05225A3E">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式中：L</w:t>
            </w:r>
            <w:r>
              <w:rPr>
                <w:rFonts w:hint="default" w:ascii="Times New Roman" w:hAnsi="Times New Roman" w:eastAsia="仿宋_GB2312" w:cs="Times New Roman"/>
                <w:bCs/>
                <w:color w:val="auto"/>
                <w:sz w:val="24"/>
                <w:szCs w:val="21"/>
                <w:vertAlign w:val="subscript"/>
              </w:rPr>
              <w:t>P2i</w:t>
            </w:r>
            <w:r>
              <w:rPr>
                <w:rFonts w:hint="default" w:ascii="Times New Roman" w:hAnsi="Times New Roman" w:eastAsia="仿宋_GB2312" w:cs="Times New Roman"/>
                <w:bCs/>
                <w:color w:val="auto"/>
                <w:sz w:val="24"/>
                <w:szCs w:val="21"/>
              </w:rPr>
              <w:t>（T）——靠近围护结构处室外N个声源i倍频带的叠加声压级，dB；</w:t>
            </w:r>
          </w:p>
          <w:p w14:paraId="65314087">
            <w:pPr>
              <w:keepNext w:val="0"/>
              <w:keepLines w:val="0"/>
              <w:suppressLineNumbers w:val="0"/>
              <w:adjustRightInd w:val="0"/>
              <w:snapToGrid w:val="0"/>
              <w:spacing w:before="0" w:beforeAutospacing="0" w:after="0" w:afterAutospacing="0" w:line="360" w:lineRule="auto"/>
              <w:ind w:left="0" w:right="0" w:firstLine="1200" w:firstLineChars="5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TL</w:t>
            </w:r>
            <w:r>
              <w:rPr>
                <w:rFonts w:hint="default" w:ascii="Times New Roman" w:hAnsi="Times New Roman" w:eastAsia="仿宋_GB2312" w:cs="Times New Roman"/>
                <w:bCs/>
                <w:color w:val="auto"/>
                <w:sz w:val="24"/>
                <w:szCs w:val="21"/>
                <w:vertAlign w:val="subscript"/>
              </w:rPr>
              <w:t>i</w:t>
            </w:r>
            <w:r>
              <w:rPr>
                <w:rFonts w:hint="default" w:ascii="Times New Roman" w:hAnsi="Times New Roman" w:eastAsia="仿宋_GB2312" w:cs="Times New Roman"/>
                <w:bCs/>
                <w:color w:val="auto"/>
                <w:sz w:val="24"/>
                <w:szCs w:val="21"/>
              </w:rPr>
              <w:t>——围护结构i倍频带的隔声量，dB；</w:t>
            </w:r>
          </w:p>
          <w:p w14:paraId="4E807A62">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将室外声源的声压级和透过面积换算成等效的室外声源，计算出中心位置于透声面积（S）处的等效声源的倍频带声功率级，见下式：</w:t>
            </w:r>
          </w:p>
          <w:p w14:paraId="2A7C14A8">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color w:val="auto"/>
                <w:sz w:val="24"/>
                <w:szCs w:val="21"/>
              </w:rPr>
              <w:drawing>
                <wp:inline distT="0" distB="0" distL="114300" distR="114300">
                  <wp:extent cx="1623695" cy="257175"/>
                  <wp:effectExtent l="0" t="0" r="14605" b="9525"/>
                  <wp:docPr id="11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8"/>
                          <pic:cNvPicPr>
                            <a:picLocks noChangeAspect="1"/>
                          </pic:cNvPicPr>
                        </pic:nvPicPr>
                        <pic:blipFill>
                          <a:blip r:embed="rId62"/>
                          <a:stretch>
                            <a:fillRect/>
                          </a:stretch>
                        </pic:blipFill>
                        <pic:spPr>
                          <a:xfrm>
                            <a:off x="0" y="0"/>
                            <a:ext cx="1623695" cy="257175"/>
                          </a:xfrm>
                          <a:prstGeom prst="rect">
                            <a:avLst/>
                          </a:prstGeom>
                          <a:noFill/>
                          <a:ln>
                            <a:noFill/>
                          </a:ln>
                        </pic:spPr>
                      </pic:pic>
                    </a:graphicData>
                  </a:graphic>
                </wp:inline>
              </w:drawing>
            </w:r>
          </w:p>
          <w:p w14:paraId="0C007A7F">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然后按室外声源预测方法计算预测点处的A声级。</w:t>
            </w:r>
          </w:p>
          <w:p w14:paraId="37B58453">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③计算总声压级</w:t>
            </w:r>
          </w:p>
          <w:p w14:paraId="5D083638">
            <w:pPr>
              <w:keepNext w:val="0"/>
              <w:keepLines w:val="0"/>
              <w:suppressLineNumbers w:val="0"/>
              <w:adjustRightInd w:val="0"/>
              <w:snapToGrid w:val="0"/>
              <w:spacing w:before="0" w:beforeAutospacing="0" w:after="0" w:afterAutospacing="0" w:line="360" w:lineRule="auto"/>
              <w:ind w:right="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A</w:t>
            </w:r>
            <w:r>
              <w:rPr>
                <w:rFonts w:hint="eastAsia" w:ascii="Times New Roman" w:hAnsi="Times New Roman" w:eastAsia="仿宋_GB2312" w:cs="Times New Roman"/>
                <w:bCs/>
                <w:color w:val="auto"/>
                <w:sz w:val="24"/>
                <w:szCs w:val="21"/>
                <w:lang w:eastAsia="zh-CN"/>
              </w:rPr>
              <w:t>.</w:t>
            </w:r>
            <w:r>
              <w:rPr>
                <w:rFonts w:hint="default" w:ascii="Times New Roman" w:hAnsi="Times New Roman" w:eastAsia="仿宋_GB2312" w:cs="Times New Roman"/>
                <w:bCs/>
                <w:color w:val="auto"/>
                <w:sz w:val="24"/>
                <w:szCs w:val="21"/>
              </w:rPr>
              <w:t>多声源声压级的叠加</w:t>
            </w:r>
          </w:p>
          <w:p w14:paraId="0FC3DD4C">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对两个以上多个声源同时存在时，多点源叠加计算总源强，采用如下公式：</w:t>
            </w:r>
          </w:p>
          <w:p w14:paraId="3B368634">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color w:val="auto"/>
                <w:sz w:val="24"/>
                <w:szCs w:val="21"/>
              </w:rPr>
              <w:drawing>
                <wp:inline distT="0" distB="0" distL="114300" distR="114300">
                  <wp:extent cx="2465705" cy="454660"/>
                  <wp:effectExtent l="0" t="0" r="10795" b="2540"/>
                  <wp:docPr id="11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9"/>
                          <pic:cNvPicPr>
                            <a:picLocks noChangeAspect="1"/>
                          </pic:cNvPicPr>
                        </pic:nvPicPr>
                        <pic:blipFill>
                          <a:blip r:embed="rId63"/>
                          <a:stretch>
                            <a:fillRect/>
                          </a:stretch>
                        </pic:blipFill>
                        <pic:spPr>
                          <a:xfrm>
                            <a:off x="0" y="0"/>
                            <a:ext cx="2465705" cy="454660"/>
                          </a:xfrm>
                          <a:prstGeom prst="rect">
                            <a:avLst/>
                          </a:prstGeom>
                          <a:noFill/>
                          <a:ln>
                            <a:noFill/>
                          </a:ln>
                        </pic:spPr>
                      </pic:pic>
                    </a:graphicData>
                  </a:graphic>
                </wp:inline>
              </w:drawing>
            </w:r>
          </w:p>
          <w:p w14:paraId="5C1766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式中：L</w:t>
            </w:r>
            <w:r>
              <w:rPr>
                <w:rFonts w:hint="default" w:ascii="Times New Roman" w:hAnsi="Times New Roman" w:eastAsia="仿宋_GB2312" w:cs="Times New Roman"/>
                <w:bCs/>
                <w:color w:val="auto"/>
                <w:sz w:val="24"/>
                <w:szCs w:val="21"/>
                <w:vertAlign w:val="subscript"/>
              </w:rPr>
              <w:t>eqg</w:t>
            </w:r>
            <w:r>
              <w:rPr>
                <w:rFonts w:hint="default" w:ascii="Times New Roman" w:hAnsi="Times New Roman" w:eastAsia="仿宋_GB2312" w:cs="Times New Roman"/>
                <w:bCs/>
                <w:color w:val="auto"/>
                <w:sz w:val="24"/>
                <w:szCs w:val="21"/>
              </w:rPr>
              <w:t>——建设项目声源在预测点的等效声级贡献值，dB(A)；</w:t>
            </w:r>
          </w:p>
          <w:p w14:paraId="7195E7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L</w:t>
            </w:r>
            <w:r>
              <w:rPr>
                <w:rFonts w:hint="default" w:ascii="Times New Roman" w:hAnsi="Times New Roman" w:eastAsia="仿宋_GB2312" w:cs="Times New Roman"/>
                <w:bCs/>
                <w:color w:val="auto"/>
                <w:sz w:val="24"/>
                <w:szCs w:val="21"/>
                <w:vertAlign w:val="subscript"/>
              </w:rPr>
              <w:t>Ai</w:t>
            </w:r>
            <w:r>
              <w:rPr>
                <w:rFonts w:hint="default" w:ascii="Times New Roman" w:hAnsi="Times New Roman" w:eastAsia="仿宋_GB2312" w:cs="Times New Roman"/>
                <w:bCs/>
                <w:color w:val="auto"/>
                <w:sz w:val="24"/>
                <w:szCs w:val="21"/>
              </w:rPr>
              <w:t>——第i个室外声源在预测点产生的A声级，dB(A)；</w:t>
            </w:r>
          </w:p>
          <w:p w14:paraId="5CC000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L</w:t>
            </w:r>
            <w:r>
              <w:rPr>
                <w:rFonts w:hint="default" w:ascii="Times New Roman" w:hAnsi="Times New Roman" w:eastAsia="仿宋_GB2312" w:cs="Times New Roman"/>
                <w:bCs/>
                <w:color w:val="auto"/>
                <w:sz w:val="24"/>
                <w:szCs w:val="21"/>
                <w:vertAlign w:val="subscript"/>
              </w:rPr>
              <w:t>Aj</w:t>
            </w:r>
            <w:r>
              <w:rPr>
                <w:rFonts w:hint="default" w:ascii="Times New Roman" w:hAnsi="Times New Roman" w:eastAsia="仿宋_GB2312" w:cs="Times New Roman"/>
                <w:bCs/>
                <w:color w:val="auto"/>
                <w:sz w:val="24"/>
                <w:szCs w:val="21"/>
              </w:rPr>
              <w:t>——第j个等效室外声源在预测点产生的A声级，dB(A)；</w:t>
            </w:r>
          </w:p>
          <w:p w14:paraId="1F18A6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t</w:t>
            </w:r>
            <w:r>
              <w:rPr>
                <w:rFonts w:hint="default" w:ascii="Times New Roman" w:hAnsi="Times New Roman" w:eastAsia="仿宋_GB2312" w:cs="Times New Roman"/>
                <w:bCs/>
                <w:color w:val="auto"/>
                <w:sz w:val="24"/>
                <w:szCs w:val="21"/>
                <w:vertAlign w:val="subscript"/>
              </w:rPr>
              <w:t>j</w:t>
            </w:r>
            <w:r>
              <w:rPr>
                <w:rFonts w:hint="default" w:ascii="Times New Roman" w:hAnsi="Times New Roman" w:eastAsia="仿宋_GB2312" w:cs="Times New Roman"/>
                <w:bCs/>
                <w:color w:val="auto"/>
                <w:sz w:val="24"/>
                <w:szCs w:val="21"/>
              </w:rPr>
              <w:t>——在T时间内j声源工作时间，S；</w:t>
            </w:r>
          </w:p>
          <w:p w14:paraId="6D5CA5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t</w:t>
            </w:r>
            <w:r>
              <w:rPr>
                <w:rFonts w:hint="default" w:ascii="Times New Roman" w:hAnsi="Times New Roman" w:eastAsia="仿宋_GB2312" w:cs="Times New Roman"/>
                <w:bCs/>
                <w:color w:val="auto"/>
                <w:sz w:val="24"/>
                <w:szCs w:val="21"/>
                <w:vertAlign w:val="subscript"/>
              </w:rPr>
              <w:t>i</w:t>
            </w:r>
            <w:r>
              <w:rPr>
                <w:rFonts w:hint="default" w:ascii="Times New Roman" w:hAnsi="Times New Roman" w:eastAsia="仿宋_GB2312" w:cs="Times New Roman"/>
                <w:bCs/>
                <w:color w:val="auto"/>
                <w:sz w:val="24"/>
                <w:szCs w:val="21"/>
              </w:rPr>
              <w:t>——在T时间内i声源工作时间，S；</w:t>
            </w:r>
          </w:p>
          <w:p w14:paraId="75E245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T——用于计算等效声级的时间，S；</w:t>
            </w:r>
          </w:p>
          <w:p w14:paraId="5C16E0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N——室外声源个数；</w:t>
            </w:r>
          </w:p>
          <w:p w14:paraId="036969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M——等效室外声源个数。</w:t>
            </w:r>
          </w:p>
          <w:p w14:paraId="0DCB4A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right="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B.预测点的噪声预测值</w:t>
            </w:r>
          </w:p>
          <w:p w14:paraId="0268F1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20" w:lineRule="exact"/>
              <w:ind w:left="0" w:right="0" w:firstLine="480" w:firstLineChars="2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为预测项目噪声源对周围声环境的影响情况，首先预测噪声源随距离的衰减，然后将噪声源产生的噪声值与区域噪声背景值叠加，即可以预测不同距离的噪声值。叠加公式为：</w:t>
            </w:r>
          </w:p>
          <w:p w14:paraId="387B07D6">
            <w:pPr>
              <w:keepNext w:val="0"/>
              <w:keepLines w:val="0"/>
              <w:suppressLineNumbers w:val="0"/>
              <w:adjustRightInd w:val="0"/>
              <w:snapToGrid w:val="0"/>
              <w:spacing w:before="0" w:beforeAutospacing="0" w:after="0" w:afterAutospacing="0" w:line="360" w:lineRule="auto"/>
              <w:ind w:left="0" w:right="0" w:firstLine="480" w:firstLineChars="200"/>
              <w:jc w:val="center"/>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color w:val="auto"/>
                <w:sz w:val="24"/>
                <w:szCs w:val="21"/>
              </w:rPr>
              <w:drawing>
                <wp:inline distT="0" distB="0" distL="114300" distR="114300">
                  <wp:extent cx="2040890" cy="364490"/>
                  <wp:effectExtent l="0" t="0" r="16510" b="16510"/>
                  <wp:docPr id="11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0"/>
                          <pic:cNvPicPr>
                            <a:picLocks noChangeAspect="1"/>
                          </pic:cNvPicPr>
                        </pic:nvPicPr>
                        <pic:blipFill>
                          <a:blip r:embed="rId64"/>
                          <a:stretch>
                            <a:fillRect/>
                          </a:stretch>
                        </pic:blipFill>
                        <pic:spPr>
                          <a:xfrm>
                            <a:off x="0" y="0"/>
                            <a:ext cx="2040890" cy="364490"/>
                          </a:xfrm>
                          <a:prstGeom prst="rect">
                            <a:avLst/>
                          </a:prstGeom>
                          <a:noFill/>
                          <a:ln>
                            <a:noFill/>
                          </a:ln>
                        </pic:spPr>
                      </pic:pic>
                    </a:graphicData>
                  </a:graphic>
                </wp:inline>
              </w:drawing>
            </w:r>
          </w:p>
          <w:p w14:paraId="688362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式中：L</w:t>
            </w:r>
            <w:r>
              <w:rPr>
                <w:rFonts w:hint="default" w:ascii="Times New Roman" w:hAnsi="Times New Roman" w:eastAsia="仿宋_GB2312" w:cs="Times New Roman"/>
                <w:bCs/>
                <w:color w:val="auto"/>
                <w:sz w:val="24"/>
                <w:szCs w:val="21"/>
                <w:vertAlign w:val="subscript"/>
              </w:rPr>
              <w:t>eq</w:t>
            </w:r>
            <w:r>
              <w:rPr>
                <w:rFonts w:hint="default" w:ascii="Times New Roman" w:hAnsi="Times New Roman" w:eastAsia="仿宋_GB2312" w:cs="Times New Roman"/>
                <w:bCs/>
                <w:color w:val="auto"/>
                <w:sz w:val="24"/>
                <w:szCs w:val="21"/>
              </w:rPr>
              <w:t>——预测等效声级，dB(A)；</w:t>
            </w:r>
          </w:p>
          <w:p w14:paraId="4A1D39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L</w:t>
            </w:r>
            <w:r>
              <w:rPr>
                <w:rFonts w:hint="default" w:ascii="Times New Roman" w:hAnsi="Times New Roman" w:eastAsia="仿宋_GB2312" w:cs="Times New Roman"/>
                <w:bCs/>
                <w:color w:val="auto"/>
                <w:sz w:val="24"/>
                <w:szCs w:val="21"/>
                <w:vertAlign w:val="subscript"/>
              </w:rPr>
              <w:t>eqg</w:t>
            </w:r>
            <w:r>
              <w:rPr>
                <w:rFonts w:hint="default" w:ascii="Times New Roman" w:hAnsi="Times New Roman" w:eastAsia="仿宋_GB2312" w:cs="Times New Roman"/>
                <w:bCs/>
                <w:color w:val="auto"/>
                <w:sz w:val="24"/>
                <w:szCs w:val="21"/>
              </w:rPr>
              <w:t>——建设项目声源在预测点的等效声级贡献值，dB(A)；</w:t>
            </w:r>
          </w:p>
          <w:p w14:paraId="0269E9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1200" w:firstLineChars="500"/>
              <w:textAlignment w:val="auto"/>
              <w:rPr>
                <w:rFonts w:hint="default" w:ascii="Times New Roman" w:hAnsi="Times New Roman" w:eastAsia="仿宋_GB2312" w:cs="Times New Roman"/>
                <w:bCs/>
                <w:color w:val="auto"/>
                <w:sz w:val="24"/>
                <w:szCs w:val="21"/>
              </w:rPr>
            </w:pPr>
            <w:r>
              <w:rPr>
                <w:rFonts w:hint="default" w:ascii="Times New Roman" w:hAnsi="Times New Roman" w:eastAsia="仿宋_GB2312" w:cs="Times New Roman"/>
                <w:bCs/>
                <w:color w:val="auto"/>
                <w:sz w:val="24"/>
                <w:szCs w:val="21"/>
              </w:rPr>
              <w:t>L</w:t>
            </w:r>
            <w:r>
              <w:rPr>
                <w:rFonts w:hint="default" w:ascii="Times New Roman" w:hAnsi="Times New Roman" w:eastAsia="仿宋_GB2312" w:cs="Times New Roman"/>
                <w:bCs/>
                <w:color w:val="auto"/>
                <w:sz w:val="24"/>
                <w:szCs w:val="21"/>
                <w:vertAlign w:val="subscript"/>
              </w:rPr>
              <w:t>eqb</w:t>
            </w:r>
            <w:r>
              <w:rPr>
                <w:rFonts w:hint="default" w:ascii="Times New Roman" w:hAnsi="Times New Roman" w:eastAsia="仿宋_GB2312" w:cs="Times New Roman"/>
                <w:bCs/>
                <w:color w:val="auto"/>
                <w:sz w:val="24"/>
                <w:szCs w:val="21"/>
              </w:rPr>
              <w:t>——预测点的背景值，dB(A)。</w:t>
            </w:r>
          </w:p>
          <w:p w14:paraId="6B7B8F69">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（3）预测结果</w:t>
            </w:r>
          </w:p>
          <w:p w14:paraId="3176CEE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项目噪声影响预测结果见表4-1</w:t>
            </w:r>
            <w:r>
              <w:rPr>
                <w:rFonts w:hint="eastAsia" w:ascii="Times New Roman" w:hAnsi="Times New Roman" w:eastAsia="仿宋_GB2312" w:cs="Times New Roman"/>
                <w:bCs/>
                <w:color w:val="auto"/>
                <w:sz w:val="24"/>
                <w:szCs w:val="24"/>
                <w:lang w:val="en-US" w:eastAsia="zh-CN"/>
              </w:rPr>
              <w:t>4</w:t>
            </w:r>
            <w:r>
              <w:rPr>
                <w:rFonts w:hint="default" w:ascii="Times New Roman" w:hAnsi="Times New Roman" w:eastAsia="仿宋_GB2312" w:cs="Times New Roman"/>
                <w:bCs/>
                <w:color w:val="auto"/>
                <w:sz w:val="24"/>
                <w:szCs w:val="24"/>
                <w:lang w:val="en-US" w:eastAsia="zh-CN"/>
              </w:rPr>
              <w:t>。</w:t>
            </w:r>
          </w:p>
          <w:p w14:paraId="137E41CD">
            <w:pPr>
              <w:keepNext w:val="0"/>
              <w:keepLines w:val="0"/>
              <w:pageBreakBefore w:val="0"/>
              <w:widowControl w:val="0"/>
              <w:tabs>
                <w:tab w:val="left" w:pos="3467"/>
              </w:tabs>
              <w:kinsoku/>
              <w:wordWrap/>
              <w:overflowPunct/>
              <w:topLinePunct w:val="0"/>
              <w:autoSpaceDE/>
              <w:autoSpaceDN/>
              <w:bidi w:val="0"/>
              <w:adjustRightInd/>
              <w:snapToGrid/>
              <w:ind w:left="0" w:leftChars="0" w:firstLine="0" w:firstLineChars="0"/>
              <w:jc w:val="right"/>
              <w:textAlignment w:val="auto"/>
              <w:rPr>
                <w:rFonts w:hint="default" w:ascii="Times New Roman" w:hAnsi="Times New Roman" w:eastAsia="仿宋_GB2312" w:cs="Times New Roman"/>
                <w:b/>
                <w:bCs/>
                <w:color w:val="auto"/>
                <w:sz w:val="24"/>
                <w:szCs w:val="24"/>
                <w:lang w:eastAsia="zh-CN"/>
              </w:rPr>
            </w:pPr>
            <w:r>
              <w:rPr>
                <w:rFonts w:hint="default" w:ascii="Times New Roman" w:hAnsi="Times New Roman" w:eastAsia="仿宋_GB2312" w:cs="Times New Roman"/>
                <w:b/>
                <w:bCs/>
                <w:color w:val="auto"/>
                <w:sz w:val="24"/>
                <w:szCs w:val="24"/>
              </w:rPr>
              <w:t>表4-1</w:t>
            </w:r>
            <w:r>
              <w:rPr>
                <w:rFonts w:hint="default" w:ascii="Times New Roman" w:hAnsi="Times New Roman" w:eastAsia="仿宋_GB2312" w:cs="Times New Roman"/>
                <w:b/>
                <w:bCs/>
                <w:color w:val="auto"/>
                <w:sz w:val="24"/>
                <w:szCs w:val="24"/>
                <w:lang w:val="en-US" w:eastAsia="zh-CN"/>
              </w:rPr>
              <w:t>4</w:t>
            </w:r>
            <w:r>
              <w:rPr>
                <w:rFonts w:hint="default" w:ascii="Times New Roman" w:hAnsi="Times New Roman" w:eastAsia="仿宋_GB2312" w:cs="Times New Roman"/>
                <w:b/>
                <w:bCs/>
                <w:color w:val="auto"/>
                <w:sz w:val="24"/>
                <w:szCs w:val="24"/>
              </w:rPr>
              <w:t xml:space="preserve"> </w:t>
            </w:r>
            <w:r>
              <w:rPr>
                <w:rFonts w:hint="default" w:ascii="Times New Roman" w:hAnsi="Times New Roman" w:eastAsia="仿宋_GB2312" w:cs="Times New Roman"/>
                <w:b/>
                <w:bCs/>
                <w:color w:val="auto"/>
                <w:sz w:val="24"/>
                <w:szCs w:val="24"/>
                <w:lang w:eastAsia="zh-CN"/>
              </w:rPr>
              <w:t>项目厂界</w:t>
            </w:r>
            <w:r>
              <w:rPr>
                <w:rFonts w:hint="default" w:ascii="Times New Roman" w:hAnsi="Times New Roman" w:eastAsia="仿宋_GB2312" w:cs="Times New Roman"/>
                <w:b/>
                <w:bCs/>
                <w:color w:val="auto"/>
                <w:sz w:val="24"/>
                <w:szCs w:val="24"/>
              </w:rPr>
              <w:t>噪声预测结果一览表</w:t>
            </w:r>
            <w:r>
              <w:rPr>
                <w:rFonts w:hint="default" w:ascii="Times New Roman" w:hAnsi="Times New Roman" w:eastAsia="仿宋_GB2312" w:cs="Times New Roman"/>
                <w:b/>
                <w:bCs/>
                <w:color w:val="auto"/>
                <w:sz w:val="24"/>
                <w:szCs w:val="24"/>
                <w:lang w:val="en-US" w:eastAsia="zh-CN"/>
              </w:rPr>
              <w:t xml:space="preserve">      </w:t>
            </w:r>
            <w:r>
              <w:rPr>
                <w:rFonts w:hint="default" w:ascii="Times New Roman" w:hAnsi="Times New Roman" w:eastAsia="仿宋_GB2312" w:cs="Times New Roman"/>
                <w:b/>
                <w:bCs/>
                <w:color w:val="auto"/>
                <w:sz w:val="24"/>
                <w:szCs w:val="24"/>
              </w:rPr>
              <w:t>单位：dB</w:t>
            </w:r>
            <w:r>
              <w:rPr>
                <w:rFonts w:hint="default" w:ascii="Times New Roman" w:hAnsi="Times New Roman" w:eastAsia="仿宋_GB2312" w:cs="Times New Roman"/>
                <w:b/>
                <w:bCs/>
                <w:color w:val="auto"/>
                <w:sz w:val="24"/>
                <w:szCs w:val="24"/>
                <w:lang w:eastAsia="zh-CN"/>
              </w:rPr>
              <w:t>（</w:t>
            </w:r>
            <w:r>
              <w:rPr>
                <w:rFonts w:hint="default" w:ascii="Times New Roman" w:hAnsi="Times New Roman" w:eastAsia="仿宋_GB2312" w:cs="Times New Roman"/>
                <w:b/>
                <w:bCs/>
                <w:color w:val="auto"/>
                <w:sz w:val="24"/>
                <w:szCs w:val="24"/>
              </w:rPr>
              <w:t>A</w:t>
            </w:r>
            <w:r>
              <w:rPr>
                <w:rFonts w:hint="default" w:ascii="Times New Roman" w:hAnsi="Times New Roman" w:eastAsia="仿宋_GB2312" w:cs="Times New Roman"/>
                <w:b/>
                <w:bCs/>
                <w:color w:val="auto"/>
                <w:sz w:val="24"/>
                <w:szCs w:val="24"/>
                <w:lang w:eastAsia="zh-CN"/>
              </w:rPr>
              <w:t>）</w:t>
            </w:r>
          </w:p>
          <w:tbl>
            <w:tblPr>
              <w:tblStyle w:val="20"/>
              <w:tblW w:w="7946"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659"/>
              <w:gridCol w:w="1388"/>
              <w:gridCol w:w="1537"/>
              <w:gridCol w:w="1538"/>
              <w:gridCol w:w="1148"/>
            </w:tblGrid>
            <w:tr w14:paraId="2A9C658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tcBorders>
                    <w:tl2br w:val="nil"/>
                    <w:tr2bl w:val="nil"/>
                  </w:tcBorders>
                  <w:vAlign w:val="center"/>
                </w:tcPr>
                <w:p w14:paraId="0C795CAE">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序号</w:t>
                  </w:r>
                </w:p>
              </w:tc>
              <w:tc>
                <w:tcPr>
                  <w:tcW w:w="1659" w:type="dxa"/>
                  <w:tcBorders>
                    <w:tl2br w:val="nil"/>
                    <w:tr2bl w:val="nil"/>
                  </w:tcBorders>
                  <w:vAlign w:val="center"/>
                </w:tcPr>
                <w:p w14:paraId="62487C55">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r>
                    <w:rPr>
                      <w:rFonts w:hint="default" w:ascii="Times New Roman" w:hAnsi="Times New Roman" w:eastAsia="仿宋_GB2312" w:cs="Times New Roman"/>
                      <w:b/>
                      <w:bCs/>
                      <w:color w:val="auto"/>
                      <w:sz w:val="21"/>
                      <w:szCs w:val="21"/>
                      <w:vertAlign w:val="baseline"/>
                      <w:lang w:eastAsia="zh-CN"/>
                    </w:rPr>
                    <w:t>预测点</w:t>
                  </w:r>
                </w:p>
              </w:tc>
              <w:tc>
                <w:tcPr>
                  <w:tcW w:w="1388" w:type="dxa"/>
                  <w:tcBorders>
                    <w:tl2br w:val="nil"/>
                    <w:tr2bl w:val="nil"/>
                  </w:tcBorders>
                  <w:vAlign w:val="center"/>
                </w:tcPr>
                <w:p w14:paraId="777122BC">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预测时段</w:t>
                  </w:r>
                </w:p>
              </w:tc>
              <w:tc>
                <w:tcPr>
                  <w:tcW w:w="1537" w:type="dxa"/>
                  <w:tcBorders>
                    <w:tl2br w:val="nil"/>
                    <w:tr2bl w:val="nil"/>
                  </w:tcBorders>
                  <w:vAlign w:val="center"/>
                </w:tcPr>
                <w:p w14:paraId="4AB3B8CB">
                  <w:pPr>
                    <w:pStyle w:val="58"/>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default" w:ascii="Times New Roman" w:hAnsi="Times New Roman" w:eastAsia="仿宋_GB2312" w:cs="Times New Roman"/>
                      <w:b/>
                      <w:bCs/>
                      <w:color w:val="auto"/>
                      <w:sz w:val="21"/>
                      <w:szCs w:val="21"/>
                      <w:vertAlign w:val="baseline"/>
                    </w:rPr>
                  </w:pPr>
                  <w:r>
                    <w:rPr>
                      <w:rFonts w:hint="default" w:ascii="Times New Roman" w:hAnsi="Times New Roman" w:eastAsia="仿宋_GB2312" w:cs="Times New Roman"/>
                      <w:b/>
                      <w:bCs/>
                      <w:color w:val="auto"/>
                      <w:sz w:val="21"/>
                      <w:szCs w:val="21"/>
                    </w:rPr>
                    <w:t>贡献值</w:t>
                  </w:r>
                </w:p>
              </w:tc>
              <w:tc>
                <w:tcPr>
                  <w:tcW w:w="1538" w:type="dxa"/>
                  <w:tcBorders>
                    <w:tl2br w:val="nil"/>
                    <w:tr2bl w:val="nil"/>
                  </w:tcBorders>
                  <w:vAlign w:val="center"/>
                </w:tcPr>
                <w:p w14:paraId="2937FCD9">
                  <w:pPr>
                    <w:pStyle w:val="58"/>
                    <w:keepNext w:val="0"/>
                    <w:keepLines w:val="0"/>
                    <w:pageBreakBefore w:val="0"/>
                    <w:widowControl w:val="0"/>
                    <w:kinsoku/>
                    <w:wordWrap/>
                    <w:overflowPunct/>
                    <w:topLinePunct w:val="0"/>
                    <w:autoSpaceDE/>
                    <w:autoSpaceDN/>
                    <w:bidi w:val="0"/>
                    <w:adjustRightInd/>
                    <w:snapToGrid/>
                    <w:spacing w:beforeLines="0" w:afterLines="0"/>
                    <w:jc w:val="center"/>
                    <w:textAlignment w:val="auto"/>
                    <w:rPr>
                      <w:rFonts w:hint="default" w:ascii="Times New Roman" w:hAnsi="Times New Roman" w:eastAsia="仿宋_GB2312" w:cs="Times New Roman"/>
                      <w:b/>
                      <w:bCs/>
                      <w:color w:val="auto"/>
                      <w:sz w:val="21"/>
                      <w:szCs w:val="21"/>
                      <w:vertAlign w:val="baseline"/>
                    </w:rPr>
                  </w:pPr>
                  <w:r>
                    <w:rPr>
                      <w:rFonts w:hint="default" w:ascii="Times New Roman" w:hAnsi="Times New Roman" w:eastAsia="仿宋_GB2312" w:cs="Times New Roman"/>
                      <w:b/>
                      <w:bCs/>
                      <w:color w:val="auto"/>
                      <w:sz w:val="21"/>
                      <w:szCs w:val="21"/>
                    </w:rPr>
                    <w:t>标准限值</w:t>
                  </w:r>
                </w:p>
              </w:tc>
              <w:tc>
                <w:tcPr>
                  <w:tcW w:w="1148" w:type="dxa"/>
                  <w:tcBorders>
                    <w:tl2br w:val="nil"/>
                    <w:tr2bl w:val="nil"/>
                  </w:tcBorders>
                  <w:vAlign w:val="center"/>
                </w:tcPr>
                <w:p w14:paraId="67C422A5">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b/>
                      <w:bCs/>
                      <w:color w:val="auto"/>
                      <w:sz w:val="21"/>
                      <w:szCs w:val="21"/>
                      <w:vertAlign w:val="baseline"/>
                      <w:lang w:eastAsia="zh-CN"/>
                    </w:rPr>
                    <w:t>达标情况</w:t>
                  </w:r>
                </w:p>
              </w:tc>
            </w:tr>
            <w:tr w14:paraId="6081F39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vMerge w:val="restart"/>
                  <w:tcBorders>
                    <w:tl2br w:val="nil"/>
                    <w:tr2bl w:val="nil"/>
                  </w:tcBorders>
                  <w:vAlign w:val="center"/>
                </w:tcPr>
                <w:p w14:paraId="4DAF4688">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1</w:t>
                  </w:r>
                </w:p>
              </w:tc>
              <w:tc>
                <w:tcPr>
                  <w:tcW w:w="1659" w:type="dxa"/>
                  <w:vMerge w:val="restart"/>
                  <w:tcBorders>
                    <w:tl2br w:val="nil"/>
                    <w:tr2bl w:val="nil"/>
                  </w:tcBorders>
                  <w:vAlign w:val="center"/>
                </w:tcPr>
                <w:p w14:paraId="0318EA46">
                  <w:pPr>
                    <w:keepNext w:val="0"/>
                    <w:keepLines w:val="0"/>
                    <w:pageBreakBefore w:val="0"/>
                    <w:widowControl w:val="0"/>
                    <w:kinsoku/>
                    <w:wordWrap/>
                    <w:overflowPunct/>
                    <w:topLinePunct w:val="0"/>
                    <w:autoSpaceDE/>
                    <w:autoSpaceDN/>
                    <w:bidi w:val="0"/>
                    <w:adjustRightInd/>
                    <w:snapToGrid/>
                    <w:jc w:val="center"/>
                    <w:textAlignment w:val="auto"/>
                    <w:rPr>
                      <w:rFonts w:hint="eastAsia" w:ascii="Times New Roman" w:hAnsi="Times New Roman" w:eastAsia="仿宋_GB2312" w:cs="Times New Roman"/>
                      <w:b/>
                      <w:bCs/>
                      <w:color w:val="auto"/>
                      <w:sz w:val="21"/>
                      <w:szCs w:val="21"/>
                      <w:vertAlign w:val="baseline"/>
                      <w:lang w:eastAsia="zh-CN"/>
                    </w:rPr>
                  </w:pPr>
                  <w:r>
                    <w:rPr>
                      <w:rFonts w:hint="default" w:ascii="Times New Roman" w:hAnsi="Times New Roman" w:eastAsia="仿宋_GB2312" w:cs="Times New Roman"/>
                      <w:color w:val="auto"/>
                      <w:sz w:val="21"/>
                      <w:szCs w:val="21"/>
                    </w:rPr>
                    <w:t>东</w:t>
                  </w:r>
                  <w:r>
                    <w:rPr>
                      <w:rFonts w:hint="eastAsia" w:ascii="Times New Roman" w:hAnsi="Times New Roman" w:eastAsia="仿宋_GB2312" w:cs="Times New Roman"/>
                      <w:color w:val="auto"/>
                      <w:sz w:val="21"/>
                      <w:szCs w:val="21"/>
                      <w:lang w:eastAsia="zh-CN"/>
                    </w:rPr>
                    <w:t>厂界</w:t>
                  </w:r>
                </w:p>
              </w:tc>
              <w:tc>
                <w:tcPr>
                  <w:tcW w:w="1388" w:type="dxa"/>
                  <w:tcBorders>
                    <w:tl2br w:val="nil"/>
                    <w:tr2bl w:val="nil"/>
                  </w:tcBorders>
                  <w:vAlign w:val="center"/>
                </w:tcPr>
                <w:p w14:paraId="00AD512C">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eastAsia="zh-CN"/>
                    </w:rPr>
                  </w:pPr>
                  <w:r>
                    <w:rPr>
                      <w:rFonts w:hint="default" w:ascii="Times New Roman" w:hAnsi="Times New Roman" w:eastAsia="仿宋_GB2312" w:cs="Times New Roman"/>
                      <w:b w:val="0"/>
                      <w:bCs w:val="0"/>
                      <w:color w:val="auto"/>
                      <w:sz w:val="21"/>
                      <w:szCs w:val="21"/>
                      <w:vertAlign w:val="baseline"/>
                      <w:lang w:eastAsia="zh-CN"/>
                    </w:rPr>
                    <w:t>昼间</w:t>
                  </w:r>
                </w:p>
              </w:tc>
              <w:tc>
                <w:tcPr>
                  <w:tcW w:w="1537" w:type="dxa"/>
                  <w:tcBorders>
                    <w:tl2br w:val="nil"/>
                    <w:tr2bl w:val="nil"/>
                  </w:tcBorders>
                  <w:vAlign w:val="center"/>
                </w:tcPr>
                <w:p w14:paraId="27596609">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color w:val="auto"/>
                      <w:sz w:val="21"/>
                      <w:szCs w:val="21"/>
                    </w:rPr>
                    <w:t>23.9</w:t>
                  </w:r>
                </w:p>
              </w:tc>
              <w:tc>
                <w:tcPr>
                  <w:tcW w:w="1538" w:type="dxa"/>
                  <w:tcBorders>
                    <w:tl2br w:val="nil"/>
                    <w:tr2bl w:val="nil"/>
                  </w:tcBorders>
                  <w:vAlign w:val="center"/>
                </w:tcPr>
                <w:p w14:paraId="08E9615F">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60</w:t>
                  </w:r>
                </w:p>
              </w:tc>
              <w:tc>
                <w:tcPr>
                  <w:tcW w:w="1148" w:type="dxa"/>
                  <w:tcBorders>
                    <w:tl2br w:val="nil"/>
                    <w:tr2bl w:val="nil"/>
                  </w:tcBorders>
                  <w:vAlign w:val="center"/>
                </w:tcPr>
                <w:p w14:paraId="0703B020">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eastAsia="zh-CN"/>
                    </w:rPr>
                  </w:pPr>
                  <w:r>
                    <w:rPr>
                      <w:rFonts w:hint="default" w:ascii="Times New Roman" w:hAnsi="Times New Roman" w:eastAsia="仿宋_GB2312" w:cs="Times New Roman"/>
                      <w:b w:val="0"/>
                      <w:bCs w:val="0"/>
                      <w:color w:val="auto"/>
                      <w:sz w:val="21"/>
                      <w:szCs w:val="21"/>
                      <w:vertAlign w:val="baseline"/>
                      <w:lang w:eastAsia="zh-CN"/>
                    </w:rPr>
                    <w:t>达标</w:t>
                  </w:r>
                </w:p>
              </w:tc>
            </w:tr>
            <w:tr w14:paraId="11A3814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vMerge w:val="continue"/>
                  <w:tcBorders>
                    <w:tl2br w:val="nil"/>
                    <w:tr2bl w:val="nil"/>
                  </w:tcBorders>
                  <w:vAlign w:val="center"/>
                </w:tcPr>
                <w:p w14:paraId="60DB8123">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p>
              </w:tc>
              <w:tc>
                <w:tcPr>
                  <w:tcW w:w="1659" w:type="dxa"/>
                  <w:vMerge w:val="continue"/>
                  <w:tcBorders>
                    <w:tl2br w:val="nil"/>
                    <w:tr2bl w:val="nil"/>
                  </w:tcBorders>
                  <w:vAlign w:val="center"/>
                </w:tcPr>
                <w:p w14:paraId="1DB2847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p>
              </w:tc>
              <w:tc>
                <w:tcPr>
                  <w:tcW w:w="1388" w:type="dxa"/>
                  <w:tcBorders>
                    <w:tl2br w:val="nil"/>
                    <w:tr2bl w:val="nil"/>
                  </w:tcBorders>
                  <w:vAlign w:val="center"/>
                </w:tcPr>
                <w:p w14:paraId="6979DB67">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eastAsia="zh-CN"/>
                    </w:rPr>
                  </w:pPr>
                  <w:r>
                    <w:rPr>
                      <w:rFonts w:hint="default" w:ascii="Times New Roman" w:hAnsi="Times New Roman" w:eastAsia="仿宋_GB2312" w:cs="Times New Roman"/>
                      <w:b w:val="0"/>
                      <w:bCs w:val="0"/>
                      <w:color w:val="auto"/>
                      <w:sz w:val="21"/>
                      <w:szCs w:val="21"/>
                      <w:vertAlign w:val="baseline"/>
                      <w:lang w:eastAsia="zh-CN"/>
                    </w:rPr>
                    <w:t>夜间</w:t>
                  </w:r>
                </w:p>
              </w:tc>
              <w:tc>
                <w:tcPr>
                  <w:tcW w:w="1537" w:type="dxa"/>
                  <w:tcBorders>
                    <w:tl2br w:val="nil"/>
                    <w:tr2bl w:val="nil"/>
                  </w:tcBorders>
                  <w:vAlign w:val="center"/>
                </w:tcPr>
                <w:p w14:paraId="4369809B">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color w:val="auto"/>
                      <w:sz w:val="21"/>
                      <w:szCs w:val="21"/>
                    </w:rPr>
                    <w:t>23.9</w:t>
                  </w:r>
                </w:p>
              </w:tc>
              <w:tc>
                <w:tcPr>
                  <w:tcW w:w="1538" w:type="dxa"/>
                  <w:tcBorders>
                    <w:tl2br w:val="nil"/>
                    <w:tr2bl w:val="nil"/>
                  </w:tcBorders>
                  <w:vAlign w:val="center"/>
                </w:tcPr>
                <w:p w14:paraId="7E93BED2">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50</w:t>
                  </w:r>
                </w:p>
              </w:tc>
              <w:tc>
                <w:tcPr>
                  <w:tcW w:w="1148" w:type="dxa"/>
                  <w:tcBorders>
                    <w:tl2br w:val="nil"/>
                    <w:tr2bl w:val="nil"/>
                  </w:tcBorders>
                  <w:vAlign w:val="center"/>
                </w:tcPr>
                <w:p w14:paraId="0391BC8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rPr>
                  </w:pPr>
                  <w:r>
                    <w:rPr>
                      <w:rFonts w:hint="default" w:ascii="Times New Roman" w:hAnsi="Times New Roman" w:eastAsia="仿宋_GB2312" w:cs="Times New Roman"/>
                      <w:b w:val="0"/>
                      <w:bCs w:val="0"/>
                      <w:color w:val="auto"/>
                      <w:sz w:val="21"/>
                      <w:szCs w:val="21"/>
                      <w:vertAlign w:val="baseline"/>
                      <w:lang w:eastAsia="zh-CN"/>
                    </w:rPr>
                    <w:t>达标</w:t>
                  </w:r>
                </w:p>
              </w:tc>
            </w:tr>
            <w:tr w14:paraId="3625B91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vMerge w:val="restart"/>
                  <w:tcBorders>
                    <w:tl2br w:val="nil"/>
                    <w:tr2bl w:val="nil"/>
                  </w:tcBorders>
                  <w:vAlign w:val="center"/>
                </w:tcPr>
                <w:p w14:paraId="549B8581">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2</w:t>
                  </w:r>
                </w:p>
              </w:tc>
              <w:tc>
                <w:tcPr>
                  <w:tcW w:w="1659" w:type="dxa"/>
                  <w:vMerge w:val="restart"/>
                  <w:tcBorders>
                    <w:tl2br w:val="nil"/>
                    <w:tr2bl w:val="nil"/>
                  </w:tcBorders>
                  <w:vAlign w:val="center"/>
                </w:tcPr>
                <w:p w14:paraId="587FF33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r>
                    <w:rPr>
                      <w:rFonts w:hint="default" w:ascii="Times New Roman" w:hAnsi="Times New Roman" w:eastAsia="仿宋_GB2312" w:cs="Times New Roman"/>
                      <w:color w:val="auto"/>
                      <w:sz w:val="21"/>
                      <w:szCs w:val="21"/>
                    </w:rPr>
                    <w:t>南</w:t>
                  </w:r>
                  <w:r>
                    <w:rPr>
                      <w:rFonts w:hint="default" w:ascii="Times New Roman" w:hAnsi="Times New Roman" w:eastAsia="仿宋_GB2312" w:cs="Times New Roman"/>
                      <w:color w:val="auto"/>
                      <w:sz w:val="21"/>
                      <w:szCs w:val="21"/>
                      <w:lang w:eastAsia="zh-CN"/>
                    </w:rPr>
                    <w:t>厂界</w:t>
                  </w:r>
                </w:p>
              </w:tc>
              <w:tc>
                <w:tcPr>
                  <w:tcW w:w="1388" w:type="dxa"/>
                  <w:tcBorders>
                    <w:tl2br w:val="nil"/>
                    <w:tr2bl w:val="nil"/>
                  </w:tcBorders>
                  <w:vAlign w:val="center"/>
                </w:tcPr>
                <w:p w14:paraId="055AC5F1">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vertAlign w:val="baseline"/>
                      <w:lang w:val="en-US" w:eastAsia="zh-CN" w:bidi="ar-SA"/>
                    </w:rPr>
                  </w:pPr>
                  <w:r>
                    <w:rPr>
                      <w:rFonts w:hint="default" w:ascii="Times New Roman" w:hAnsi="Times New Roman" w:eastAsia="仿宋_GB2312" w:cs="Times New Roman"/>
                      <w:b w:val="0"/>
                      <w:bCs w:val="0"/>
                      <w:color w:val="auto"/>
                      <w:sz w:val="21"/>
                      <w:szCs w:val="21"/>
                      <w:vertAlign w:val="baseline"/>
                      <w:lang w:eastAsia="zh-CN"/>
                    </w:rPr>
                    <w:t>昼间</w:t>
                  </w:r>
                </w:p>
              </w:tc>
              <w:tc>
                <w:tcPr>
                  <w:tcW w:w="1537" w:type="dxa"/>
                  <w:tcBorders>
                    <w:tl2br w:val="nil"/>
                    <w:tr2bl w:val="nil"/>
                  </w:tcBorders>
                  <w:vAlign w:val="center"/>
                </w:tcPr>
                <w:p w14:paraId="39D4482A">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color w:val="auto"/>
                      <w:sz w:val="21"/>
                      <w:szCs w:val="21"/>
                    </w:rPr>
                    <w:t>14.5</w:t>
                  </w:r>
                </w:p>
              </w:tc>
              <w:tc>
                <w:tcPr>
                  <w:tcW w:w="1538" w:type="dxa"/>
                  <w:tcBorders>
                    <w:tl2br w:val="nil"/>
                    <w:tr2bl w:val="nil"/>
                  </w:tcBorders>
                  <w:vAlign w:val="center"/>
                </w:tcPr>
                <w:p w14:paraId="4E668A33">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60</w:t>
                  </w:r>
                </w:p>
              </w:tc>
              <w:tc>
                <w:tcPr>
                  <w:tcW w:w="1148" w:type="dxa"/>
                  <w:tcBorders>
                    <w:tl2br w:val="nil"/>
                    <w:tr2bl w:val="nil"/>
                  </w:tcBorders>
                  <w:vAlign w:val="center"/>
                </w:tcPr>
                <w:p w14:paraId="5712F15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rPr>
                  </w:pPr>
                  <w:r>
                    <w:rPr>
                      <w:rFonts w:hint="default" w:ascii="Times New Roman" w:hAnsi="Times New Roman" w:eastAsia="仿宋_GB2312" w:cs="Times New Roman"/>
                      <w:b w:val="0"/>
                      <w:bCs w:val="0"/>
                      <w:color w:val="auto"/>
                      <w:sz w:val="21"/>
                      <w:szCs w:val="21"/>
                      <w:vertAlign w:val="baseline"/>
                      <w:lang w:eastAsia="zh-CN"/>
                    </w:rPr>
                    <w:t>达标</w:t>
                  </w:r>
                </w:p>
              </w:tc>
            </w:tr>
            <w:tr w14:paraId="0CFFECE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vMerge w:val="continue"/>
                  <w:tcBorders>
                    <w:tl2br w:val="nil"/>
                    <w:tr2bl w:val="nil"/>
                  </w:tcBorders>
                  <w:vAlign w:val="center"/>
                </w:tcPr>
                <w:p w14:paraId="7F31E4FB">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p>
              </w:tc>
              <w:tc>
                <w:tcPr>
                  <w:tcW w:w="1659" w:type="dxa"/>
                  <w:vMerge w:val="continue"/>
                  <w:tcBorders>
                    <w:tl2br w:val="nil"/>
                    <w:tr2bl w:val="nil"/>
                  </w:tcBorders>
                  <w:vAlign w:val="center"/>
                </w:tcPr>
                <w:p w14:paraId="52AF6DF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p>
              </w:tc>
              <w:tc>
                <w:tcPr>
                  <w:tcW w:w="1388" w:type="dxa"/>
                  <w:tcBorders>
                    <w:tl2br w:val="nil"/>
                    <w:tr2bl w:val="nil"/>
                  </w:tcBorders>
                  <w:vAlign w:val="center"/>
                </w:tcPr>
                <w:p w14:paraId="26EF83E9">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vertAlign w:val="baseline"/>
                      <w:lang w:val="en-US" w:eastAsia="zh-CN" w:bidi="ar-SA"/>
                    </w:rPr>
                  </w:pPr>
                  <w:r>
                    <w:rPr>
                      <w:rFonts w:hint="default" w:ascii="Times New Roman" w:hAnsi="Times New Roman" w:eastAsia="仿宋_GB2312" w:cs="Times New Roman"/>
                      <w:b w:val="0"/>
                      <w:bCs w:val="0"/>
                      <w:color w:val="auto"/>
                      <w:sz w:val="21"/>
                      <w:szCs w:val="21"/>
                      <w:vertAlign w:val="baseline"/>
                      <w:lang w:eastAsia="zh-CN"/>
                    </w:rPr>
                    <w:t>夜间</w:t>
                  </w:r>
                </w:p>
              </w:tc>
              <w:tc>
                <w:tcPr>
                  <w:tcW w:w="1537" w:type="dxa"/>
                  <w:tcBorders>
                    <w:tl2br w:val="nil"/>
                    <w:tr2bl w:val="nil"/>
                  </w:tcBorders>
                  <w:vAlign w:val="center"/>
                </w:tcPr>
                <w:p w14:paraId="2D863875">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color w:val="auto"/>
                      <w:sz w:val="21"/>
                      <w:szCs w:val="21"/>
                    </w:rPr>
                    <w:t>14.5</w:t>
                  </w:r>
                </w:p>
              </w:tc>
              <w:tc>
                <w:tcPr>
                  <w:tcW w:w="1538" w:type="dxa"/>
                  <w:tcBorders>
                    <w:tl2br w:val="nil"/>
                    <w:tr2bl w:val="nil"/>
                  </w:tcBorders>
                  <w:vAlign w:val="center"/>
                </w:tcPr>
                <w:p w14:paraId="3ADACAEC">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50</w:t>
                  </w:r>
                </w:p>
              </w:tc>
              <w:tc>
                <w:tcPr>
                  <w:tcW w:w="1148" w:type="dxa"/>
                  <w:tcBorders>
                    <w:tl2br w:val="nil"/>
                    <w:tr2bl w:val="nil"/>
                  </w:tcBorders>
                  <w:vAlign w:val="center"/>
                </w:tcPr>
                <w:p w14:paraId="61037A2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rPr>
                  </w:pPr>
                  <w:r>
                    <w:rPr>
                      <w:rFonts w:hint="default" w:ascii="Times New Roman" w:hAnsi="Times New Roman" w:eastAsia="仿宋_GB2312" w:cs="Times New Roman"/>
                      <w:b w:val="0"/>
                      <w:bCs w:val="0"/>
                      <w:color w:val="auto"/>
                      <w:sz w:val="21"/>
                      <w:szCs w:val="21"/>
                      <w:vertAlign w:val="baseline"/>
                      <w:lang w:eastAsia="zh-CN"/>
                    </w:rPr>
                    <w:t>达标</w:t>
                  </w:r>
                </w:p>
              </w:tc>
            </w:tr>
            <w:tr w14:paraId="7B25939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vMerge w:val="restart"/>
                  <w:tcBorders>
                    <w:tl2br w:val="nil"/>
                    <w:tr2bl w:val="nil"/>
                  </w:tcBorders>
                  <w:vAlign w:val="center"/>
                </w:tcPr>
                <w:p w14:paraId="389BC5A2">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3</w:t>
                  </w:r>
                </w:p>
              </w:tc>
              <w:tc>
                <w:tcPr>
                  <w:tcW w:w="1659" w:type="dxa"/>
                  <w:vMerge w:val="restart"/>
                  <w:tcBorders>
                    <w:tl2br w:val="nil"/>
                    <w:tr2bl w:val="nil"/>
                  </w:tcBorders>
                  <w:vAlign w:val="center"/>
                </w:tcPr>
                <w:p w14:paraId="5A1B124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r>
                    <w:rPr>
                      <w:rFonts w:hint="default" w:ascii="Times New Roman" w:hAnsi="Times New Roman" w:eastAsia="仿宋_GB2312" w:cs="Times New Roman"/>
                      <w:color w:val="auto"/>
                      <w:sz w:val="21"/>
                      <w:szCs w:val="21"/>
                    </w:rPr>
                    <w:t>西</w:t>
                  </w:r>
                  <w:r>
                    <w:rPr>
                      <w:rFonts w:hint="default" w:ascii="Times New Roman" w:hAnsi="Times New Roman" w:eastAsia="仿宋_GB2312" w:cs="Times New Roman"/>
                      <w:color w:val="auto"/>
                      <w:sz w:val="21"/>
                      <w:szCs w:val="21"/>
                      <w:lang w:eastAsia="zh-CN"/>
                    </w:rPr>
                    <w:t>厂界</w:t>
                  </w:r>
                </w:p>
              </w:tc>
              <w:tc>
                <w:tcPr>
                  <w:tcW w:w="1388" w:type="dxa"/>
                  <w:tcBorders>
                    <w:tl2br w:val="nil"/>
                    <w:tr2bl w:val="nil"/>
                  </w:tcBorders>
                  <w:vAlign w:val="center"/>
                </w:tcPr>
                <w:p w14:paraId="2BAF9F54">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vertAlign w:val="baseline"/>
                      <w:lang w:val="en-US" w:eastAsia="zh-CN" w:bidi="ar-SA"/>
                    </w:rPr>
                  </w:pPr>
                  <w:r>
                    <w:rPr>
                      <w:rFonts w:hint="default" w:ascii="Times New Roman" w:hAnsi="Times New Roman" w:eastAsia="仿宋_GB2312" w:cs="Times New Roman"/>
                      <w:b w:val="0"/>
                      <w:bCs w:val="0"/>
                      <w:color w:val="auto"/>
                      <w:sz w:val="21"/>
                      <w:szCs w:val="21"/>
                      <w:vertAlign w:val="baseline"/>
                      <w:lang w:eastAsia="zh-CN"/>
                    </w:rPr>
                    <w:t>昼间</w:t>
                  </w:r>
                </w:p>
              </w:tc>
              <w:tc>
                <w:tcPr>
                  <w:tcW w:w="1537" w:type="dxa"/>
                  <w:tcBorders>
                    <w:tl2br w:val="nil"/>
                    <w:tr2bl w:val="nil"/>
                  </w:tcBorders>
                  <w:vAlign w:val="center"/>
                </w:tcPr>
                <w:p w14:paraId="275EEE90">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color w:val="auto"/>
                      <w:sz w:val="21"/>
                      <w:szCs w:val="21"/>
                    </w:rPr>
                    <w:t>32.4</w:t>
                  </w:r>
                </w:p>
              </w:tc>
              <w:tc>
                <w:tcPr>
                  <w:tcW w:w="1538" w:type="dxa"/>
                  <w:tcBorders>
                    <w:tl2br w:val="nil"/>
                    <w:tr2bl w:val="nil"/>
                  </w:tcBorders>
                  <w:vAlign w:val="center"/>
                </w:tcPr>
                <w:p w14:paraId="6F951F24">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70</w:t>
                  </w:r>
                </w:p>
              </w:tc>
              <w:tc>
                <w:tcPr>
                  <w:tcW w:w="1148" w:type="dxa"/>
                  <w:tcBorders>
                    <w:tl2br w:val="nil"/>
                    <w:tr2bl w:val="nil"/>
                  </w:tcBorders>
                  <w:vAlign w:val="center"/>
                </w:tcPr>
                <w:p w14:paraId="1AEA013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rPr>
                  </w:pPr>
                  <w:r>
                    <w:rPr>
                      <w:rFonts w:hint="default" w:ascii="Times New Roman" w:hAnsi="Times New Roman" w:eastAsia="仿宋_GB2312" w:cs="Times New Roman"/>
                      <w:b w:val="0"/>
                      <w:bCs w:val="0"/>
                      <w:color w:val="auto"/>
                      <w:sz w:val="21"/>
                      <w:szCs w:val="21"/>
                      <w:vertAlign w:val="baseline"/>
                      <w:lang w:eastAsia="zh-CN"/>
                    </w:rPr>
                    <w:t>达标</w:t>
                  </w:r>
                </w:p>
              </w:tc>
            </w:tr>
            <w:tr w14:paraId="09E7A22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vMerge w:val="continue"/>
                  <w:tcBorders>
                    <w:tl2br w:val="nil"/>
                    <w:tr2bl w:val="nil"/>
                  </w:tcBorders>
                  <w:vAlign w:val="center"/>
                </w:tcPr>
                <w:p w14:paraId="2753C915">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p>
              </w:tc>
              <w:tc>
                <w:tcPr>
                  <w:tcW w:w="1659" w:type="dxa"/>
                  <w:vMerge w:val="continue"/>
                  <w:tcBorders>
                    <w:tl2br w:val="nil"/>
                    <w:tr2bl w:val="nil"/>
                  </w:tcBorders>
                  <w:vAlign w:val="center"/>
                </w:tcPr>
                <w:p w14:paraId="604AA3C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p>
              </w:tc>
              <w:tc>
                <w:tcPr>
                  <w:tcW w:w="1388" w:type="dxa"/>
                  <w:tcBorders>
                    <w:tl2br w:val="nil"/>
                    <w:tr2bl w:val="nil"/>
                  </w:tcBorders>
                  <w:vAlign w:val="center"/>
                </w:tcPr>
                <w:p w14:paraId="04C32C9E">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vertAlign w:val="baseline"/>
                      <w:lang w:val="en-US" w:eastAsia="zh-CN" w:bidi="ar-SA"/>
                    </w:rPr>
                  </w:pPr>
                  <w:r>
                    <w:rPr>
                      <w:rFonts w:hint="default" w:ascii="Times New Roman" w:hAnsi="Times New Roman" w:eastAsia="仿宋_GB2312" w:cs="Times New Roman"/>
                      <w:b w:val="0"/>
                      <w:bCs w:val="0"/>
                      <w:color w:val="auto"/>
                      <w:sz w:val="21"/>
                      <w:szCs w:val="21"/>
                      <w:vertAlign w:val="baseline"/>
                      <w:lang w:eastAsia="zh-CN"/>
                    </w:rPr>
                    <w:t>夜间</w:t>
                  </w:r>
                </w:p>
              </w:tc>
              <w:tc>
                <w:tcPr>
                  <w:tcW w:w="1537" w:type="dxa"/>
                  <w:tcBorders>
                    <w:tl2br w:val="nil"/>
                    <w:tr2bl w:val="nil"/>
                  </w:tcBorders>
                  <w:vAlign w:val="center"/>
                </w:tcPr>
                <w:p w14:paraId="34D4A9AF">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color w:val="auto"/>
                      <w:sz w:val="21"/>
                      <w:szCs w:val="21"/>
                    </w:rPr>
                    <w:t>32.4</w:t>
                  </w:r>
                </w:p>
              </w:tc>
              <w:tc>
                <w:tcPr>
                  <w:tcW w:w="1538" w:type="dxa"/>
                  <w:tcBorders>
                    <w:tl2br w:val="nil"/>
                    <w:tr2bl w:val="nil"/>
                  </w:tcBorders>
                  <w:vAlign w:val="center"/>
                </w:tcPr>
                <w:p w14:paraId="5CD2FBE5">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55</w:t>
                  </w:r>
                </w:p>
              </w:tc>
              <w:tc>
                <w:tcPr>
                  <w:tcW w:w="1148" w:type="dxa"/>
                  <w:tcBorders>
                    <w:tl2br w:val="nil"/>
                    <w:tr2bl w:val="nil"/>
                  </w:tcBorders>
                  <w:vAlign w:val="center"/>
                </w:tcPr>
                <w:p w14:paraId="08DD266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rPr>
                  </w:pPr>
                  <w:r>
                    <w:rPr>
                      <w:rFonts w:hint="default" w:ascii="Times New Roman" w:hAnsi="Times New Roman" w:eastAsia="仿宋_GB2312" w:cs="Times New Roman"/>
                      <w:b w:val="0"/>
                      <w:bCs w:val="0"/>
                      <w:color w:val="auto"/>
                      <w:sz w:val="21"/>
                      <w:szCs w:val="21"/>
                      <w:vertAlign w:val="baseline"/>
                      <w:lang w:eastAsia="zh-CN"/>
                    </w:rPr>
                    <w:t>达标</w:t>
                  </w:r>
                </w:p>
              </w:tc>
            </w:tr>
            <w:tr w14:paraId="1D891A2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vMerge w:val="restart"/>
                  <w:tcBorders>
                    <w:tl2br w:val="nil"/>
                    <w:tr2bl w:val="nil"/>
                  </w:tcBorders>
                  <w:vAlign w:val="center"/>
                </w:tcPr>
                <w:p w14:paraId="4E04F9EC">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4</w:t>
                  </w:r>
                </w:p>
              </w:tc>
              <w:tc>
                <w:tcPr>
                  <w:tcW w:w="1659" w:type="dxa"/>
                  <w:vMerge w:val="restart"/>
                  <w:tcBorders>
                    <w:tl2br w:val="nil"/>
                    <w:tr2bl w:val="nil"/>
                  </w:tcBorders>
                  <w:vAlign w:val="center"/>
                </w:tcPr>
                <w:p w14:paraId="04D035D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r>
                    <w:rPr>
                      <w:rFonts w:hint="default" w:ascii="Times New Roman" w:hAnsi="Times New Roman" w:eastAsia="仿宋_GB2312" w:cs="Times New Roman"/>
                      <w:color w:val="auto"/>
                      <w:sz w:val="21"/>
                      <w:szCs w:val="21"/>
                    </w:rPr>
                    <w:t>北</w:t>
                  </w:r>
                  <w:r>
                    <w:rPr>
                      <w:rFonts w:hint="default" w:ascii="Times New Roman" w:hAnsi="Times New Roman" w:eastAsia="仿宋_GB2312" w:cs="Times New Roman"/>
                      <w:color w:val="auto"/>
                      <w:sz w:val="21"/>
                      <w:szCs w:val="21"/>
                      <w:lang w:eastAsia="zh-CN"/>
                    </w:rPr>
                    <w:t>厂界</w:t>
                  </w:r>
                </w:p>
              </w:tc>
              <w:tc>
                <w:tcPr>
                  <w:tcW w:w="1388" w:type="dxa"/>
                  <w:tcBorders>
                    <w:tl2br w:val="nil"/>
                    <w:tr2bl w:val="nil"/>
                  </w:tcBorders>
                  <w:vAlign w:val="center"/>
                </w:tcPr>
                <w:p w14:paraId="6EF2A2E5">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vertAlign w:val="baseline"/>
                      <w:lang w:val="en-US" w:eastAsia="zh-CN" w:bidi="ar-SA"/>
                    </w:rPr>
                  </w:pPr>
                  <w:r>
                    <w:rPr>
                      <w:rFonts w:hint="default" w:ascii="Times New Roman" w:hAnsi="Times New Roman" w:eastAsia="仿宋_GB2312" w:cs="Times New Roman"/>
                      <w:b w:val="0"/>
                      <w:bCs w:val="0"/>
                      <w:color w:val="auto"/>
                      <w:sz w:val="21"/>
                      <w:szCs w:val="21"/>
                      <w:vertAlign w:val="baseline"/>
                      <w:lang w:eastAsia="zh-CN"/>
                    </w:rPr>
                    <w:t>昼间</w:t>
                  </w:r>
                </w:p>
              </w:tc>
              <w:tc>
                <w:tcPr>
                  <w:tcW w:w="1537" w:type="dxa"/>
                  <w:tcBorders>
                    <w:tl2br w:val="nil"/>
                    <w:tr2bl w:val="nil"/>
                  </w:tcBorders>
                  <w:vAlign w:val="center"/>
                </w:tcPr>
                <w:p w14:paraId="31C7AEF5">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color w:val="auto"/>
                      <w:sz w:val="21"/>
                      <w:szCs w:val="21"/>
                    </w:rPr>
                    <w:t>39.3</w:t>
                  </w:r>
                </w:p>
              </w:tc>
              <w:tc>
                <w:tcPr>
                  <w:tcW w:w="1538" w:type="dxa"/>
                  <w:tcBorders>
                    <w:tl2br w:val="nil"/>
                    <w:tr2bl w:val="nil"/>
                  </w:tcBorders>
                  <w:vAlign w:val="center"/>
                </w:tcPr>
                <w:p w14:paraId="24E69AF6">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60</w:t>
                  </w:r>
                </w:p>
              </w:tc>
              <w:tc>
                <w:tcPr>
                  <w:tcW w:w="1148" w:type="dxa"/>
                  <w:tcBorders>
                    <w:tl2br w:val="nil"/>
                    <w:tr2bl w:val="nil"/>
                  </w:tcBorders>
                  <w:vAlign w:val="center"/>
                </w:tcPr>
                <w:p w14:paraId="657FCF7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rPr>
                  </w:pPr>
                  <w:r>
                    <w:rPr>
                      <w:rFonts w:hint="default" w:ascii="Times New Roman" w:hAnsi="Times New Roman" w:eastAsia="仿宋_GB2312" w:cs="Times New Roman"/>
                      <w:b w:val="0"/>
                      <w:bCs w:val="0"/>
                      <w:color w:val="auto"/>
                      <w:sz w:val="21"/>
                      <w:szCs w:val="21"/>
                      <w:vertAlign w:val="baseline"/>
                      <w:lang w:eastAsia="zh-CN"/>
                    </w:rPr>
                    <w:t>达标</w:t>
                  </w:r>
                </w:p>
              </w:tc>
            </w:tr>
            <w:tr w14:paraId="4863CB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6" w:type="dxa"/>
                  <w:vMerge w:val="continue"/>
                  <w:tcBorders>
                    <w:tl2br w:val="nil"/>
                    <w:tr2bl w:val="nil"/>
                  </w:tcBorders>
                  <w:vAlign w:val="center"/>
                </w:tcPr>
                <w:p w14:paraId="4C09FA71">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p>
              </w:tc>
              <w:tc>
                <w:tcPr>
                  <w:tcW w:w="1659" w:type="dxa"/>
                  <w:vMerge w:val="continue"/>
                  <w:tcBorders>
                    <w:tl2br w:val="nil"/>
                    <w:tr2bl w:val="nil"/>
                  </w:tcBorders>
                  <w:vAlign w:val="center"/>
                </w:tcPr>
                <w:p w14:paraId="15B161A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rPr>
                  </w:pPr>
                </w:p>
              </w:tc>
              <w:tc>
                <w:tcPr>
                  <w:tcW w:w="1388" w:type="dxa"/>
                  <w:tcBorders>
                    <w:tl2br w:val="nil"/>
                    <w:tr2bl w:val="nil"/>
                  </w:tcBorders>
                  <w:vAlign w:val="center"/>
                </w:tcPr>
                <w:p w14:paraId="073738BB">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vertAlign w:val="baseline"/>
                      <w:lang w:val="en-US" w:eastAsia="zh-CN" w:bidi="ar-SA"/>
                    </w:rPr>
                  </w:pPr>
                  <w:r>
                    <w:rPr>
                      <w:rFonts w:hint="default" w:ascii="Times New Roman" w:hAnsi="Times New Roman" w:eastAsia="仿宋_GB2312" w:cs="Times New Roman"/>
                      <w:b w:val="0"/>
                      <w:bCs w:val="0"/>
                      <w:color w:val="auto"/>
                      <w:sz w:val="21"/>
                      <w:szCs w:val="21"/>
                      <w:vertAlign w:val="baseline"/>
                      <w:lang w:eastAsia="zh-CN"/>
                    </w:rPr>
                    <w:t>夜间</w:t>
                  </w:r>
                </w:p>
              </w:tc>
              <w:tc>
                <w:tcPr>
                  <w:tcW w:w="1537" w:type="dxa"/>
                  <w:tcBorders>
                    <w:tl2br w:val="nil"/>
                    <w:tr2bl w:val="nil"/>
                  </w:tcBorders>
                  <w:vAlign w:val="center"/>
                </w:tcPr>
                <w:p w14:paraId="6FAC29FF">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color w:val="auto"/>
                      <w:sz w:val="21"/>
                      <w:szCs w:val="21"/>
                    </w:rPr>
                    <w:t>39.3</w:t>
                  </w:r>
                </w:p>
              </w:tc>
              <w:tc>
                <w:tcPr>
                  <w:tcW w:w="1538" w:type="dxa"/>
                  <w:tcBorders>
                    <w:tl2br w:val="nil"/>
                    <w:tr2bl w:val="nil"/>
                  </w:tcBorders>
                  <w:vAlign w:val="center"/>
                </w:tcPr>
                <w:p w14:paraId="64B4AED2">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50</w:t>
                  </w:r>
                </w:p>
              </w:tc>
              <w:tc>
                <w:tcPr>
                  <w:tcW w:w="1148" w:type="dxa"/>
                  <w:tcBorders>
                    <w:tl2br w:val="nil"/>
                    <w:tr2bl w:val="nil"/>
                  </w:tcBorders>
                  <w:vAlign w:val="center"/>
                </w:tcPr>
                <w:p w14:paraId="550AF4F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rPr>
                  </w:pPr>
                  <w:r>
                    <w:rPr>
                      <w:rFonts w:hint="default" w:ascii="Times New Roman" w:hAnsi="Times New Roman" w:eastAsia="仿宋_GB2312" w:cs="Times New Roman"/>
                      <w:b w:val="0"/>
                      <w:bCs w:val="0"/>
                      <w:color w:val="auto"/>
                      <w:sz w:val="21"/>
                      <w:szCs w:val="21"/>
                      <w:vertAlign w:val="baseline"/>
                      <w:lang w:eastAsia="zh-CN"/>
                    </w:rPr>
                    <w:t>达标</w:t>
                  </w:r>
                </w:p>
              </w:tc>
            </w:tr>
          </w:tbl>
          <w:p w14:paraId="412379B0">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由上表可知，项目运营后西侧厂界噪声排放满足《工业企业厂界环境噪声排放标准》（GB 12348-2008）中的4类标准，其余厂界噪声排放满足《工业企业厂界环境噪声排放标准》（GB 12348-2008）中的2类标准。</w:t>
            </w:r>
          </w:p>
          <w:p w14:paraId="4E197AF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综上所述，在落实相关噪声防治措施的情况下，本项目运营期噪声能够达标排放，对周围声环境影响较小。</w:t>
            </w:r>
          </w:p>
          <w:p w14:paraId="51FEAA50">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（4）运营期声环境监测计划</w:t>
            </w:r>
          </w:p>
          <w:p w14:paraId="33D16F4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根据《排污单位自行监测技术指南 总则》（HJ 819-2017）、《排污单位自行监测技术指南 储油库、加油站》（HJ</w:t>
            </w:r>
            <w:r>
              <w:rPr>
                <w:rFonts w:hint="eastAsia" w:ascii="Times New Roman" w:hAnsi="Times New Roman" w:eastAsia="仿宋_GB2312" w:cs="Times New Roman"/>
                <w:bCs/>
                <w:color w:val="auto"/>
                <w:sz w:val="24"/>
                <w:szCs w:val="24"/>
                <w:lang w:val="en-US" w:eastAsia="zh-CN"/>
              </w:rPr>
              <w:t xml:space="preserve"> </w:t>
            </w:r>
            <w:r>
              <w:rPr>
                <w:rFonts w:hint="default" w:ascii="Times New Roman" w:hAnsi="Times New Roman" w:eastAsia="仿宋_GB2312" w:cs="Times New Roman"/>
                <w:bCs/>
                <w:color w:val="auto"/>
                <w:sz w:val="24"/>
                <w:szCs w:val="24"/>
                <w:lang w:val="en-US" w:eastAsia="zh-CN"/>
              </w:rPr>
              <w:t>1249-2022）中自行监测的相关要求，项目运营期噪声监测计划如下表所示。</w:t>
            </w:r>
          </w:p>
          <w:p w14:paraId="6153D012">
            <w:pPr>
              <w:tabs>
                <w:tab w:val="left" w:pos="3467"/>
              </w:tabs>
              <w:ind w:firstLine="482" w:firstLineChars="200"/>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表4-1</w:t>
            </w:r>
            <w:r>
              <w:rPr>
                <w:rFonts w:hint="default" w:ascii="Times New Roman" w:hAnsi="Times New Roman" w:eastAsia="仿宋_GB2312" w:cs="Times New Roman"/>
                <w:b/>
                <w:bCs/>
                <w:color w:val="auto"/>
                <w:sz w:val="24"/>
                <w:szCs w:val="24"/>
                <w:lang w:val="en-US" w:eastAsia="zh-CN"/>
              </w:rPr>
              <w:t>5</w:t>
            </w:r>
            <w:r>
              <w:rPr>
                <w:rFonts w:hint="default" w:ascii="Times New Roman" w:hAnsi="Times New Roman" w:eastAsia="仿宋_GB2312" w:cs="Times New Roman"/>
                <w:b/>
                <w:bCs/>
                <w:color w:val="auto"/>
                <w:sz w:val="24"/>
                <w:szCs w:val="24"/>
              </w:rPr>
              <w:t xml:space="preserve"> 运营期噪声监测计划</w:t>
            </w:r>
          </w:p>
          <w:tbl>
            <w:tblPr>
              <w:tblStyle w:val="20"/>
              <w:tblW w:w="7946"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17"/>
              <w:gridCol w:w="1397"/>
              <w:gridCol w:w="1312"/>
              <w:gridCol w:w="1097"/>
              <w:gridCol w:w="571"/>
              <w:gridCol w:w="572"/>
              <w:gridCol w:w="1880"/>
            </w:tblGrid>
            <w:tr w14:paraId="50AECFA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17" w:type="dxa"/>
                  <w:vMerge w:val="restart"/>
                  <w:tcBorders>
                    <w:tl2br w:val="nil"/>
                    <w:tr2bl w:val="nil"/>
                  </w:tcBorders>
                  <w:vAlign w:val="center"/>
                </w:tcPr>
                <w:p w14:paraId="175DC4BE">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监测项目</w:t>
                  </w:r>
                </w:p>
              </w:tc>
              <w:tc>
                <w:tcPr>
                  <w:tcW w:w="1397" w:type="dxa"/>
                  <w:vMerge w:val="restart"/>
                  <w:tcBorders>
                    <w:tl2br w:val="nil"/>
                    <w:tr2bl w:val="nil"/>
                  </w:tcBorders>
                  <w:vAlign w:val="center"/>
                </w:tcPr>
                <w:p w14:paraId="6551C376">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监测点位</w:t>
                  </w:r>
                </w:p>
              </w:tc>
              <w:tc>
                <w:tcPr>
                  <w:tcW w:w="1312" w:type="dxa"/>
                  <w:vMerge w:val="restart"/>
                  <w:tcBorders>
                    <w:tl2br w:val="nil"/>
                    <w:tr2bl w:val="nil"/>
                  </w:tcBorders>
                  <w:vAlign w:val="center"/>
                </w:tcPr>
                <w:p w14:paraId="4AAA1E0C">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监测因子</w:t>
                  </w:r>
                </w:p>
              </w:tc>
              <w:tc>
                <w:tcPr>
                  <w:tcW w:w="1097" w:type="dxa"/>
                  <w:vMerge w:val="restart"/>
                  <w:tcBorders>
                    <w:tl2br w:val="nil"/>
                    <w:tr2bl w:val="nil"/>
                  </w:tcBorders>
                  <w:vAlign w:val="center"/>
                </w:tcPr>
                <w:p w14:paraId="2D4307BB">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频次</w:t>
                  </w:r>
                </w:p>
              </w:tc>
              <w:tc>
                <w:tcPr>
                  <w:tcW w:w="3023" w:type="dxa"/>
                  <w:gridSpan w:val="3"/>
                  <w:tcBorders>
                    <w:tl2br w:val="nil"/>
                    <w:tr2bl w:val="nil"/>
                  </w:tcBorders>
                  <w:vAlign w:val="center"/>
                </w:tcPr>
                <w:p w14:paraId="29597962">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执行标准</w:t>
                  </w:r>
                </w:p>
              </w:tc>
            </w:tr>
            <w:tr w14:paraId="24454FE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17" w:type="dxa"/>
                  <w:vMerge w:val="continue"/>
                  <w:tcBorders>
                    <w:tl2br w:val="nil"/>
                    <w:tr2bl w:val="nil"/>
                  </w:tcBorders>
                  <w:vAlign w:val="center"/>
                </w:tcPr>
                <w:p w14:paraId="4E64CB0A">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p>
              </w:tc>
              <w:tc>
                <w:tcPr>
                  <w:tcW w:w="1397" w:type="dxa"/>
                  <w:vMerge w:val="continue"/>
                  <w:tcBorders>
                    <w:tl2br w:val="nil"/>
                    <w:tr2bl w:val="nil"/>
                  </w:tcBorders>
                  <w:vAlign w:val="center"/>
                </w:tcPr>
                <w:p w14:paraId="0F26A0A8">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p>
              </w:tc>
              <w:tc>
                <w:tcPr>
                  <w:tcW w:w="1312" w:type="dxa"/>
                  <w:vMerge w:val="continue"/>
                  <w:tcBorders>
                    <w:tl2br w:val="nil"/>
                    <w:tr2bl w:val="nil"/>
                  </w:tcBorders>
                  <w:vAlign w:val="center"/>
                </w:tcPr>
                <w:p w14:paraId="1F1382ED">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p>
              </w:tc>
              <w:tc>
                <w:tcPr>
                  <w:tcW w:w="1097" w:type="dxa"/>
                  <w:vMerge w:val="continue"/>
                  <w:tcBorders>
                    <w:tl2br w:val="nil"/>
                    <w:tr2bl w:val="nil"/>
                  </w:tcBorders>
                  <w:vAlign w:val="center"/>
                </w:tcPr>
                <w:p w14:paraId="63659117">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p>
              </w:tc>
              <w:tc>
                <w:tcPr>
                  <w:tcW w:w="571" w:type="dxa"/>
                  <w:tcBorders>
                    <w:tl2br w:val="nil"/>
                    <w:tr2bl w:val="nil"/>
                  </w:tcBorders>
                  <w:vAlign w:val="center"/>
                </w:tcPr>
                <w:p w14:paraId="700210A0">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eastAsia" w:ascii="Times New Roman" w:hAnsi="Times New Roman" w:eastAsia="仿宋_GB2312" w:cs="Times New Roman"/>
                      <w:b/>
                      <w:bCs/>
                      <w:color w:val="auto"/>
                      <w:sz w:val="21"/>
                      <w:szCs w:val="21"/>
                      <w:lang w:eastAsia="zh-CN"/>
                    </w:rPr>
                    <w:t>昼</w:t>
                  </w:r>
                </w:p>
              </w:tc>
              <w:tc>
                <w:tcPr>
                  <w:tcW w:w="572" w:type="dxa"/>
                  <w:tcBorders>
                    <w:tl2br w:val="nil"/>
                    <w:tr2bl w:val="nil"/>
                  </w:tcBorders>
                  <w:vAlign w:val="center"/>
                </w:tcPr>
                <w:p w14:paraId="1A095427">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eastAsia" w:ascii="Times New Roman" w:hAnsi="Times New Roman" w:eastAsia="仿宋_GB2312" w:cs="Times New Roman"/>
                      <w:b/>
                      <w:bCs/>
                      <w:color w:val="auto"/>
                      <w:sz w:val="21"/>
                      <w:szCs w:val="21"/>
                      <w:lang w:eastAsia="zh-CN"/>
                    </w:rPr>
                    <w:t>夜</w:t>
                  </w:r>
                </w:p>
              </w:tc>
              <w:tc>
                <w:tcPr>
                  <w:tcW w:w="1880" w:type="dxa"/>
                  <w:tcBorders>
                    <w:tl2br w:val="nil"/>
                    <w:tr2bl w:val="nil"/>
                  </w:tcBorders>
                  <w:vAlign w:val="center"/>
                </w:tcPr>
                <w:p w14:paraId="5B794093">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eastAsia" w:ascii="Times New Roman" w:hAnsi="Times New Roman" w:eastAsia="仿宋_GB2312" w:cs="Times New Roman"/>
                      <w:b/>
                      <w:bCs/>
                      <w:color w:val="auto"/>
                      <w:sz w:val="21"/>
                      <w:szCs w:val="21"/>
                      <w:lang w:eastAsia="zh-CN"/>
                    </w:rPr>
                    <w:t>标准来源</w:t>
                  </w:r>
                </w:p>
              </w:tc>
            </w:tr>
            <w:tr w14:paraId="05A0E7C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117" w:type="dxa"/>
                  <w:vMerge w:val="restart"/>
                  <w:tcBorders>
                    <w:tl2br w:val="nil"/>
                    <w:tr2bl w:val="nil"/>
                  </w:tcBorders>
                  <w:vAlign w:val="center"/>
                </w:tcPr>
                <w:p w14:paraId="1F5068C7">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eastAsia="zh-CN"/>
                    </w:rPr>
                  </w:pPr>
                  <w:r>
                    <w:rPr>
                      <w:rFonts w:hint="default" w:ascii="Times New Roman" w:hAnsi="Times New Roman" w:eastAsia="仿宋_GB2312" w:cs="Times New Roman"/>
                      <w:b w:val="0"/>
                      <w:bCs w:val="0"/>
                      <w:color w:val="auto"/>
                      <w:spacing w:val="-6"/>
                      <w:sz w:val="21"/>
                      <w:szCs w:val="21"/>
                      <w:vertAlign w:val="baseline"/>
                      <w:lang w:eastAsia="zh-CN"/>
                    </w:rPr>
                    <w:t>厂界噪声</w:t>
                  </w:r>
                </w:p>
              </w:tc>
              <w:tc>
                <w:tcPr>
                  <w:tcW w:w="1397" w:type="dxa"/>
                  <w:tcBorders>
                    <w:tl2br w:val="nil"/>
                    <w:tr2bl w:val="nil"/>
                  </w:tcBorders>
                  <w:vAlign w:val="center"/>
                </w:tcPr>
                <w:p w14:paraId="51CF4208">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eastAsia="zh-CN"/>
                    </w:rPr>
                  </w:pPr>
                  <w:r>
                    <w:rPr>
                      <w:rFonts w:hint="default" w:ascii="Times New Roman" w:hAnsi="Times New Roman" w:eastAsia="仿宋_GB2312" w:cs="Times New Roman"/>
                      <w:b w:val="0"/>
                      <w:bCs w:val="0"/>
                      <w:color w:val="auto"/>
                      <w:spacing w:val="-6"/>
                      <w:sz w:val="21"/>
                      <w:szCs w:val="21"/>
                      <w:vertAlign w:val="baseline"/>
                      <w:lang w:eastAsia="zh-CN"/>
                    </w:rPr>
                    <w:t>东、南、北</w:t>
                  </w:r>
                </w:p>
              </w:tc>
              <w:tc>
                <w:tcPr>
                  <w:tcW w:w="1312" w:type="dxa"/>
                  <w:vMerge w:val="restart"/>
                  <w:tcBorders>
                    <w:tl2br w:val="nil"/>
                    <w:tr2bl w:val="nil"/>
                  </w:tcBorders>
                  <w:vAlign w:val="center"/>
                </w:tcPr>
                <w:p w14:paraId="70F98BF3">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val="en-US" w:eastAsia="zh-CN"/>
                    </w:rPr>
                  </w:pPr>
                  <w:r>
                    <w:rPr>
                      <w:rFonts w:hint="default" w:ascii="Times New Roman" w:hAnsi="Times New Roman" w:eastAsia="仿宋_GB2312" w:cs="Times New Roman"/>
                      <w:b w:val="0"/>
                      <w:bCs w:val="0"/>
                      <w:color w:val="auto"/>
                      <w:spacing w:val="-6"/>
                      <w:sz w:val="21"/>
                      <w:szCs w:val="21"/>
                      <w:vertAlign w:val="baseline"/>
                      <w:lang w:val="en-US" w:eastAsia="zh-CN"/>
                    </w:rPr>
                    <w:t>Leq（A）</w:t>
                  </w:r>
                </w:p>
              </w:tc>
              <w:tc>
                <w:tcPr>
                  <w:tcW w:w="1097" w:type="dxa"/>
                  <w:vMerge w:val="restart"/>
                  <w:tcBorders>
                    <w:tl2br w:val="nil"/>
                    <w:tr2bl w:val="nil"/>
                  </w:tcBorders>
                  <w:vAlign w:val="center"/>
                </w:tcPr>
                <w:p w14:paraId="46FA5E73">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val="en-US" w:eastAsia="zh-CN"/>
                    </w:rPr>
                  </w:pPr>
                  <w:r>
                    <w:rPr>
                      <w:rFonts w:hint="default" w:ascii="Times New Roman" w:hAnsi="Times New Roman" w:eastAsia="仿宋_GB2312" w:cs="Times New Roman"/>
                      <w:b w:val="0"/>
                      <w:bCs w:val="0"/>
                      <w:color w:val="auto"/>
                      <w:spacing w:val="-6"/>
                      <w:sz w:val="21"/>
                      <w:szCs w:val="21"/>
                      <w:vertAlign w:val="baseline"/>
                      <w:lang w:val="en-US" w:eastAsia="zh-CN"/>
                    </w:rPr>
                    <w:t>1次/季度</w:t>
                  </w:r>
                </w:p>
              </w:tc>
              <w:tc>
                <w:tcPr>
                  <w:tcW w:w="571" w:type="dxa"/>
                  <w:tcBorders>
                    <w:tl2br w:val="nil"/>
                    <w:tr2bl w:val="nil"/>
                  </w:tcBorders>
                  <w:vAlign w:val="center"/>
                </w:tcPr>
                <w:p w14:paraId="112B7BE4">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val="en-US" w:eastAsia="zh-CN"/>
                    </w:rPr>
                  </w:pPr>
                  <w:r>
                    <w:rPr>
                      <w:rFonts w:hint="default" w:ascii="Times New Roman" w:hAnsi="Times New Roman" w:eastAsia="仿宋_GB2312" w:cs="Times New Roman"/>
                      <w:b w:val="0"/>
                      <w:bCs w:val="0"/>
                      <w:color w:val="auto"/>
                      <w:spacing w:val="-6"/>
                      <w:sz w:val="21"/>
                      <w:szCs w:val="21"/>
                      <w:vertAlign w:val="baseline"/>
                      <w:lang w:val="en-US" w:eastAsia="zh-CN"/>
                    </w:rPr>
                    <w:t>60</w:t>
                  </w:r>
                </w:p>
              </w:tc>
              <w:tc>
                <w:tcPr>
                  <w:tcW w:w="572" w:type="dxa"/>
                  <w:tcBorders>
                    <w:tl2br w:val="nil"/>
                    <w:tr2bl w:val="nil"/>
                  </w:tcBorders>
                  <w:vAlign w:val="center"/>
                </w:tcPr>
                <w:p w14:paraId="52119DDD">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val="en-US" w:eastAsia="zh-CN"/>
                    </w:rPr>
                  </w:pPr>
                  <w:r>
                    <w:rPr>
                      <w:rFonts w:hint="default" w:ascii="Times New Roman" w:hAnsi="Times New Roman" w:eastAsia="仿宋_GB2312" w:cs="Times New Roman"/>
                      <w:b w:val="0"/>
                      <w:bCs w:val="0"/>
                      <w:color w:val="auto"/>
                      <w:spacing w:val="-6"/>
                      <w:sz w:val="21"/>
                      <w:szCs w:val="21"/>
                      <w:vertAlign w:val="baseline"/>
                      <w:lang w:val="en-US" w:eastAsia="zh-CN"/>
                    </w:rPr>
                    <w:t>50</w:t>
                  </w:r>
                </w:p>
              </w:tc>
              <w:tc>
                <w:tcPr>
                  <w:tcW w:w="1880" w:type="dxa"/>
                  <w:vMerge w:val="restart"/>
                  <w:tcBorders>
                    <w:tl2br w:val="nil"/>
                    <w:tr2bl w:val="nil"/>
                  </w:tcBorders>
                  <w:vAlign w:val="center"/>
                </w:tcPr>
                <w:p w14:paraId="0F21B740">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val="en-US" w:eastAsia="zh-CN"/>
                    </w:rPr>
                  </w:pPr>
                  <w:r>
                    <w:rPr>
                      <w:rFonts w:hint="default" w:ascii="Times New Roman" w:hAnsi="Times New Roman" w:eastAsia="仿宋_GB2312" w:cs="Times New Roman"/>
                      <w:b w:val="0"/>
                      <w:bCs w:val="0"/>
                      <w:color w:val="auto"/>
                      <w:spacing w:val="-6"/>
                      <w:sz w:val="21"/>
                      <w:szCs w:val="21"/>
                      <w:vertAlign w:val="baseline"/>
                      <w:lang w:eastAsia="zh-CN"/>
                    </w:rPr>
                    <w:t>《工业企业</w:t>
                  </w:r>
                  <w:r>
                    <w:rPr>
                      <w:rFonts w:hint="default" w:ascii="Times New Roman" w:hAnsi="Times New Roman" w:eastAsia="仿宋_GB2312" w:cs="Times New Roman"/>
                      <w:b w:val="0"/>
                      <w:bCs w:val="0"/>
                      <w:color w:val="auto"/>
                      <w:spacing w:val="-6"/>
                      <w:sz w:val="21"/>
                      <w:szCs w:val="21"/>
                      <w:vertAlign w:val="baseline"/>
                      <w:lang w:val="en-US" w:eastAsia="zh-CN"/>
                    </w:rPr>
                    <w:t>厂界环境噪声排放标准》（GB 12348-2008）</w:t>
                  </w:r>
                </w:p>
              </w:tc>
            </w:tr>
            <w:tr w14:paraId="47BC7F6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117" w:type="dxa"/>
                  <w:vMerge w:val="continue"/>
                  <w:tcBorders>
                    <w:tl2br w:val="nil"/>
                    <w:tr2bl w:val="nil"/>
                  </w:tcBorders>
                  <w:vAlign w:val="center"/>
                </w:tcPr>
                <w:p w14:paraId="568F33DA">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p>
              </w:tc>
              <w:tc>
                <w:tcPr>
                  <w:tcW w:w="1397" w:type="dxa"/>
                  <w:tcBorders>
                    <w:tl2br w:val="nil"/>
                    <w:tr2bl w:val="nil"/>
                  </w:tcBorders>
                  <w:vAlign w:val="center"/>
                </w:tcPr>
                <w:p w14:paraId="4A94197A">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eastAsia="zh-CN"/>
                    </w:rPr>
                  </w:pPr>
                  <w:r>
                    <w:rPr>
                      <w:rFonts w:hint="default" w:ascii="Times New Roman" w:hAnsi="Times New Roman" w:eastAsia="仿宋_GB2312" w:cs="Times New Roman"/>
                      <w:b w:val="0"/>
                      <w:bCs w:val="0"/>
                      <w:color w:val="auto"/>
                      <w:spacing w:val="-6"/>
                      <w:sz w:val="21"/>
                      <w:szCs w:val="21"/>
                      <w:vertAlign w:val="baseline"/>
                      <w:lang w:eastAsia="zh-CN"/>
                    </w:rPr>
                    <w:t>西</w:t>
                  </w:r>
                </w:p>
              </w:tc>
              <w:tc>
                <w:tcPr>
                  <w:tcW w:w="1312" w:type="dxa"/>
                  <w:vMerge w:val="continue"/>
                  <w:tcBorders>
                    <w:tl2br w:val="nil"/>
                    <w:tr2bl w:val="nil"/>
                  </w:tcBorders>
                  <w:vAlign w:val="center"/>
                </w:tcPr>
                <w:p w14:paraId="3A1A5A81">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eastAsia="zh-CN"/>
                    </w:rPr>
                  </w:pPr>
                </w:p>
              </w:tc>
              <w:tc>
                <w:tcPr>
                  <w:tcW w:w="1097" w:type="dxa"/>
                  <w:vMerge w:val="continue"/>
                  <w:tcBorders>
                    <w:tl2br w:val="nil"/>
                    <w:tr2bl w:val="nil"/>
                  </w:tcBorders>
                  <w:vAlign w:val="center"/>
                </w:tcPr>
                <w:p w14:paraId="554FE380">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eastAsia="zh-CN"/>
                    </w:rPr>
                  </w:pPr>
                </w:p>
              </w:tc>
              <w:tc>
                <w:tcPr>
                  <w:tcW w:w="571" w:type="dxa"/>
                  <w:tcBorders>
                    <w:tl2br w:val="nil"/>
                    <w:tr2bl w:val="nil"/>
                  </w:tcBorders>
                  <w:vAlign w:val="center"/>
                </w:tcPr>
                <w:p w14:paraId="4ED4418B">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val="en-US" w:eastAsia="zh-CN"/>
                    </w:rPr>
                  </w:pPr>
                  <w:r>
                    <w:rPr>
                      <w:rFonts w:hint="default" w:ascii="Times New Roman" w:hAnsi="Times New Roman" w:eastAsia="仿宋_GB2312" w:cs="Times New Roman"/>
                      <w:b w:val="0"/>
                      <w:bCs w:val="0"/>
                      <w:color w:val="auto"/>
                      <w:spacing w:val="-6"/>
                      <w:sz w:val="21"/>
                      <w:szCs w:val="21"/>
                      <w:vertAlign w:val="baseline"/>
                      <w:lang w:val="en-US" w:eastAsia="zh-CN"/>
                    </w:rPr>
                    <w:t>70</w:t>
                  </w:r>
                </w:p>
              </w:tc>
              <w:tc>
                <w:tcPr>
                  <w:tcW w:w="572" w:type="dxa"/>
                  <w:tcBorders>
                    <w:tl2br w:val="nil"/>
                    <w:tr2bl w:val="nil"/>
                  </w:tcBorders>
                  <w:vAlign w:val="center"/>
                </w:tcPr>
                <w:p w14:paraId="5A5D1A99">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val="en-US" w:eastAsia="zh-CN"/>
                    </w:rPr>
                  </w:pPr>
                  <w:r>
                    <w:rPr>
                      <w:rFonts w:hint="default" w:ascii="Times New Roman" w:hAnsi="Times New Roman" w:eastAsia="仿宋_GB2312" w:cs="Times New Roman"/>
                      <w:b w:val="0"/>
                      <w:bCs w:val="0"/>
                      <w:color w:val="auto"/>
                      <w:spacing w:val="-6"/>
                      <w:sz w:val="21"/>
                      <w:szCs w:val="21"/>
                      <w:vertAlign w:val="baseline"/>
                      <w:lang w:val="en-US" w:eastAsia="zh-CN"/>
                    </w:rPr>
                    <w:t>55</w:t>
                  </w:r>
                </w:p>
              </w:tc>
              <w:tc>
                <w:tcPr>
                  <w:tcW w:w="1880" w:type="dxa"/>
                  <w:vMerge w:val="continue"/>
                  <w:tcBorders>
                    <w:tl2br w:val="nil"/>
                    <w:tr2bl w:val="nil"/>
                  </w:tcBorders>
                  <w:vAlign w:val="center"/>
                </w:tcPr>
                <w:p w14:paraId="1B49426A">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eastAsia="zh-CN"/>
                    </w:rPr>
                  </w:pPr>
                </w:p>
              </w:tc>
            </w:tr>
          </w:tbl>
          <w:p w14:paraId="4154EFB4">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4、固体废物</w:t>
            </w:r>
          </w:p>
          <w:p w14:paraId="6600FA7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highlight w:val="none"/>
                <w:lang w:val="en-US" w:eastAsia="zh-CN"/>
              </w:rPr>
            </w:pPr>
            <w:r>
              <w:rPr>
                <w:rFonts w:hint="default" w:ascii="Times New Roman" w:hAnsi="Times New Roman" w:eastAsia="仿宋_GB2312" w:cs="Times New Roman"/>
                <w:bCs/>
                <w:color w:val="auto"/>
                <w:sz w:val="24"/>
                <w:szCs w:val="24"/>
                <w:highlight w:val="none"/>
                <w:lang w:val="en-US" w:eastAsia="zh-CN"/>
              </w:rPr>
              <w:t>4-1：固废源强</w:t>
            </w:r>
          </w:p>
          <w:p w14:paraId="33C3311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本项目运营期产生的固废主要为</w:t>
            </w:r>
            <w:r>
              <w:rPr>
                <w:rFonts w:hint="eastAsia" w:ascii="Times New Roman" w:hAnsi="Times New Roman" w:eastAsia="仿宋_GB2312" w:cs="Times New Roman"/>
                <w:bCs/>
                <w:color w:val="auto"/>
                <w:sz w:val="24"/>
                <w:szCs w:val="24"/>
                <w:lang w:val="en-US" w:eastAsia="zh-CN"/>
              </w:rPr>
              <w:t>油罐清理残液、隔油沉淀池产生的</w:t>
            </w:r>
            <w:r>
              <w:rPr>
                <w:rFonts w:hint="eastAsia" w:eastAsia="仿宋_GB2312" w:cs="Times New Roman"/>
                <w:bCs/>
                <w:color w:val="auto"/>
                <w:sz w:val="24"/>
                <w:szCs w:val="24"/>
                <w:lang w:val="en-US" w:eastAsia="zh-CN"/>
              </w:rPr>
              <w:t>含油污泥</w:t>
            </w:r>
            <w:r>
              <w:rPr>
                <w:rFonts w:hint="eastAsia" w:ascii="Times New Roman" w:hAnsi="Times New Roman" w:eastAsia="仿宋_GB2312" w:cs="Times New Roman"/>
                <w:bCs/>
                <w:color w:val="auto"/>
                <w:sz w:val="24"/>
                <w:szCs w:val="24"/>
                <w:lang w:val="en-US" w:eastAsia="zh-CN"/>
              </w:rPr>
              <w:t>、废吸油毡、废弃含油劳保用品及</w:t>
            </w:r>
            <w:r>
              <w:rPr>
                <w:rFonts w:hint="default" w:ascii="Times New Roman" w:hAnsi="Times New Roman" w:eastAsia="仿宋_GB2312" w:cs="Times New Roman"/>
                <w:bCs/>
                <w:color w:val="auto"/>
                <w:sz w:val="24"/>
                <w:szCs w:val="24"/>
                <w:lang w:val="en-US" w:eastAsia="zh-CN"/>
              </w:rPr>
              <w:t>生活垃圾。产生的污染物如下：</w:t>
            </w:r>
          </w:p>
          <w:p w14:paraId="2BB10E72">
            <w:pPr>
              <w:keepNext w:val="0"/>
              <w:keepLines w:val="0"/>
              <w:pageBreakBefore w:val="0"/>
              <w:widowControl w:val="0"/>
              <w:numPr>
                <w:ilvl w:val="0"/>
                <w:numId w:val="11"/>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油罐清理残液</w:t>
            </w:r>
          </w:p>
          <w:p w14:paraId="16B8DB4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储油罐经过一段时间（约3年）的使用后，因冷热温差的变化，冷凝水顺罐体流入罐底，加快燃油的乳化，其黑油泥会逐渐增加</w:t>
            </w:r>
            <w:r>
              <w:rPr>
                <w:rFonts w:hint="eastAsia" w:eastAsia="仿宋_GB2312" w:cs="Times New Roman"/>
                <w:bCs/>
                <w:color w:val="auto"/>
                <w:sz w:val="24"/>
                <w:szCs w:val="24"/>
                <w:lang w:val="en-US" w:eastAsia="zh-CN"/>
              </w:rPr>
              <w:t>，</w:t>
            </w:r>
            <w:r>
              <w:rPr>
                <w:rFonts w:hint="default" w:ascii="Times New Roman" w:hAnsi="Times New Roman" w:eastAsia="仿宋_GB2312" w:cs="Times New Roman"/>
                <w:bCs/>
                <w:color w:val="auto"/>
                <w:sz w:val="24"/>
                <w:szCs w:val="24"/>
                <w:lang w:val="en-US" w:eastAsia="zh-CN"/>
              </w:rPr>
              <w:t>导致油品质量下降、腐蚀罐壁</w:t>
            </w:r>
            <w:r>
              <w:rPr>
                <w:rFonts w:hint="eastAsia" w:eastAsia="仿宋_GB2312" w:cs="Times New Roman"/>
                <w:bCs/>
                <w:color w:val="auto"/>
                <w:sz w:val="24"/>
                <w:szCs w:val="24"/>
                <w:lang w:val="en-US" w:eastAsia="zh-CN"/>
              </w:rPr>
              <w:t>。</w:t>
            </w:r>
            <w:r>
              <w:rPr>
                <w:rFonts w:hint="default" w:ascii="Times New Roman" w:hAnsi="Times New Roman" w:eastAsia="仿宋_GB2312" w:cs="Times New Roman"/>
                <w:bCs/>
                <w:color w:val="auto"/>
                <w:sz w:val="24"/>
                <w:szCs w:val="24"/>
                <w:lang w:val="en-US" w:eastAsia="zh-CN"/>
              </w:rPr>
              <w:t>还会给车辆及机器设备造成不应有的损失，故储油罐必须定期定时做好清理工作。</w:t>
            </w:r>
          </w:p>
          <w:p w14:paraId="4BFFBF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加油站委托有相关资质的专业单位进行油罐清理，清理产生的油渣油泥由清理单位随即带走处置，站区内不贮存。储罐多采用机械清洗，清理过程中有残液产生，产生量约为1.5t/次（参照同类项目《芜湖中油石油有限公司海莲加油站原址改扩建项目》），按每3年清理一次，则年产生量约0.5t/a，这部分固物属于危险废物的范围，按《国家危险废物名录》（2025版），分类编号为HW08废矿物油与含矿物油废物（废物代码：900-249-08）其他生产、销售、使用过程中产生的废矿物油及沾染矿物油的废弃包装物。</w:t>
            </w:r>
          </w:p>
          <w:p w14:paraId="1443CDF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（2）含油污泥</w:t>
            </w:r>
          </w:p>
          <w:p w14:paraId="169DB17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本项目新建一座隔油沉淀池，用于处理洗车废水、站区保洁废水和初期雨水。隔油沉淀池预处理会产生含油污泥，根据前文悬浮物</w:t>
            </w:r>
            <w:r>
              <w:rPr>
                <w:rFonts w:hint="eastAsia" w:eastAsia="仿宋_GB2312" w:cs="Times New Roman"/>
                <w:bCs/>
                <w:color w:val="auto"/>
                <w:sz w:val="24"/>
                <w:szCs w:val="24"/>
                <w:lang w:val="en-US" w:eastAsia="zh-CN"/>
              </w:rPr>
              <w:t>和石油类</w:t>
            </w:r>
            <w:r>
              <w:rPr>
                <w:rFonts w:hint="default" w:ascii="Times New Roman" w:hAnsi="Times New Roman" w:eastAsia="仿宋_GB2312" w:cs="Times New Roman"/>
                <w:bCs/>
                <w:color w:val="auto"/>
                <w:sz w:val="24"/>
                <w:szCs w:val="24"/>
                <w:lang w:val="en-US" w:eastAsia="zh-CN"/>
              </w:rPr>
              <w:t>去除量分析，</w:t>
            </w:r>
            <w:r>
              <w:rPr>
                <w:rFonts w:hint="eastAsia" w:eastAsia="仿宋_GB2312" w:cs="Times New Roman"/>
                <w:bCs/>
                <w:color w:val="auto"/>
                <w:sz w:val="24"/>
                <w:szCs w:val="24"/>
                <w:lang w:val="en-US" w:eastAsia="zh-CN"/>
              </w:rPr>
              <w:t>池内截留污染物约为0.2131t/a。根据一般排放污泥性质，污泥含水率取60%计算，本项目含油</w:t>
            </w:r>
            <w:r>
              <w:rPr>
                <w:rFonts w:hint="default" w:ascii="Times New Roman" w:hAnsi="Times New Roman" w:eastAsia="仿宋_GB2312" w:cs="Times New Roman"/>
                <w:bCs/>
                <w:color w:val="auto"/>
                <w:sz w:val="24"/>
                <w:szCs w:val="24"/>
                <w:lang w:val="en-US" w:eastAsia="zh-CN"/>
              </w:rPr>
              <w:t>污</w:t>
            </w:r>
            <w:r>
              <w:rPr>
                <w:rFonts w:hint="default" w:ascii="Times New Roman" w:hAnsi="Times New Roman" w:eastAsia="仿宋_GB2312" w:cs="Times New Roman"/>
                <w:bCs/>
                <w:color w:val="auto"/>
                <w:sz w:val="24"/>
                <w:szCs w:val="24"/>
                <w:highlight w:val="none"/>
                <w:lang w:val="en-US" w:eastAsia="zh-CN"/>
              </w:rPr>
              <w:t>泥产生量约为0.</w:t>
            </w:r>
            <w:r>
              <w:rPr>
                <w:rFonts w:hint="eastAsia" w:eastAsia="仿宋_GB2312" w:cs="Times New Roman"/>
                <w:bCs/>
                <w:color w:val="auto"/>
                <w:sz w:val="24"/>
                <w:szCs w:val="24"/>
                <w:highlight w:val="none"/>
                <w:lang w:val="en-US" w:eastAsia="zh-CN"/>
              </w:rPr>
              <w:t>34</w:t>
            </w:r>
            <w:r>
              <w:rPr>
                <w:rFonts w:hint="default" w:ascii="Times New Roman" w:hAnsi="Times New Roman" w:eastAsia="仿宋_GB2312" w:cs="Times New Roman"/>
                <w:bCs/>
                <w:color w:val="auto"/>
                <w:sz w:val="24"/>
                <w:szCs w:val="24"/>
                <w:highlight w:val="none"/>
                <w:lang w:val="en-US" w:eastAsia="zh-CN"/>
              </w:rPr>
              <w:t>t/a</w:t>
            </w:r>
            <w:r>
              <w:rPr>
                <w:rFonts w:hint="eastAsia" w:eastAsia="仿宋_GB2312" w:cs="Times New Roman"/>
                <w:bCs/>
                <w:color w:val="auto"/>
                <w:sz w:val="24"/>
                <w:szCs w:val="24"/>
                <w:lang w:val="en-US" w:eastAsia="zh-CN"/>
              </w:rPr>
              <w:t>。</w:t>
            </w:r>
            <w:r>
              <w:rPr>
                <w:rFonts w:hint="default" w:ascii="Times New Roman" w:hAnsi="Times New Roman" w:eastAsia="仿宋_GB2312" w:cs="Times New Roman"/>
                <w:bCs/>
                <w:color w:val="auto"/>
                <w:sz w:val="24"/>
                <w:szCs w:val="24"/>
                <w:lang w:val="en-US" w:eastAsia="zh-CN"/>
              </w:rPr>
              <w:t>按《国家危险废物名录》（2025版），这部分属于危险固废的范围，分类编号为HW08废矿物油与含矿物油废物（废物代码：900-210-08）含油废水处理中隔油、气浮、沉淀等处理过程中产生的浮油、浮渣和污泥，应由运维单位</w:t>
            </w:r>
            <w:r>
              <w:rPr>
                <w:rFonts w:hint="eastAsia" w:ascii="Times New Roman" w:hAnsi="Times New Roman" w:eastAsia="仿宋_GB2312" w:cs="Times New Roman"/>
                <w:bCs/>
                <w:color w:val="auto"/>
                <w:sz w:val="24"/>
                <w:szCs w:val="24"/>
                <w:lang w:val="en-US" w:eastAsia="zh-CN"/>
              </w:rPr>
              <w:t>清掏后集中收集于危废暂存箱</w:t>
            </w:r>
            <w:r>
              <w:rPr>
                <w:rFonts w:hint="default" w:ascii="Times New Roman" w:hAnsi="Times New Roman" w:eastAsia="仿宋_GB2312" w:cs="Times New Roman"/>
                <w:bCs/>
                <w:color w:val="auto"/>
                <w:sz w:val="24"/>
                <w:szCs w:val="24"/>
                <w:lang w:val="en-US" w:eastAsia="zh-CN"/>
              </w:rPr>
              <w:t>，</w:t>
            </w:r>
            <w:r>
              <w:rPr>
                <w:rFonts w:hint="eastAsia" w:ascii="Times New Roman" w:hAnsi="Times New Roman" w:eastAsia="仿宋_GB2312" w:cs="Times New Roman"/>
                <w:bCs/>
                <w:color w:val="auto"/>
                <w:sz w:val="24"/>
                <w:szCs w:val="24"/>
                <w:lang w:val="en-US" w:eastAsia="zh-CN"/>
              </w:rPr>
              <w:t>定期</w:t>
            </w:r>
            <w:r>
              <w:rPr>
                <w:rFonts w:hint="default" w:ascii="Times New Roman" w:hAnsi="Times New Roman" w:eastAsia="仿宋_GB2312" w:cs="Times New Roman"/>
                <w:bCs/>
                <w:color w:val="auto"/>
                <w:sz w:val="24"/>
                <w:szCs w:val="24"/>
                <w:lang w:val="en-US" w:eastAsia="zh-CN"/>
              </w:rPr>
              <w:t>交具有相关资质的单位进行处置。</w:t>
            </w:r>
          </w:p>
          <w:p w14:paraId="59EA815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（3）废吸油毡、废弃含油劳保用品</w:t>
            </w:r>
          </w:p>
          <w:p w14:paraId="2DDB307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color w:val="auto"/>
                <w:lang w:val="en-US" w:eastAsia="zh-CN"/>
              </w:rPr>
            </w:pPr>
            <w:r>
              <w:rPr>
                <w:rFonts w:hint="eastAsia" w:eastAsia="仿宋_GB2312" w:cs="Times New Roman"/>
                <w:bCs/>
                <w:color w:val="auto"/>
                <w:sz w:val="24"/>
                <w:szCs w:val="24"/>
                <w:lang w:val="en-US" w:eastAsia="zh-CN"/>
              </w:rPr>
              <w:t>一般生产过程中不产生废吸油毡、废弃含油劳保用品等含油废弃毡布，只有在发生泄漏事故时处理吸附泄漏油品过程中产生，在做好预防和监控措施后泄漏事故发生概率极小，产生废吸油毡和废弃含油劳保用品的数量也极少。废弃油毡和废弃含油劳保用品均属于含油危废，一但产生均要按危险废物统一收集，并委托有相关资质单位处理。本次评价暂不估算这部分危废产生量。</w:t>
            </w:r>
          </w:p>
          <w:p w14:paraId="6D6CB50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w:t>
            </w:r>
            <w:r>
              <w:rPr>
                <w:rFonts w:hint="eastAsia" w:eastAsia="仿宋_GB2312" w:cs="Times New Roman"/>
                <w:bCs/>
                <w:color w:val="auto"/>
                <w:sz w:val="24"/>
                <w:szCs w:val="24"/>
                <w:lang w:val="en-US" w:eastAsia="zh-CN"/>
              </w:rPr>
              <w:t>4</w:t>
            </w:r>
            <w:r>
              <w:rPr>
                <w:rFonts w:hint="default" w:ascii="Times New Roman" w:hAnsi="Times New Roman" w:eastAsia="仿宋_GB2312" w:cs="Times New Roman"/>
                <w:bCs/>
                <w:color w:val="auto"/>
                <w:sz w:val="24"/>
                <w:szCs w:val="24"/>
                <w:lang w:val="en-US" w:eastAsia="zh-CN"/>
              </w:rPr>
              <w:t>）生活垃圾</w:t>
            </w:r>
          </w:p>
          <w:p w14:paraId="2194669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项目运营期，加油站定员8人，人均生活垃圾产生量按0.5kg/d计，则生活垃圾产生量1.46t/a（年工作日365天）</w:t>
            </w:r>
            <w:r>
              <w:rPr>
                <w:rFonts w:hint="eastAsia" w:eastAsia="仿宋_GB2312" w:cs="Times New Roman"/>
                <w:color w:val="auto"/>
                <w:spacing w:val="6"/>
                <w:sz w:val="24"/>
                <w:szCs w:val="24"/>
                <w:lang w:eastAsia="zh-CN"/>
              </w:rPr>
              <w:t>；顾客按日进站人数</w:t>
            </w:r>
            <w:r>
              <w:rPr>
                <w:rFonts w:hint="eastAsia" w:eastAsia="仿宋_GB2312" w:cs="Times New Roman"/>
                <w:color w:val="auto"/>
                <w:spacing w:val="6"/>
                <w:sz w:val="24"/>
                <w:szCs w:val="24"/>
                <w:lang w:val="en-US" w:eastAsia="zh-CN"/>
              </w:rPr>
              <w:t>500人/d计，过往人员产生垃圾量按0.05kg/（人</w:t>
            </w:r>
            <w:r>
              <w:rPr>
                <w:rFonts w:hint="default" w:ascii="Times New Roman" w:hAnsi="Times New Roman" w:eastAsia="宋体" w:cs="Times New Roman"/>
                <w:color w:val="auto"/>
                <w:spacing w:val="6"/>
                <w:sz w:val="24"/>
                <w:szCs w:val="24"/>
                <w:lang w:val="en-US" w:eastAsia="zh-CN"/>
              </w:rPr>
              <w:t>·</w:t>
            </w:r>
            <w:r>
              <w:rPr>
                <w:rFonts w:hint="eastAsia" w:eastAsia="仿宋_GB2312" w:cs="Times New Roman"/>
                <w:color w:val="auto"/>
                <w:spacing w:val="6"/>
                <w:sz w:val="24"/>
                <w:szCs w:val="24"/>
                <w:lang w:val="en-US" w:eastAsia="zh-CN"/>
              </w:rPr>
              <w:t>d）计，则生活垃圾产生量9.12t/a</w:t>
            </w:r>
            <w:r>
              <w:rPr>
                <w:rFonts w:hint="eastAsia" w:eastAsia="仿宋_GB2312" w:cs="Times New Roman"/>
                <w:color w:val="auto"/>
                <w:spacing w:val="6"/>
                <w:sz w:val="24"/>
                <w:szCs w:val="24"/>
                <w:lang w:eastAsia="zh-CN"/>
              </w:rPr>
              <w:t>；合计年均生活垃圾产生量为</w:t>
            </w:r>
            <w:r>
              <w:rPr>
                <w:rFonts w:hint="eastAsia" w:eastAsia="仿宋_GB2312" w:cs="Times New Roman"/>
                <w:color w:val="auto"/>
                <w:spacing w:val="6"/>
                <w:sz w:val="24"/>
                <w:szCs w:val="24"/>
                <w:lang w:val="en-US" w:eastAsia="zh-CN"/>
              </w:rPr>
              <w:t>10.58t/a，</w:t>
            </w:r>
            <w:r>
              <w:rPr>
                <w:rFonts w:hint="default" w:ascii="Times New Roman" w:hAnsi="Times New Roman" w:eastAsia="仿宋_GB2312" w:cs="Times New Roman"/>
                <w:bCs/>
                <w:color w:val="auto"/>
                <w:sz w:val="24"/>
                <w:szCs w:val="24"/>
                <w:lang w:val="en-US" w:eastAsia="zh-CN"/>
              </w:rPr>
              <w:t>交由环卫部门统一清运。</w:t>
            </w:r>
          </w:p>
          <w:p w14:paraId="2B30ABA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项目运营期固体废物产生及处置情况汇总如下表：</w:t>
            </w:r>
          </w:p>
          <w:p w14:paraId="6916D689">
            <w:pPr>
              <w:tabs>
                <w:tab w:val="left" w:pos="3467"/>
              </w:tabs>
              <w:ind w:firstLine="482" w:firstLineChars="200"/>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表4-1</w:t>
            </w:r>
            <w:r>
              <w:rPr>
                <w:rFonts w:hint="default" w:ascii="Times New Roman" w:hAnsi="Times New Roman" w:eastAsia="仿宋_GB2312" w:cs="Times New Roman"/>
                <w:b/>
                <w:bCs/>
                <w:color w:val="auto"/>
                <w:sz w:val="24"/>
                <w:szCs w:val="24"/>
                <w:lang w:val="en-US" w:eastAsia="zh-CN"/>
              </w:rPr>
              <w:t>6</w:t>
            </w:r>
            <w:r>
              <w:rPr>
                <w:rFonts w:hint="default" w:ascii="Times New Roman" w:hAnsi="Times New Roman" w:eastAsia="仿宋_GB2312" w:cs="Times New Roman"/>
                <w:b/>
                <w:bCs/>
                <w:color w:val="auto"/>
                <w:sz w:val="24"/>
                <w:szCs w:val="24"/>
              </w:rPr>
              <w:t xml:space="preserve"> 项目运营期固废产生及处置情况一览表</w:t>
            </w:r>
          </w:p>
          <w:tbl>
            <w:tblPr>
              <w:tblStyle w:val="52"/>
              <w:tblW w:w="7940" w:type="dxa"/>
              <w:tblInd w:w="7"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519"/>
              <w:gridCol w:w="1022"/>
              <w:gridCol w:w="1174"/>
              <w:gridCol w:w="1164"/>
              <w:gridCol w:w="678"/>
              <w:gridCol w:w="1269"/>
              <w:gridCol w:w="818"/>
              <w:gridCol w:w="1296"/>
            </w:tblGrid>
            <w:tr w14:paraId="221D2A31">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519" w:type="dxa"/>
                  <w:tcBorders>
                    <w:tl2br w:val="nil"/>
                    <w:tr2bl w:val="nil"/>
                  </w:tcBorders>
                  <w:noWrap w:val="0"/>
                  <w:vAlign w:val="center"/>
                </w:tcPr>
                <w:p w14:paraId="5D5F2D7D">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序号</w:t>
                  </w:r>
                </w:p>
              </w:tc>
              <w:tc>
                <w:tcPr>
                  <w:tcW w:w="1022" w:type="dxa"/>
                  <w:tcBorders>
                    <w:tl2br w:val="nil"/>
                    <w:tr2bl w:val="nil"/>
                  </w:tcBorders>
                  <w:noWrap w:val="0"/>
                  <w:vAlign w:val="center"/>
                </w:tcPr>
                <w:p w14:paraId="50A1AE16">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名称</w:t>
                  </w:r>
                </w:p>
              </w:tc>
              <w:tc>
                <w:tcPr>
                  <w:tcW w:w="1174" w:type="dxa"/>
                  <w:tcBorders>
                    <w:tl2br w:val="nil"/>
                    <w:tr2bl w:val="nil"/>
                  </w:tcBorders>
                  <w:noWrap w:val="0"/>
                  <w:vAlign w:val="center"/>
                </w:tcPr>
                <w:p w14:paraId="28BB78A8">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产生环节</w:t>
                  </w:r>
                </w:p>
              </w:tc>
              <w:tc>
                <w:tcPr>
                  <w:tcW w:w="1164" w:type="dxa"/>
                  <w:tcBorders>
                    <w:tl2br w:val="nil"/>
                    <w:tr2bl w:val="nil"/>
                  </w:tcBorders>
                  <w:noWrap w:val="0"/>
                  <w:vAlign w:val="center"/>
                </w:tcPr>
                <w:p w14:paraId="3A23B182">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主要成分</w:t>
                  </w:r>
                </w:p>
              </w:tc>
              <w:tc>
                <w:tcPr>
                  <w:tcW w:w="678" w:type="dxa"/>
                  <w:tcBorders>
                    <w:tl2br w:val="nil"/>
                    <w:tr2bl w:val="nil"/>
                  </w:tcBorders>
                  <w:noWrap w:val="0"/>
                  <w:vAlign w:val="center"/>
                </w:tcPr>
                <w:p w14:paraId="0DA309CE">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收集</w:t>
                  </w:r>
                </w:p>
                <w:p w14:paraId="48836018">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方式</w:t>
                  </w:r>
                </w:p>
              </w:tc>
              <w:tc>
                <w:tcPr>
                  <w:tcW w:w="1269" w:type="dxa"/>
                  <w:tcBorders>
                    <w:tl2br w:val="nil"/>
                    <w:tr2bl w:val="nil"/>
                  </w:tcBorders>
                  <w:noWrap w:val="0"/>
                  <w:vAlign w:val="center"/>
                </w:tcPr>
                <w:p w14:paraId="0565E1E2">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废物类别</w:t>
                  </w:r>
                </w:p>
              </w:tc>
              <w:tc>
                <w:tcPr>
                  <w:tcW w:w="818" w:type="dxa"/>
                  <w:tcBorders>
                    <w:tl2br w:val="nil"/>
                    <w:tr2bl w:val="nil"/>
                  </w:tcBorders>
                  <w:noWrap w:val="0"/>
                  <w:vAlign w:val="center"/>
                </w:tcPr>
                <w:p w14:paraId="01496B80">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产生量</w:t>
                  </w:r>
                </w:p>
                <w:p w14:paraId="7F8BEE2F">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val="en-US" w:eastAsia="zh-CN"/>
                    </w:rPr>
                  </w:pPr>
                  <w:r>
                    <w:rPr>
                      <w:rFonts w:hint="default" w:ascii="Times New Roman" w:hAnsi="Times New Roman" w:eastAsia="仿宋_GB2312" w:cs="Times New Roman"/>
                      <w:b/>
                      <w:bCs/>
                      <w:color w:val="auto"/>
                      <w:sz w:val="21"/>
                      <w:szCs w:val="21"/>
                      <w:lang w:val="en-US" w:eastAsia="zh-CN"/>
                    </w:rPr>
                    <w:t>t/a</w:t>
                  </w:r>
                </w:p>
              </w:tc>
              <w:tc>
                <w:tcPr>
                  <w:tcW w:w="1296" w:type="dxa"/>
                  <w:tcBorders>
                    <w:tl2br w:val="nil"/>
                    <w:tr2bl w:val="nil"/>
                  </w:tcBorders>
                  <w:noWrap w:val="0"/>
                  <w:vAlign w:val="center"/>
                </w:tcPr>
                <w:p w14:paraId="4D041A22">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处理方式</w:t>
                  </w:r>
                </w:p>
              </w:tc>
            </w:tr>
            <w:tr w14:paraId="034ACD22">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519" w:type="dxa"/>
                  <w:tcBorders>
                    <w:tl2br w:val="nil"/>
                    <w:tr2bl w:val="nil"/>
                  </w:tcBorders>
                  <w:noWrap w:val="0"/>
                  <w:vAlign w:val="center"/>
                </w:tcPr>
                <w:p w14:paraId="0F3D51E8">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val="en-US" w:eastAsia="zh-CN"/>
                    </w:rPr>
                  </w:pPr>
                  <w:r>
                    <w:rPr>
                      <w:rFonts w:hint="default" w:ascii="Times New Roman" w:hAnsi="Times New Roman" w:eastAsia="仿宋_GB2312" w:cs="Times New Roman"/>
                      <w:b w:val="0"/>
                      <w:bCs w:val="0"/>
                      <w:color w:val="auto"/>
                      <w:sz w:val="21"/>
                      <w:szCs w:val="21"/>
                      <w:lang w:val="en-US" w:eastAsia="zh-CN"/>
                    </w:rPr>
                    <w:t>1</w:t>
                  </w:r>
                </w:p>
              </w:tc>
              <w:tc>
                <w:tcPr>
                  <w:tcW w:w="1022" w:type="dxa"/>
                  <w:tcBorders>
                    <w:tl2br w:val="nil"/>
                    <w:tr2bl w:val="nil"/>
                  </w:tcBorders>
                  <w:noWrap w:val="0"/>
                  <w:vAlign w:val="center"/>
                </w:tcPr>
                <w:p w14:paraId="0F753083">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油罐清理残液</w:t>
                  </w:r>
                </w:p>
              </w:tc>
              <w:tc>
                <w:tcPr>
                  <w:tcW w:w="1174" w:type="dxa"/>
                  <w:tcBorders>
                    <w:tl2br w:val="nil"/>
                    <w:tr2bl w:val="nil"/>
                  </w:tcBorders>
                  <w:noWrap w:val="0"/>
                  <w:vAlign w:val="center"/>
                </w:tcPr>
                <w:p w14:paraId="35DC0856">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油罐清理</w:t>
                  </w:r>
                </w:p>
              </w:tc>
              <w:tc>
                <w:tcPr>
                  <w:tcW w:w="1164" w:type="dxa"/>
                  <w:tcBorders>
                    <w:tl2br w:val="nil"/>
                    <w:tr2bl w:val="nil"/>
                  </w:tcBorders>
                  <w:noWrap w:val="0"/>
                  <w:vAlign w:val="center"/>
                </w:tcPr>
                <w:p w14:paraId="771AE5C6">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废矿物油</w:t>
                  </w:r>
                </w:p>
              </w:tc>
              <w:tc>
                <w:tcPr>
                  <w:tcW w:w="678" w:type="dxa"/>
                  <w:tcBorders>
                    <w:tl2br w:val="nil"/>
                    <w:tr2bl w:val="nil"/>
                  </w:tcBorders>
                  <w:noWrap w:val="0"/>
                  <w:vAlign w:val="center"/>
                </w:tcPr>
                <w:p w14:paraId="21E68B65">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桶装</w:t>
                  </w:r>
                </w:p>
              </w:tc>
              <w:tc>
                <w:tcPr>
                  <w:tcW w:w="1269" w:type="dxa"/>
                  <w:tcBorders>
                    <w:tl2br w:val="nil"/>
                    <w:tr2bl w:val="nil"/>
                  </w:tcBorders>
                  <w:noWrap w:val="0"/>
                  <w:vAlign w:val="center"/>
                </w:tcPr>
                <w:p w14:paraId="590D6EFB">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危险废物</w:t>
                  </w:r>
                </w:p>
                <w:p w14:paraId="25088E9A">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HW08</w:t>
                  </w:r>
                </w:p>
                <w:p w14:paraId="21614ACC">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/900-249-08</w:t>
                  </w:r>
                </w:p>
              </w:tc>
              <w:tc>
                <w:tcPr>
                  <w:tcW w:w="818" w:type="dxa"/>
                  <w:tcBorders>
                    <w:tl2br w:val="nil"/>
                    <w:tr2bl w:val="nil"/>
                  </w:tcBorders>
                  <w:noWrap w:val="0"/>
                  <w:vAlign w:val="center"/>
                </w:tcPr>
                <w:p w14:paraId="7DF287F5">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val="en-US" w:eastAsia="zh-CN"/>
                    </w:rPr>
                  </w:pPr>
                  <w:r>
                    <w:rPr>
                      <w:rFonts w:hint="default" w:ascii="Times New Roman" w:hAnsi="Times New Roman" w:eastAsia="仿宋_GB2312" w:cs="Times New Roman"/>
                      <w:b w:val="0"/>
                      <w:bCs w:val="0"/>
                      <w:color w:val="auto"/>
                      <w:sz w:val="21"/>
                      <w:szCs w:val="21"/>
                      <w:lang w:val="en-US" w:eastAsia="zh-CN"/>
                    </w:rPr>
                    <w:t>0.50</w:t>
                  </w:r>
                </w:p>
              </w:tc>
              <w:tc>
                <w:tcPr>
                  <w:tcW w:w="1296" w:type="dxa"/>
                  <w:tcBorders>
                    <w:tl2br w:val="nil"/>
                    <w:tr2bl w:val="nil"/>
                  </w:tcBorders>
                  <w:noWrap w:val="0"/>
                  <w:vAlign w:val="center"/>
                </w:tcPr>
                <w:p w14:paraId="16D2E877">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由清罐公司委托处理，不在站内贮存</w:t>
                  </w:r>
                </w:p>
              </w:tc>
            </w:tr>
            <w:tr w14:paraId="5DEE042C">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519" w:type="dxa"/>
                  <w:tcBorders>
                    <w:tl2br w:val="nil"/>
                    <w:tr2bl w:val="nil"/>
                  </w:tcBorders>
                  <w:noWrap w:val="0"/>
                  <w:vAlign w:val="center"/>
                </w:tcPr>
                <w:p w14:paraId="5DBC786F">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val="en-US" w:eastAsia="zh-CN"/>
                    </w:rPr>
                  </w:pPr>
                  <w:r>
                    <w:rPr>
                      <w:rFonts w:hint="default" w:ascii="Times New Roman" w:hAnsi="Times New Roman" w:eastAsia="仿宋_GB2312" w:cs="Times New Roman"/>
                      <w:b w:val="0"/>
                      <w:bCs w:val="0"/>
                      <w:color w:val="auto"/>
                      <w:sz w:val="21"/>
                      <w:szCs w:val="21"/>
                      <w:lang w:val="en-US" w:eastAsia="zh-CN"/>
                    </w:rPr>
                    <w:t>2</w:t>
                  </w:r>
                </w:p>
              </w:tc>
              <w:tc>
                <w:tcPr>
                  <w:tcW w:w="1022" w:type="dxa"/>
                  <w:tcBorders>
                    <w:tl2br w:val="nil"/>
                    <w:tr2bl w:val="nil"/>
                  </w:tcBorders>
                  <w:noWrap w:val="0"/>
                  <w:vAlign w:val="center"/>
                </w:tcPr>
                <w:p w14:paraId="7DEDB474">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含油污泥</w:t>
                  </w:r>
                </w:p>
              </w:tc>
              <w:tc>
                <w:tcPr>
                  <w:tcW w:w="1174" w:type="dxa"/>
                  <w:tcBorders>
                    <w:tl2br w:val="nil"/>
                    <w:tr2bl w:val="nil"/>
                  </w:tcBorders>
                  <w:noWrap w:val="0"/>
                  <w:vAlign w:val="center"/>
                </w:tcPr>
                <w:p w14:paraId="5153ECB8">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隔油沉淀池</w:t>
                  </w:r>
                </w:p>
              </w:tc>
              <w:tc>
                <w:tcPr>
                  <w:tcW w:w="1164" w:type="dxa"/>
                  <w:tcBorders>
                    <w:tl2br w:val="nil"/>
                    <w:tr2bl w:val="nil"/>
                  </w:tcBorders>
                  <w:noWrap w:val="0"/>
                  <w:vAlign w:val="center"/>
                </w:tcPr>
                <w:p w14:paraId="043754FE">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油泥</w:t>
                  </w:r>
                </w:p>
              </w:tc>
              <w:tc>
                <w:tcPr>
                  <w:tcW w:w="678" w:type="dxa"/>
                  <w:tcBorders>
                    <w:tl2br w:val="nil"/>
                    <w:tr2bl w:val="nil"/>
                  </w:tcBorders>
                  <w:noWrap w:val="0"/>
                  <w:vAlign w:val="center"/>
                </w:tcPr>
                <w:p w14:paraId="5554C80E">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桶装</w:t>
                  </w:r>
                </w:p>
              </w:tc>
              <w:tc>
                <w:tcPr>
                  <w:tcW w:w="1269" w:type="dxa"/>
                  <w:tcBorders>
                    <w:tl2br w:val="nil"/>
                    <w:tr2bl w:val="nil"/>
                  </w:tcBorders>
                  <w:noWrap w:val="0"/>
                  <w:vAlign w:val="center"/>
                </w:tcPr>
                <w:p w14:paraId="0D100181">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危险废物</w:t>
                  </w:r>
                </w:p>
                <w:p w14:paraId="28E18E8A">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HW08</w:t>
                  </w:r>
                </w:p>
                <w:p w14:paraId="5352B58A">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/900-210-08</w:t>
                  </w:r>
                </w:p>
              </w:tc>
              <w:tc>
                <w:tcPr>
                  <w:tcW w:w="818" w:type="dxa"/>
                  <w:tcBorders>
                    <w:tl2br w:val="nil"/>
                    <w:tr2bl w:val="nil"/>
                  </w:tcBorders>
                  <w:noWrap w:val="0"/>
                  <w:vAlign w:val="center"/>
                </w:tcPr>
                <w:p w14:paraId="648D51E6">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val="en-US" w:eastAsia="zh-CN"/>
                    </w:rPr>
                  </w:pPr>
                  <w:r>
                    <w:rPr>
                      <w:rFonts w:hint="default" w:ascii="Times New Roman" w:hAnsi="Times New Roman" w:eastAsia="仿宋_GB2312" w:cs="Times New Roman"/>
                      <w:b w:val="0"/>
                      <w:bCs w:val="0"/>
                      <w:color w:val="auto"/>
                      <w:sz w:val="21"/>
                      <w:szCs w:val="21"/>
                      <w:lang w:val="en-US" w:eastAsia="zh-CN"/>
                    </w:rPr>
                    <w:t>0.</w:t>
                  </w:r>
                  <w:r>
                    <w:rPr>
                      <w:rFonts w:hint="eastAsia" w:eastAsia="仿宋_GB2312" w:cs="Times New Roman"/>
                      <w:b w:val="0"/>
                      <w:bCs w:val="0"/>
                      <w:color w:val="auto"/>
                      <w:sz w:val="21"/>
                      <w:szCs w:val="21"/>
                      <w:lang w:val="en-US" w:eastAsia="zh-CN"/>
                    </w:rPr>
                    <w:t>34</w:t>
                  </w:r>
                </w:p>
              </w:tc>
              <w:tc>
                <w:tcPr>
                  <w:tcW w:w="1296" w:type="dxa"/>
                  <w:tcBorders>
                    <w:tl2br w:val="nil"/>
                    <w:tr2bl w:val="nil"/>
                  </w:tcBorders>
                  <w:noWrap w:val="0"/>
                  <w:vAlign w:val="center"/>
                </w:tcPr>
                <w:p w14:paraId="78806225">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val="en-US" w:eastAsia="zh-CN"/>
                    </w:rPr>
                    <w:t>由运维单位收集后</w:t>
                  </w:r>
                  <w:r>
                    <w:rPr>
                      <w:rFonts w:hint="eastAsia" w:ascii="Times New Roman" w:hAnsi="Times New Roman" w:eastAsia="仿宋_GB2312" w:cs="Times New Roman"/>
                      <w:b w:val="0"/>
                      <w:bCs w:val="0"/>
                      <w:color w:val="auto"/>
                      <w:sz w:val="21"/>
                      <w:szCs w:val="21"/>
                      <w:lang w:val="en-US" w:eastAsia="zh-CN"/>
                    </w:rPr>
                    <w:t>贮于危废暂存箱，定期交有资质单位处置</w:t>
                  </w:r>
                </w:p>
              </w:tc>
            </w:tr>
            <w:tr w14:paraId="5BCA6B90">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519" w:type="dxa"/>
                  <w:tcBorders>
                    <w:tl2br w:val="nil"/>
                    <w:tr2bl w:val="nil"/>
                  </w:tcBorders>
                  <w:noWrap w:val="0"/>
                  <w:vAlign w:val="center"/>
                </w:tcPr>
                <w:p w14:paraId="64B97FC2">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lang w:val="en-US" w:eastAsia="zh-CN" w:bidi="ar-SA"/>
                    </w:rPr>
                  </w:pPr>
                  <w:r>
                    <w:rPr>
                      <w:rFonts w:hint="default" w:ascii="Times New Roman" w:hAnsi="Times New Roman" w:eastAsia="仿宋_GB2312" w:cs="Times New Roman"/>
                      <w:b w:val="0"/>
                      <w:bCs w:val="0"/>
                      <w:color w:val="auto"/>
                      <w:kern w:val="2"/>
                      <w:sz w:val="21"/>
                      <w:szCs w:val="21"/>
                      <w:lang w:val="en-US" w:eastAsia="zh-CN" w:bidi="ar-SA"/>
                    </w:rPr>
                    <w:t>3</w:t>
                  </w:r>
                </w:p>
              </w:tc>
              <w:tc>
                <w:tcPr>
                  <w:tcW w:w="1022" w:type="dxa"/>
                  <w:tcBorders>
                    <w:tl2br w:val="nil"/>
                    <w:tr2bl w:val="nil"/>
                  </w:tcBorders>
                  <w:noWrap w:val="0"/>
                  <w:vAlign w:val="center"/>
                </w:tcPr>
                <w:p w14:paraId="01C1EBD5">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lang w:val="en-US" w:eastAsia="zh-CN" w:bidi="ar-SA"/>
                    </w:rPr>
                  </w:pPr>
                  <w:r>
                    <w:rPr>
                      <w:rFonts w:hint="default" w:ascii="Times New Roman" w:hAnsi="Times New Roman" w:eastAsia="仿宋_GB2312" w:cs="Times New Roman"/>
                      <w:b w:val="0"/>
                      <w:bCs w:val="0"/>
                      <w:color w:val="auto"/>
                      <w:sz w:val="21"/>
                      <w:szCs w:val="21"/>
                      <w:lang w:eastAsia="zh-CN"/>
                    </w:rPr>
                    <w:t>生活垃圾</w:t>
                  </w:r>
                </w:p>
              </w:tc>
              <w:tc>
                <w:tcPr>
                  <w:tcW w:w="1174" w:type="dxa"/>
                  <w:tcBorders>
                    <w:tl2br w:val="nil"/>
                    <w:tr2bl w:val="nil"/>
                  </w:tcBorders>
                  <w:noWrap w:val="0"/>
                  <w:vAlign w:val="center"/>
                </w:tcPr>
                <w:p w14:paraId="07BABF97">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lang w:val="en-US" w:eastAsia="zh-CN" w:bidi="ar-SA"/>
                    </w:rPr>
                  </w:pPr>
                  <w:r>
                    <w:rPr>
                      <w:rFonts w:hint="default" w:ascii="Times New Roman" w:hAnsi="Times New Roman" w:eastAsia="仿宋_GB2312" w:cs="Times New Roman"/>
                      <w:b w:val="0"/>
                      <w:bCs w:val="0"/>
                      <w:color w:val="auto"/>
                      <w:sz w:val="21"/>
                      <w:szCs w:val="21"/>
                      <w:lang w:eastAsia="zh-CN"/>
                    </w:rPr>
                    <w:t>员工生活</w:t>
                  </w:r>
                </w:p>
              </w:tc>
              <w:tc>
                <w:tcPr>
                  <w:tcW w:w="1164" w:type="dxa"/>
                  <w:tcBorders>
                    <w:tl2br w:val="nil"/>
                    <w:tr2bl w:val="nil"/>
                  </w:tcBorders>
                  <w:noWrap w:val="0"/>
                  <w:vAlign w:val="center"/>
                </w:tcPr>
                <w:p w14:paraId="1C4B56B8">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lang w:val="en-US" w:eastAsia="zh-CN" w:bidi="ar-SA"/>
                    </w:rPr>
                  </w:pPr>
                  <w:r>
                    <w:rPr>
                      <w:rFonts w:hint="default" w:ascii="Times New Roman" w:hAnsi="Times New Roman" w:eastAsia="仿宋_GB2312" w:cs="Times New Roman"/>
                      <w:b w:val="0"/>
                      <w:bCs w:val="0"/>
                      <w:color w:val="auto"/>
                      <w:sz w:val="21"/>
                      <w:szCs w:val="21"/>
                      <w:lang w:eastAsia="zh-CN"/>
                    </w:rPr>
                    <w:t>生活垃圾</w:t>
                  </w:r>
                </w:p>
              </w:tc>
              <w:tc>
                <w:tcPr>
                  <w:tcW w:w="678" w:type="dxa"/>
                  <w:tcBorders>
                    <w:tl2br w:val="nil"/>
                    <w:tr2bl w:val="nil"/>
                  </w:tcBorders>
                  <w:noWrap w:val="0"/>
                  <w:vAlign w:val="center"/>
                </w:tcPr>
                <w:p w14:paraId="3B9A452B">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lang w:val="en-US" w:eastAsia="zh-CN" w:bidi="ar-SA"/>
                    </w:rPr>
                  </w:pPr>
                  <w:r>
                    <w:rPr>
                      <w:rFonts w:hint="default" w:ascii="Times New Roman" w:hAnsi="Times New Roman" w:eastAsia="仿宋_GB2312" w:cs="Times New Roman"/>
                      <w:b w:val="0"/>
                      <w:bCs w:val="0"/>
                      <w:color w:val="auto"/>
                      <w:sz w:val="21"/>
                      <w:szCs w:val="21"/>
                      <w:lang w:eastAsia="zh-CN"/>
                    </w:rPr>
                    <w:t>袋装</w:t>
                  </w:r>
                </w:p>
              </w:tc>
              <w:tc>
                <w:tcPr>
                  <w:tcW w:w="1269" w:type="dxa"/>
                  <w:tcBorders>
                    <w:tl2br w:val="nil"/>
                    <w:tr2bl w:val="nil"/>
                  </w:tcBorders>
                  <w:noWrap w:val="0"/>
                  <w:vAlign w:val="center"/>
                </w:tcPr>
                <w:p w14:paraId="7510C483">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lang w:val="en-US" w:eastAsia="zh-CN" w:bidi="ar-SA"/>
                    </w:rPr>
                  </w:pPr>
                  <w:r>
                    <w:rPr>
                      <w:rFonts w:hint="default" w:ascii="Times New Roman" w:hAnsi="Times New Roman" w:eastAsia="仿宋_GB2312" w:cs="Times New Roman"/>
                      <w:b w:val="0"/>
                      <w:bCs w:val="0"/>
                      <w:color w:val="auto"/>
                      <w:sz w:val="21"/>
                      <w:szCs w:val="21"/>
                      <w:lang w:eastAsia="zh-CN"/>
                    </w:rPr>
                    <w:t>生活垃圾</w:t>
                  </w:r>
                </w:p>
              </w:tc>
              <w:tc>
                <w:tcPr>
                  <w:tcW w:w="818" w:type="dxa"/>
                  <w:tcBorders>
                    <w:tl2br w:val="nil"/>
                    <w:tr2bl w:val="nil"/>
                  </w:tcBorders>
                  <w:noWrap w:val="0"/>
                  <w:vAlign w:val="center"/>
                </w:tcPr>
                <w:p w14:paraId="37D78520">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kern w:val="2"/>
                      <w:sz w:val="21"/>
                      <w:szCs w:val="21"/>
                      <w:lang w:val="en-US" w:eastAsia="zh-CN" w:bidi="ar-SA"/>
                    </w:rPr>
                  </w:pPr>
                  <w:r>
                    <w:rPr>
                      <w:rFonts w:hint="eastAsia" w:eastAsia="仿宋_GB2312" w:cs="Times New Roman"/>
                      <w:b w:val="0"/>
                      <w:bCs w:val="0"/>
                      <w:color w:val="auto"/>
                      <w:sz w:val="21"/>
                      <w:szCs w:val="21"/>
                      <w:lang w:val="en-US" w:eastAsia="zh-CN"/>
                    </w:rPr>
                    <w:t>10.58</w:t>
                  </w:r>
                </w:p>
              </w:tc>
              <w:tc>
                <w:tcPr>
                  <w:tcW w:w="1296" w:type="dxa"/>
                  <w:tcBorders>
                    <w:tl2br w:val="nil"/>
                    <w:tr2bl w:val="nil"/>
                  </w:tcBorders>
                  <w:noWrap w:val="0"/>
                  <w:vAlign w:val="center"/>
                </w:tcPr>
                <w:p w14:paraId="6DEC3803">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环卫部门清运</w:t>
                  </w:r>
                </w:p>
              </w:tc>
            </w:tr>
          </w:tbl>
          <w:p w14:paraId="4B37AF5E">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项目产生的危险废物名称、类别、属性和数量等情况见下表：</w:t>
            </w:r>
          </w:p>
          <w:p w14:paraId="52B90C18">
            <w:pPr>
              <w:tabs>
                <w:tab w:val="left" w:pos="3467"/>
              </w:tabs>
              <w:ind w:firstLine="482" w:firstLineChars="200"/>
              <w:jc w:val="center"/>
              <w:rPr>
                <w:rFonts w:hint="default" w:ascii="Times New Roman" w:hAnsi="Times New Roman" w:eastAsia="仿宋_GB2312" w:cs="Times New Roman"/>
                <w:b/>
                <w:bCs/>
                <w:color w:val="auto"/>
                <w:sz w:val="24"/>
                <w:szCs w:val="24"/>
              </w:rPr>
            </w:pPr>
            <w:r>
              <w:rPr>
                <w:rFonts w:hint="default" w:ascii="Times New Roman" w:hAnsi="Times New Roman" w:eastAsia="仿宋_GB2312" w:cs="Times New Roman"/>
                <w:b/>
                <w:bCs/>
                <w:color w:val="auto"/>
                <w:sz w:val="24"/>
                <w:szCs w:val="24"/>
              </w:rPr>
              <w:t>表4-1</w:t>
            </w:r>
            <w:r>
              <w:rPr>
                <w:rFonts w:hint="default" w:ascii="Times New Roman" w:hAnsi="Times New Roman" w:eastAsia="仿宋_GB2312" w:cs="Times New Roman"/>
                <w:b/>
                <w:bCs/>
                <w:color w:val="auto"/>
                <w:sz w:val="24"/>
                <w:szCs w:val="24"/>
                <w:lang w:val="en-US" w:eastAsia="zh-CN"/>
              </w:rPr>
              <w:t>7</w:t>
            </w:r>
            <w:r>
              <w:rPr>
                <w:rFonts w:hint="default" w:ascii="Times New Roman" w:hAnsi="Times New Roman" w:eastAsia="仿宋_GB2312" w:cs="Times New Roman"/>
                <w:b/>
                <w:bCs/>
                <w:color w:val="auto"/>
                <w:sz w:val="24"/>
                <w:szCs w:val="24"/>
              </w:rPr>
              <w:t xml:space="preserve"> 项目</w:t>
            </w:r>
            <w:r>
              <w:rPr>
                <w:rFonts w:hint="default" w:ascii="Times New Roman" w:hAnsi="Times New Roman" w:eastAsia="仿宋_GB2312" w:cs="Times New Roman"/>
                <w:b/>
                <w:bCs/>
                <w:color w:val="auto"/>
                <w:sz w:val="24"/>
                <w:szCs w:val="24"/>
                <w:lang w:eastAsia="zh-CN"/>
              </w:rPr>
              <w:t>危险废物信息汇总</w:t>
            </w:r>
            <w:r>
              <w:rPr>
                <w:rFonts w:hint="default" w:ascii="Times New Roman" w:hAnsi="Times New Roman" w:eastAsia="仿宋_GB2312" w:cs="Times New Roman"/>
                <w:b/>
                <w:bCs/>
                <w:color w:val="auto"/>
                <w:sz w:val="24"/>
                <w:szCs w:val="24"/>
              </w:rPr>
              <w:t>表</w:t>
            </w:r>
          </w:p>
          <w:tbl>
            <w:tblPr>
              <w:tblStyle w:val="52"/>
              <w:tblW w:w="7940" w:type="dxa"/>
              <w:tblInd w:w="7" w:type="dxa"/>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Layout w:type="fixed"/>
              <w:tblCellMar>
                <w:top w:w="0" w:type="dxa"/>
                <w:left w:w="0" w:type="dxa"/>
                <w:bottom w:w="0" w:type="dxa"/>
                <w:right w:w="0" w:type="dxa"/>
              </w:tblCellMar>
            </w:tblPr>
            <w:tblGrid>
              <w:gridCol w:w="369"/>
              <w:gridCol w:w="950"/>
              <w:gridCol w:w="1100"/>
              <w:gridCol w:w="1181"/>
              <w:gridCol w:w="740"/>
              <w:gridCol w:w="670"/>
              <w:gridCol w:w="427"/>
              <w:gridCol w:w="721"/>
              <w:gridCol w:w="630"/>
              <w:gridCol w:w="560"/>
              <w:gridCol w:w="592"/>
            </w:tblGrid>
            <w:tr w14:paraId="505304B3">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369" w:type="dxa"/>
                  <w:tcBorders>
                    <w:tl2br w:val="nil"/>
                    <w:tr2bl w:val="nil"/>
                  </w:tcBorders>
                  <w:noWrap w:val="0"/>
                  <w:vAlign w:val="center"/>
                </w:tcPr>
                <w:p w14:paraId="47973620">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序号</w:t>
                  </w:r>
                </w:p>
              </w:tc>
              <w:tc>
                <w:tcPr>
                  <w:tcW w:w="950" w:type="dxa"/>
                  <w:tcBorders>
                    <w:tl2br w:val="nil"/>
                    <w:tr2bl w:val="nil"/>
                  </w:tcBorders>
                  <w:noWrap w:val="0"/>
                  <w:vAlign w:val="center"/>
                </w:tcPr>
                <w:p w14:paraId="0DCB21DB">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危险废物名称</w:t>
                  </w:r>
                </w:p>
              </w:tc>
              <w:tc>
                <w:tcPr>
                  <w:tcW w:w="1100" w:type="dxa"/>
                  <w:tcBorders>
                    <w:tl2br w:val="nil"/>
                    <w:tr2bl w:val="nil"/>
                  </w:tcBorders>
                  <w:noWrap w:val="0"/>
                  <w:vAlign w:val="center"/>
                </w:tcPr>
                <w:p w14:paraId="2964B44E">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危险废物</w:t>
                  </w:r>
                </w:p>
                <w:p w14:paraId="64017288">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类别</w:t>
                  </w:r>
                </w:p>
              </w:tc>
              <w:tc>
                <w:tcPr>
                  <w:tcW w:w="1181" w:type="dxa"/>
                  <w:tcBorders>
                    <w:tl2br w:val="nil"/>
                    <w:tr2bl w:val="nil"/>
                  </w:tcBorders>
                  <w:noWrap w:val="0"/>
                  <w:vAlign w:val="center"/>
                </w:tcPr>
                <w:p w14:paraId="7AD2A6B4">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危险废物</w:t>
                  </w:r>
                </w:p>
                <w:p w14:paraId="018EF778">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代码</w:t>
                  </w:r>
                </w:p>
              </w:tc>
              <w:tc>
                <w:tcPr>
                  <w:tcW w:w="740" w:type="dxa"/>
                  <w:tcBorders>
                    <w:tl2br w:val="nil"/>
                    <w:tr2bl w:val="nil"/>
                  </w:tcBorders>
                  <w:noWrap w:val="0"/>
                  <w:vAlign w:val="center"/>
                </w:tcPr>
                <w:p w14:paraId="70642474">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产生量t/a</w:t>
                  </w:r>
                </w:p>
              </w:tc>
              <w:tc>
                <w:tcPr>
                  <w:tcW w:w="670" w:type="dxa"/>
                  <w:tcBorders>
                    <w:tl2br w:val="nil"/>
                    <w:tr2bl w:val="nil"/>
                  </w:tcBorders>
                  <w:noWrap w:val="0"/>
                  <w:vAlign w:val="center"/>
                </w:tcPr>
                <w:p w14:paraId="1C4BE490">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产生工序</w:t>
                  </w:r>
                </w:p>
              </w:tc>
              <w:tc>
                <w:tcPr>
                  <w:tcW w:w="427" w:type="dxa"/>
                  <w:tcBorders>
                    <w:tl2br w:val="nil"/>
                    <w:tr2bl w:val="nil"/>
                  </w:tcBorders>
                  <w:noWrap w:val="0"/>
                  <w:vAlign w:val="center"/>
                </w:tcPr>
                <w:p w14:paraId="5F9AE6DD">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形</w:t>
                  </w:r>
                  <w:r>
                    <w:rPr>
                      <w:rFonts w:hint="default" w:ascii="Times New Roman" w:hAnsi="Times New Roman" w:eastAsia="仿宋_GB2312" w:cs="Times New Roman"/>
                      <w:b/>
                      <w:bCs/>
                      <w:color w:val="auto"/>
                      <w:sz w:val="21"/>
                      <w:szCs w:val="21"/>
                      <w:lang w:val="en-US" w:eastAsia="zh-CN"/>
                    </w:rPr>
                    <w:t xml:space="preserve"> </w:t>
                  </w:r>
                  <w:r>
                    <w:rPr>
                      <w:rFonts w:hint="default" w:ascii="Times New Roman" w:hAnsi="Times New Roman" w:eastAsia="仿宋_GB2312" w:cs="Times New Roman"/>
                      <w:b/>
                      <w:bCs/>
                      <w:color w:val="auto"/>
                      <w:sz w:val="21"/>
                      <w:szCs w:val="21"/>
                      <w:lang w:eastAsia="zh-CN"/>
                    </w:rPr>
                    <w:t>态</w:t>
                  </w:r>
                </w:p>
              </w:tc>
              <w:tc>
                <w:tcPr>
                  <w:tcW w:w="721" w:type="dxa"/>
                  <w:tcBorders>
                    <w:tl2br w:val="nil"/>
                    <w:tr2bl w:val="nil"/>
                  </w:tcBorders>
                  <w:noWrap w:val="0"/>
                  <w:vAlign w:val="center"/>
                </w:tcPr>
                <w:p w14:paraId="6CD34839">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主要成分</w:t>
                  </w:r>
                </w:p>
              </w:tc>
              <w:tc>
                <w:tcPr>
                  <w:tcW w:w="630" w:type="dxa"/>
                  <w:tcBorders>
                    <w:tl2br w:val="nil"/>
                    <w:tr2bl w:val="nil"/>
                  </w:tcBorders>
                  <w:noWrap w:val="0"/>
                  <w:vAlign w:val="center"/>
                </w:tcPr>
                <w:p w14:paraId="039807E5">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有害成分</w:t>
                  </w:r>
                </w:p>
              </w:tc>
              <w:tc>
                <w:tcPr>
                  <w:tcW w:w="560" w:type="dxa"/>
                  <w:tcBorders>
                    <w:tl2br w:val="nil"/>
                    <w:tr2bl w:val="nil"/>
                  </w:tcBorders>
                  <w:noWrap w:val="0"/>
                  <w:vAlign w:val="center"/>
                </w:tcPr>
                <w:p w14:paraId="3517F250">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产废周期</w:t>
                  </w:r>
                </w:p>
              </w:tc>
              <w:tc>
                <w:tcPr>
                  <w:tcW w:w="592" w:type="dxa"/>
                  <w:tcBorders>
                    <w:tl2br w:val="nil"/>
                    <w:tr2bl w:val="nil"/>
                  </w:tcBorders>
                  <w:noWrap w:val="0"/>
                  <w:vAlign w:val="center"/>
                </w:tcPr>
                <w:p w14:paraId="27930B2C">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lang w:eastAsia="zh-CN"/>
                    </w:rPr>
                  </w:pPr>
                  <w:r>
                    <w:rPr>
                      <w:rFonts w:hint="default" w:ascii="Times New Roman" w:hAnsi="Times New Roman" w:eastAsia="仿宋_GB2312" w:cs="Times New Roman"/>
                      <w:b/>
                      <w:bCs/>
                      <w:color w:val="auto"/>
                      <w:sz w:val="21"/>
                      <w:szCs w:val="21"/>
                      <w:lang w:eastAsia="zh-CN"/>
                    </w:rPr>
                    <w:t>危险特性</w:t>
                  </w:r>
                </w:p>
              </w:tc>
            </w:tr>
            <w:tr w14:paraId="58E150F6">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369" w:type="dxa"/>
                  <w:tcBorders>
                    <w:tl2br w:val="nil"/>
                    <w:tr2bl w:val="nil"/>
                  </w:tcBorders>
                  <w:noWrap w:val="0"/>
                  <w:vAlign w:val="center"/>
                </w:tcPr>
                <w:p w14:paraId="53BAF65B">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1</w:t>
                  </w:r>
                </w:p>
              </w:tc>
              <w:tc>
                <w:tcPr>
                  <w:tcW w:w="950" w:type="dxa"/>
                  <w:tcBorders>
                    <w:tl2br w:val="nil"/>
                    <w:tr2bl w:val="nil"/>
                  </w:tcBorders>
                  <w:noWrap w:val="0"/>
                  <w:vAlign w:val="center"/>
                </w:tcPr>
                <w:p w14:paraId="0545671C">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油罐清</w:t>
                  </w:r>
                </w:p>
                <w:p w14:paraId="150F3614">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理残液</w:t>
                  </w:r>
                </w:p>
              </w:tc>
              <w:tc>
                <w:tcPr>
                  <w:tcW w:w="1100" w:type="dxa"/>
                  <w:vMerge w:val="restart"/>
                  <w:tcBorders>
                    <w:tl2br w:val="nil"/>
                    <w:tr2bl w:val="nil"/>
                  </w:tcBorders>
                  <w:noWrap w:val="0"/>
                  <w:vAlign w:val="center"/>
                </w:tcPr>
                <w:p w14:paraId="025041F0">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HW08 废</w:t>
                  </w:r>
                </w:p>
                <w:p w14:paraId="44678B0D">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矿物油与</w:t>
                  </w:r>
                </w:p>
                <w:p w14:paraId="085F30DF">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含矿物油</w:t>
                  </w:r>
                </w:p>
                <w:p w14:paraId="2648508B">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废物</w:t>
                  </w:r>
                </w:p>
              </w:tc>
              <w:tc>
                <w:tcPr>
                  <w:tcW w:w="1181" w:type="dxa"/>
                  <w:tcBorders>
                    <w:tl2br w:val="nil"/>
                    <w:tr2bl w:val="nil"/>
                  </w:tcBorders>
                  <w:noWrap w:val="0"/>
                  <w:vAlign w:val="center"/>
                </w:tcPr>
                <w:p w14:paraId="0E2411D9">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900-249-08</w:t>
                  </w:r>
                </w:p>
              </w:tc>
              <w:tc>
                <w:tcPr>
                  <w:tcW w:w="740" w:type="dxa"/>
                  <w:tcBorders>
                    <w:tl2br w:val="nil"/>
                    <w:tr2bl w:val="nil"/>
                  </w:tcBorders>
                  <w:noWrap w:val="0"/>
                  <w:vAlign w:val="center"/>
                </w:tcPr>
                <w:p w14:paraId="2513DB49">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val="en-US" w:eastAsia="zh-CN"/>
                    </w:rPr>
                  </w:pPr>
                  <w:r>
                    <w:rPr>
                      <w:rFonts w:hint="default" w:ascii="Times New Roman" w:hAnsi="Times New Roman" w:eastAsia="仿宋_GB2312" w:cs="Times New Roman"/>
                      <w:b w:val="0"/>
                      <w:bCs w:val="0"/>
                      <w:color w:val="auto"/>
                      <w:sz w:val="21"/>
                      <w:szCs w:val="21"/>
                      <w:lang w:val="en-US" w:eastAsia="zh-CN"/>
                    </w:rPr>
                    <w:t>0.50</w:t>
                  </w:r>
                </w:p>
              </w:tc>
              <w:tc>
                <w:tcPr>
                  <w:tcW w:w="670" w:type="dxa"/>
                  <w:tcBorders>
                    <w:tl2br w:val="nil"/>
                    <w:tr2bl w:val="nil"/>
                  </w:tcBorders>
                  <w:noWrap w:val="0"/>
                  <w:vAlign w:val="center"/>
                </w:tcPr>
                <w:p w14:paraId="7F48BF8D">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油罐 清理</w:t>
                  </w:r>
                </w:p>
              </w:tc>
              <w:tc>
                <w:tcPr>
                  <w:tcW w:w="427" w:type="dxa"/>
                  <w:tcBorders>
                    <w:tl2br w:val="nil"/>
                    <w:tr2bl w:val="nil"/>
                  </w:tcBorders>
                  <w:noWrap w:val="0"/>
                  <w:vAlign w:val="center"/>
                </w:tcPr>
                <w:p w14:paraId="7323DE35">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液 态</w:t>
                  </w:r>
                </w:p>
              </w:tc>
              <w:tc>
                <w:tcPr>
                  <w:tcW w:w="721" w:type="dxa"/>
                  <w:tcBorders>
                    <w:tl2br w:val="nil"/>
                    <w:tr2bl w:val="nil"/>
                  </w:tcBorders>
                  <w:noWrap w:val="0"/>
                  <w:vAlign w:val="center"/>
                </w:tcPr>
                <w:p w14:paraId="1DCF3D07">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矿物 油</w:t>
                  </w:r>
                </w:p>
              </w:tc>
              <w:tc>
                <w:tcPr>
                  <w:tcW w:w="630" w:type="dxa"/>
                  <w:tcBorders>
                    <w:tl2br w:val="nil"/>
                    <w:tr2bl w:val="nil"/>
                  </w:tcBorders>
                  <w:noWrap w:val="0"/>
                  <w:vAlign w:val="center"/>
                </w:tcPr>
                <w:p w14:paraId="086B1830">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矿物 油</w:t>
                  </w:r>
                </w:p>
              </w:tc>
              <w:tc>
                <w:tcPr>
                  <w:tcW w:w="560" w:type="dxa"/>
                  <w:tcBorders>
                    <w:tl2br w:val="nil"/>
                    <w:tr2bl w:val="nil"/>
                  </w:tcBorders>
                  <w:noWrap w:val="0"/>
                  <w:vAlign w:val="center"/>
                </w:tcPr>
                <w:p w14:paraId="53CBBA72">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12个月</w:t>
                  </w:r>
                </w:p>
              </w:tc>
              <w:tc>
                <w:tcPr>
                  <w:tcW w:w="592" w:type="dxa"/>
                  <w:tcBorders>
                    <w:tl2br w:val="nil"/>
                    <w:tr2bl w:val="nil"/>
                  </w:tcBorders>
                  <w:noWrap w:val="0"/>
                  <w:vAlign w:val="center"/>
                </w:tcPr>
                <w:p w14:paraId="64A65286">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T</w:t>
                  </w:r>
                  <w:r>
                    <w:rPr>
                      <w:rFonts w:hint="default" w:ascii="Times New Roman" w:hAnsi="Times New Roman" w:eastAsia="仿宋_GB2312" w:cs="Times New Roman"/>
                      <w:b w:val="0"/>
                      <w:bCs w:val="0"/>
                      <w:color w:val="auto"/>
                      <w:sz w:val="21"/>
                      <w:szCs w:val="21"/>
                      <w:lang w:val="en-US" w:eastAsia="zh-CN"/>
                    </w:rPr>
                    <w:t>/</w:t>
                  </w:r>
                  <w:r>
                    <w:rPr>
                      <w:rFonts w:hint="default" w:ascii="Times New Roman" w:hAnsi="Times New Roman" w:eastAsia="仿宋_GB2312" w:cs="Times New Roman"/>
                      <w:b w:val="0"/>
                      <w:bCs w:val="0"/>
                      <w:color w:val="auto"/>
                      <w:sz w:val="21"/>
                      <w:szCs w:val="21"/>
                      <w:lang w:eastAsia="zh-CN"/>
                    </w:rPr>
                    <w:t>I</w:t>
                  </w:r>
                </w:p>
              </w:tc>
            </w:tr>
            <w:tr w14:paraId="4260084F">
              <w:tblPrEx>
                <w:tblBorders>
                  <w:top w:val="single" w:color="000000" w:sz="2" w:space="0"/>
                  <w:left w:val="none" w:color="auto" w:sz="0" w:space="0"/>
                  <w:bottom w:val="single" w:color="000000" w:sz="2" w:space="0"/>
                  <w:right w:val="none" w:color="auto" w:sz="0"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369" w:type="dxa"/>
                  <w:tcBorders>
                    <w:tl2br w:val="nil"/>
                    <w:tr2bl w:val="nil"/>
                  </w:tcBorders>
                  <w:noWrap w:val="0"/>
                  <w:vAlign w:val="center"/>
                </w:tcPr>
                <w:p w14:paraId="7581F832">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val="en-US" w:eastAsia="zh-CN"/>
                    </w:rPr>
                    <w:t>2</w:t>
                  </w:r>
                </w:p>
              </w:tc>
              <w:tc>
                <w:tcPr>
                  <w:tcW w:w="950" w:type="dxa"/>
                  <w:tcBorders>
                    <w:tl2br w:val="nil"/>
                    <w:tr2bl w:val="nil"/>
                  </w:tcBorders>
                  <w:noWrap w:val="0"/>
                  <w:vAlign w:val="center"/>
                </w:tcPr>
                <w:p w14:paraId="07B5FB58">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含油</w:t>
                  </w:r>
                </w:p>
                <w:p w14:paraId="607D2CDD">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污泥</w:t>
                  </w:r>
                </w:p>
              </w:tc>
              <w:tc>
                <w:tcPr>
                  <w:tcW w:w="1100" w:type="dxa"/>
                  <w:vMerge w:val="continue"/>
                  <w:tcBorders>
                    <w:tl2br w:val="nil"/>
                    <w:tr2bl w:val="nil"/>
                  </w:tcBorders>
                  <w:noWrap w:val="0"/>
                  <w:vAlign w:val="center"/>
                </w:tcPr>
                <w:p w14:paraId="68062E84">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p>
              </w:tc>
              <w:tc>
                <w:tcPr>
                  <w:tcW w:w="1181" w:type="dxa"/>
                  <w:tcBorders>
                    <w:tl2br w:val="nil"/>
                    <w:tr2bl w:val="nil"/>
                  </w:tcBorders>
                  <w:noWrap w:val="0"/>
                  <w:vAlign w:val="center"/>
                </w:tcPr>
                <w:p w14:paraId="62CEF2A3">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900-210-08</w:t>
                  </w:r>
                </w:p>
              </w:tc>
              <w:tc>
                <w:tcPr>
                  <w:tcW w:w="740" w:type="dxa"/>
                  <w:tcBorders>
                    <w:tl2br w:val="nil"/>
                    <w:tr2bl w:val="nil"/>
                  </w:tcBorders>
                  <w:noWrap w:val="0"/>
                  <w:vAlign w:val="center"/>
                </w:tcPr>
                <w:p w14:paraId="629D4A1F">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val="en-US" w:eastAsia="zh-CN"/>
                    </w:rPr>
                  </w:pPr>
                  <w:r>
                    <w:rPr>
                      <w:rFonts w:hint="default" w:ascii="Times New Roman" w:hAnsi="Times New Roman" w:eastAsia="仿宋_GB2312" w:cs="Times New Roman"/>
                      <w:b w:val="0"/>
                      <w:bCs w:val="0"/>
                      <w:color w:val="auto"/>
                      <w:sz w:val="21"/>
                      <w:szCs w:val="21"/>
                      <w:lang w:val="en-US" w:eastAsia="zh-CN"/>
                    </w:rPr>
                    <w:t>0.</w:t>
                  </w:r>
                  <w:r>
                    <w:rPr>
                      <w:rFonts w:hint="eastAsia" w:eastAsia="仿宋_GB2312" w:cs="Times New Roman"/>
                      <w:b w:val="0"/>
                      <w:bCs w:val="0"/>
                      <w:color w:val="auto"/>
                      <w:sz w:val="21"/>
                      <w:szCs w:val="21"/>
                      <w:lang w:val="en-US" w:eastAsia="zh-CN"/>
                    </w:rPr>
                    <w:t>34</w:t>
                  </w:r>
                </w:p>
              </w:tc>
              <w:tc>
                <w:tcPr>
                  <w:tcW w:w="670" w:type="dxa"/>
                  <w:tcBorders>
                    <w:tl2br w:val="nil"/>
                    <w:tr2bl w:val="nil"/>
                  </w:tcBorders>
                  <w:noWrap w:val="0"/>
                  <w:vAlign w:val="center"/>
                </w:tcPr>
                <w:p w14:paraId="57876F76">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隔油</w:t>
                  </w:r>
                </w:p>
                <w:p w14:paraId="0A398749">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沉淀</w:t>
                  </w:r>
                </w:p>
                <w:p w14:paraId="3F7CCEDA">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池</w:t>
                  </w:r>
                </w:p>
              </w:tc>
              <w:tc>
                <w:tcPr>
                  <w:tcW w:w="427" w:type="dxa"/>
                  <w:tcBorders>
                    <w:tl2br w:val="nil"/>
                    <w:tr2bl w:val="nil"/>
                  </w:tcBorders>
                  <w:noWrap w:val="0"/>
                  <w:vAlign w:val="center"/>
                </w:tcPr>
                <w:p w14:paraId="731ED8CE">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半 固 态</w:t>
                  </w:r>
                </w:p>
              </w:tc>
              <w:tc>
                <w:tcPr>
                  <w:tcW w:w="721" w:type="dxa"/>
                  <w:tcBorders>
                    <w:tl2br w:val="nil"/>
                    <w:tr2bl w:val="nil"/>
                  </w:tcBorders>
                  <w:noWrap w:val="0"/>
                  <w:vAlign w:val="center"/>
                </w:tcPr>
                <w:p w14:paraId="21ED2DEF">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油泥</w:t>
                  </w:r>
                </w:p>
              </w:tc>
              <w:tc>
                <w:tcPr>
                  <w:tcW w:w="630" w:type="dxa"/>
                  <w:tcBorders>
                    <w:tl2br w:val="nil"/>
                    <w:tr2bl w:val="nil"/>
                  </w:tcBorders>
                  <w:noWrap w:val="0"/>
                  <w:vAlign w:val="center"/>
                </w:tcPr>
                <w:p w14:paraId="2BE1DF11">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矿物 油</w:t>
                  </w:r>
                </w:p>
              </w:tc>
              <w:tc>
                <w:tcPr>
                  <w:tcW w:w="560" w:type="dxa"/>
                  <w:tcBorders>
                    <w:tl2br w:val="nil"/>
                    <w:tr2bl w:val="nil"/>
                  </w:tcBorders>
                  <w:noWrap w:val="0"/>
                  <w:vAlign w:val="center"/>
                </w:tcPr>
                <w:p w14:paraId="438461DB">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12个月</w:t>
                  </w:r>
                </w:p>
              </w:tc>
              <w:tc>
                <w:tcPr>
                  <w:tcW w:w="592" w:type="dxa"/>
                  <w:tcBorders>
                    <w:tl2br w:val="nil"/>
                    <w:tr2bl w:val="nil"/>
                  </w:tcBorders>
                  <w:noWrap w:val="0"/>
                  <w:vAlign w:val="center"/>
                </w:tcPr>
                <w:p w14:paraId="7B54B137">
                  <w:pPr>
                    <w:pStyle w:val="58"/>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lang w:eastAsia="zh-CN"/>
                    </w:rPr>
                  </w:pPr>
                  <w:r>
                    <w:rPr>
                      <w:rFonts w:hint="default" w:ascii="Times New Roman" w:hAnsi="Times New Roman" w:eastAsia="仿宋_GB2312" w:cs="Times New Roman"/>
                      <w:b w:val="0"/>
                      <w:bCs w:val="0"/>
                      <w:color w:val="auto"/>
                      <w:sz w:val="21"/>
                      <w:szCs w:val="21"/>
                      <w:lang w:eastAsia="zh-CN"/>
                    </w:rPr>
                    <w:t>T</w:t>
                  </w:r>
                  <w:r>
                    <w:rPr>
                      <w:rFonts w:hint="default" w:ascii="Times New Roman" w:hAnsi="Times New Roman" w:eastAsia="仿宋_GB2312" w:cs="Times New Roman"/>
                      <w:b w:val="0"/>
                      <w:bCs w:val="0"/>
                      <w:color w:val="auto"/>
                      <w:sz w:val="21"/>
                      <w:szCs w:val="21"/>
                      <w:lang w:val="en-US" w:eastAsia="zh-CN"/>
                    </w:rPr>
                    <w:t>/</w:t>
                  </w:r>
                  <w:r>
                    <w:rPr>
                      <w:rFonts w:hint="default" w:ascii="Times New Roman" w:hAnsi="Times New Roman" w:eastAsia="仿宋_GB2312" w:cs="Times New Roman"/>
                      <w:b w:val="0"/>
                      <w:bCs w:val="0"/>
                      <w:color w:val="auto"/>
                      <w:sz w:val="21"/>
                      <w:szCs w:val="21"/>
                      <w:lang w:eastAsia="zh-CN"/>
                    </w:rPr>
                    <w:t>I</w:t>
                  </w:r>
                </w:p>
              </w:tc>
            </w:tr>
          </w:tbl>
          <w:p w14:paraId="1C7DF3FC">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highlight w:val="none"/>
                <w:lang w:val="en-US" w:eastAsia="zh-CN"/>
              </w:rPr>
            </w:pPr>
            <w:r>
              <w:rPr>
                <w:rFonts w:hint="default" w:ascii="Times New Roman" w:hAnsi="Times New Roman" w:eastAsia="仿宋_GB2312" w:cs="Times New Roman"/>
                <w:bCs/>
                <w:color w:val="auto"/>
                <w:sz w:val="24"/>
                <w:szCs w:val="24"/>
                <w:highlight w:val="none"/>
                <w:lang w:val="en-US" w:eastAsia="zh-CN"/>
              </w:rPr>
              <w:t>4-2：危险废物环境影响分析</w:t>
            </w:r>
          </w:p>
          <w:p w14:paraId="706301B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eastAsia" w:ascii="Times New Roman" w:hAnsi="Times New Roman" w:eastAsia="仿宋_GB2312" w:cs="Times New Roman"/>
                <w:bCs/>
                <w:color w:val="auto"/>
                <w:sz w:val="24"/>
                <w:szCs w:val="24"/>
                <w:lang w:val="en-US" w:eastAsia="zh-CN"/>
              </w:rPr>
              <w:t>（1）危险废物暂存处选址可行性</w:t>
            </w:r>
          </w:p>
          <w:p w14:paraId="739541A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eastAsia" w:ascii="Times New Roman" w:hAnsi="Times New Roman" w:eastAsia="仿宋_GB2312" w:cs="Times New Roman"/>
                <w:bCs/>
                <w:color w:val="auto"/>
                <w:sz w:val="24"/>
                <w:szCs w:val="24"/>
                <w:lang w:val="en-US" w:eastAsia="zh-CN"/>
              </w:rPr>
              <w:t>本项目于A站房1楼设置危废暂存</w:t>
            </w:r>
            <w:r>
              <w:rPr>
                <w:rFonts w:hint="eastAsia" w:eastAsia="仿宋_GB2312" w:cs="Times New Roman"/>
                <w:bCs/>
                <w:color w:val="auto"/>
                <w:sz w:val="24"/>
                <w:szCs w:val="24"/>
                <w:lang w:val="en-US" w:eastAsia="zh-CN"/>
              </w:rPr>
              <w:t>点</w:t>
            </w:r>
            <w:r>
              <w:rPr>
                <w:rFonts w:hint="eastAsia" w:ascii="Times New Roman" w:hAnsi="Times New Roman" w:eastAsia="仿宋_GB2312" w:cs="Times New Roman"/>
                <w:bCs/>
                <w:color w:val="auto"/>
                <w:sz w:val="24"/>
                <w:szCs w:val="24"/>
                <w:lang w:val="en-US" w:eastAsia="zh-CN"/>
              </w:rPr>
              <w:t>，安置危废暂存箱，容积为2m</w:t>
            </w:r>
            <w:r>
              <w:rPr>
                <w:rFonts w:hint="eastAsia" w:ascii="Times New Roman" w:hAnsi="Times New Roman" w:eastAsia="仿宋_GB2312" w:cs="Times New Roman"/>
                <w:bCs/>
                <w:color w:val="auto"/>
                <w:sz w:val="24"/>
                <w:szCs w:val="24"/>
                <w:vertAlign w:val="superscript"/>
                <w:lang w:val="en-US" w:eastAsia="zh-CN"/>
              </w:rPr>
              <w:t>3</w:t>
            </w:r>
            <w:r>
              <w:rPr>
                <w:rFonts w:hint="eastAsia" w:ascii="Times New Roman" w:hAnsi="Times New Roman" w:eastAsia="仿宋_GB2312" w:cs="Times New Roman"/>
                <w:bCs/>
                <w:color w:val="auto"/>
                <w:sz w:val="24"/>
                <w:szCs w:val="24"/>
                <w:lang w:val="en-US" w:eastAsia="zh-CN"/>
              </w:rPr>
              <w:t>。本项目危险废物最大暂存量约为0.</w:t>
            </w:r>
            <w:r>
              <w:rPr>
                <w:rFonts w:hint="eastAsia" w:eastAsia="仿宋_GB2312" w:cs="Times New Roman"/>
                <w:bCs/>
                <w:color w:val="auto"/>
                <w:sz w:val="24"/>
                <w:szCs w:val="24"/>
                <w:lang w:val="en-US" w:eastAsia="zh-CN"/>
              </w:rPr>
              <w:t>34</w:t>
            </w:r>
            <w:r>
              <w:rPr>
                <w:rFonts w:hint="eastAsia" w:ascii="Times New Roman" w:hAnsi="Times New Roman" w:eastAsia="仿宋_GB2312" w:cs="Times New Roman"/>
                <w:bCs/>
                <w:color w:val="auto"/>
                <w:sz w:val="24"/>
                <w:szCs w:val="24"/>
                <w:lang w:val="en-US" w:eastAsia="zh-CN"/>
              </w:rPr>
              <w:t>t，按一般污泥性质估算堆放体积为0.5m</w:t>
            </w:r>
            <w:r>
              <w:rPr>
                <w:rFonts w:hint="eastAsia" w:ascii="Times New Roman" w:hAnsi="Times New Roman" w:eastAsia="仿宋_GB2312" w:cs="Times New Roman"/>
                <w:bCs/>
                <w:color w:val="auto"/>
                <w:sz w:val="24"/>
                <w:szCs w:val="24"/>
                <w:vertAlign w:val="superscript"/>
                <w:lang w:val="en-US" w:eastAsia="zh-CN"/>
              </w:rPr>
              <w:t>3</w:t>
            </w:r>
            <w:r>
              <w:rPr>
                <w:rFonts w:hint="eastAsia" w:ascii="Times New Roman" w:hAnsi="Times New Roman" w:eastAsia="仿宋_GB2312" w:cs="Times New Roman"/>
                <w:bCs/>
                <w:color w:val="auto"/>
                <w:sz w:val="24"/>
                <w:szCs w:val="24"/>
                <w:lang w:val="en-US" w:eastAsia="zh-CN"/>
              </w:rPr>
              <w:t>。危废暂存</w:t>
            </w:r>
            <w:r>
              <w:rPr>
                <w:rFonts w:hint="eastAsia" w:eastAsia="仿宋_GB2312" w:cs="Times New Roman"/>
                <w:bCs/>
                <w:color w:val="auto"/>
                <w:sz w:val="24"/>
                <w:szCs w:val="24"/>
                <w:lang w:val="en-US" w:eastAsia="zh-CN"/>
              </w:rPr>
              <w:t>点</w:t>
            </w:r>
            <w:r>
              <w:rPr>
                <w:rFonts w:hint="eastAsia" w:ascii="Times New Roman" w:hAnsi="Times New Roman" w:eastAsia="仿宋_GB2312" w:cs="Times New Roman"/>
                <w:bCs/>
                <w:color w:val="auto"/>
                <w:sz w:val="24"/>
                <w:szCs w:val="24"/>
                <w:lang w:val="en-US" w:eastAsia="zh-CN"/>
              </w:rPr>
              <w:t>需采取重点防渗措施，可满足项目所产生的危险废物暂存。</w:t>
            </w:r>
          </w:p>
          <w:p w14:paraId="2A84DA2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eastAsia" w:ascii="Times New Roman" w:hAnsi="Times New Roman" w:eastAsia="仿宋_GB2312" w:cs="Times New Roman"/>
                <w:bCs/>
                <w:color w:val="auto"/>
                <w:sz w:val="24"/>
                <w:szCs w:val="24"/>
                <w:lang w:val="en-US" w:eastAsia="zh-CN"/>
              </w:rPr>
              <w:t>根据《危险废物贮存污染控制标准》（GB 18597-2023）中要求，危险废物暂</w:t>
            </w:r>
            <w:r>
              <w:rPr>
                <w:rFonts w:hint="default" w:ascii="Times New Roman" w:hAnsi="Times New Roman" w:eastAsia="仿宋_GB2312" w:cs="Times New Roman"/>
                <w:bCs/>
                <w:color w:val="auto"/>
                <w:sz w:val="24"/>
                <w:szCs w:val="24"/>
                <w:lang w:val="en-US" w:eastAsia="zh-CN"/>
              </w:rPr>
              <w:t>存相关要求如下：</w:t>
            </w:r>
          </w:p>
          <w:p w14:paraId="71CE19B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①危废暂存箱用以存放装载液态、半固态固废容器的地方，其材质应满足贮存矿物油类的要求且表面完整无裂隙，防渗层应覆盖整个箱体内壁；</w:t>
            </w:r>
          </w:p>
          <w:p w14:paraId="29B46BA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②</w:t>
            </w:r>
            <w:r>
              <w:rPr>
                <w:rFonts w:hint="eastAsia" w:eastAsia="仿宋_GB2312" w:cs="Times New Roman"/>
                <w:bCs/>
                <w:color w:val="auto"/>
                <w:sz w:val="24"/>
                <w:szCs w:val="24"/>
                <w:lang w:val="en-US" w:eastAsia="zh-CN"/>
              </w:rPr>
              <w:t>暂存点</w:t>
            </w:r>
            <w:r>
              <w:rPr>
                <w:rFonts w:hint="default" w:ascii="Times New Roman" w:hAnsi="Times New Roman" w:eastAsia="仿宋_GB2312" w:cs="Times New Roman"/>
                <w:bCs/>
                <w:color w:val="auto"/>
                <w:sz w:val="24"/>
                <w:szCs w:val="24"/>
                <w:lang w:val="en-US" w:eastAsia="zh-CN"/>
              </w:rPr>
              <w:t>地面与裙脚要用坚固、防渗的材料建造，建筑材料必须与危险废物；</w:t>
            </w:r>
          </w:p>
          <w:p w14:paraId="52A07A1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③所有产生的危险废物均应</w:t>
            </w:r>
            <w:r>
              <w:rPr>
                <w:rFonts w:hint="eastAsia" w:eastAsia="仿宋_GB2312" w:cs="Times New Roman"/>
                <w:bCs/>
                <w:color w:val="auto"/>
                <w:sz w:val="24"/>
                <w:szCs w:val="24"/>
                <w:lang w:val="en-US" w:eastAsia="zh-CN"/>
              </w:rPr>
              <w:t>使用</w:t>
            </w:r>
            <w:r>
              <w:rPr>
                <w:rFonts w:hint="default" w:ascii="Times New Roman" w:hAnsi="Times New Roman" w:eastAsia="仿宋_GB2312" w:cs="Times New Roman"/>
                <w:bCs/>
                <w:color w:val="auto"/>
                <w:sz w:val="24"/>
                <w:szCs w:val="24"/>
                <w:lang w:val="en-US" w:eastAsia="zh-CN"/>
              </w:rPr>
              <w:t>符合标准要求的容器盛装，装载危险废物的容器及材质要满足相应的强度要求，且必须完好无损；</w:t>
            </w:r>
          </w:p>
          <w:p w14:paraId="6D835A2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④危险废物贮存箱需按照“双人双锁”制度管理，防止无关人员开箱；</w:t>
            </w:r>
          </w:p>
          <w:p w14:paraId="27F99D2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⑤建立危险废物台账管理制度，台账悬挂于危废</w:t>
            </w:r>
            <w:r>
              <w:rPr>
                <w:rFonts w:hint="eastAsia" w:eastAsia="仿宋_GB2312" w:cs="Times New Roman"/>
                <w:bCs/>
                <w:color w:val="auto"/>
                <w:sz w:val="24"/>
                <w:szCs w:val="24"/>
                <w:lang w:val="en-US" w:eastAsia="zh-CN"/>
              </w:rPr>
              <w:t>暂存点</w:t>
            </w:r>
            <w:r>
              <w:rPr>
                <w:rFonts w:hint="default" w:ascii="Times New Roman" w:hAnsi="Times New Roman" w:eastAsia="仿宋_GB2312" w:cs="Times New Roman"/>
                <w:bCs/>
                <w:color w:val="auto"/>
                <w:sz w:val="24"/>
                <w:szCs w:val="24"/>
                <w:lang w:val="en-US" w:eastAsia="zh-CN"/>
              </w:rPr>
              <w:t>，记录上须注明危险废物的名称、来源、数量、特性和包装容器类别、入库日期、废物出库日期及接</w:t>
            </w:r>
            <w:r>
              <w:rPr>
                <w:rFonts w:hint="eastAsia" w:eastAsia="仿宋_GB2312" w:cs="Times New Roman"/>
                <w:bCs/>
                <w:color w:val="auto"/>
                <w:sz w:val="24"/>
                <w:szCs w:val="24"/>
                <w:lang w:val="en-US" w:eastAsia="zh-CN"/>
              </w:rPr>
              <w:t>收</w:t>
            </w:r>
            <w:r>
              <w:rPr>
                <w:rFonts w:hint="default" w:ascii="Times New Roman" w:hAnsi="Times New Roman" w:eastAsia="仿宋_GB2312" w:cs="Times New Roman"/>
                <w:bCs/>
                <w:color w:val="auto"/>
                <w:sz w:val="24"/>
                <w:szCs w:val="24"/>
                <w:lang w:val="en-US" w:eastAsia="zh-CN"/>
              </w:rPr>
              <w:t>单位名称</w:t>
            </w:r>
            <w:r>
              <w:rPr>
                <w:rFonts w:hint="eastAsia" w:eastAsia="仿宋_GB2312" w:cs="Times New Roman"/>
                <w:bCs/>
                <w:color w:val="auto"/>
                <w:sz w:val="24"/>
                <w:szCs w:val="24"/>
                <w:lang w:val="en-US" w:eastAsia="zh-CN"/>
              </w:rPr>
              <w:t>；</w:t>
            </w:r>
          </w:p>
          <w:p w14:paraId="5F8FAB0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⑥必须定期对贮存的危险废物包装容器及贮存设施进行检查，发现破损，应及时采取措施清理更换</w:t>
            </w:r>
            <w:r>
              <w:rPr>
                <w:rFonts w:hint="eastAsia" w:eastAsia="仿宋_GB2312" w:cs="Times New Roman"/>
                <w:bCs/>
                <w:color w:val="auto"/>
                <w:sz w:val="24"/>
                <w:szCs w:val="24"/>
                <w:lang w:val="en-US" w:eastAsia="zh-CN"/>
              </w:rPr>
              <w:t>；</w:t>
            </w:r>
          </w:p>
          <w:p w14:paraId="4689940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⑦按照《危险废物识别标志设置技术规范》（HJ 1276-2022）的规定设置警示标志。危险废物</w:t>
            </w:r>
            <w:r>
              <w:rPr>
                <w:rFonts w:hint="eastAsia" w:eastAsia="仿宋_GB2312" w:cs="Times New Roman"/>
                <w:bCs/>
                <w:color w:val="auto"/>
                <w:sz w:val="24"/>
                <w:szCs w:val="24"/>
                <w:lang w:val="en-US" w:eastAsia="zh-CN"/>
              </w:rPr>
              <w:t>暂</w:t>
            </w:r>
            <w:r>
              <w:rPr>
                <w:rFonts w:hint="default" w:ascii="Times New Roman" w:hAnsi="Times New Roman" w:eastAsia="仿宋_GB2312" w:cs="Times New Roman"/>
                <w:bCs/>
                <w:color w:val="auto"/>
                <w:sz w:val="24"/>
                <w:szCs w:val="24"/>
                <w:lang w:val="en-US" w:eastAsia="zh-CN"/>
              </w:rPr>
              <w:t>存箱上需张贴标准规范的危险废物标识和危废信息板，明确《危险废物管理制度》。</w:t>
            </w:r>
          </w:p>
          <w:p w14:paraId="30045E2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eastAsia" w:ascii="Times New Roman" w:hAnsi="Times New Roman" w:eastAsia="仿宋_GB2312" w:cs="Times New Roman"/>
                <w:bCs/>
                <w:color w:val="auto"/>
                <w:sz w:val="24"/>
                <w:szCs w:val="24"/>
                <w:lang w:val="en-US" w:eastAsia="zh-CN"/>
              </w:rPr>
              <w:t>（</w:t>
            </w:r>
            <w:r>
              <w:rPr>
                <w:rFonts w:hint="default" w:ascii="Times New Roman" w:hAnsi="Times New Roman" w:eastAsia="仿宋_GB2312" w:cs="Times New Roman"/>
                <w:bCs/>
                <w:color w:val="auto"/>
                <w:sz w:val="24"/>
                <w:szCs w:val="24"/>
                <w:lang w:val="en-US" w:eastAsia="zh-CN"/>
              </w:rPr>
              <w:t>2）委托处置的要求</w:t>
            </w:r>
          </w:p>
          <w:p w14:paraId="4347C62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次环评中估算的危险废物均产生于项目运营后，业主应在项目建成运营前与相应有资质单位签订处置协议，并到相关部门进行备案。项目固废运输处置过程需检查贮存容器的完整性，运输车辆均应根据相关要求密闭处理，以防</w:t>
            </w:r>
            <w:r>
              <w:rPr>
                <w:rFonts w:hint="eastAsia" w:eastAsia="仿宋_GB2312" w:cs="Times New Roman"/>
                <w:bCs/>
                <w:color w:val="auto"/>
                <w:sz w:val="24"/>
                <w:szCs w:val="24"/>
                <w:lang w:val="en-US" w:eastAsia="zh-CN"/>
              </w:rPr>
              <w:t>止</w:t>
            </w:r>
            <w:r>
              <w:rPr>
                <w:rFonts w:hint="default" w:ascii="Times New Roman" w:hAnsi="Times New Roman" w:eastAsia="仿宋_GB2312" w:cs="Times New Roman"/>
                <w:bCs/>
                <w:color w:val="auto"/>
                <w:sz w:val="24"/>
                <w:szCs w:val="24"/>
                <w:lang w:val="en-US" w:eastAsia="zh-CN"/>
              </w:rPr>
              <w:t>固废泄漏扬撒带来环境影响。</w:t>
            </w:r>
          </w:p>
          <w:p w14:paraId="660A8FF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综上所述，在落实以上环保措施前提下，项目产生的各项固废均能得到妥善处理处置，不排入自然环境，对外环境影响较小。</w:t>
            </w:r>
          </w:p>
          <w:p w14:paraId="0516023C">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5、地下水、土壤</w:t>
            </w:r>
          </w:p>
          <w:p w14:paraId="2122137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（1）污染环节分析</w:t>
            </w:r>
          </w:p>
          <w:p w14:paraId="435796D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本项目的实施</w:t>
            </w:r>
            <w:r>
              <w:rPr>
                <w:rFonts w:hint="eastAsia" w:ascii="Times New Roman" w:hAnsi="Times New Roman" w:eastAsia="仿宋_GB2312" w:cs="Times New Roman"/>
                <w:bCs/>
                <w:color w:val="auto"/>
                <w:sz w:val="24"/>
                <w:szCs w:val="24"/>
                <w:lang w:val="en-US" w:eastAsia="zh-CN"/>
              </w:rPr>
              <w:t>一般</w:t>
            </w:r>
            <w:r>
              <w:rPr>
                <w:rFonts w:hint="default" w:ascii="Times New Roman" w:hAnsi="Times New Roman" w:eastAsia="仿宋_GB2312" w:cs="Times New Roman"/>
                <w:bCs/>
                <w:color w:val="auto"/>
                <w:sz w:val="24"/>
                <w:szCs w:val="24"/>
                <w:lang w:val="en-US" w:eastAsia="zh-CN"/>
              </w:rPr>
              <w:t>不会有污水下渗污染地下水，但当突发情况发生，包括油罐及输油管道发生泄漏等，造成油品遗撒下渗，污染土壤、地下水。项目对土壤、地下水的各种潜在污染源、影响途径及影响分析详见表4-18。</w:t>
            </w:r>
          </w:p>
          <w:p w14:paraId="27B816FA">
            <w:pPr>
              <w:tabs>
                <w:tab w:val="left" w:pos="3467"/>
              </w:tabs>
              <w:ind w:firstLine="482" w:firstLineChars="200"/>
              <w:jc w:val="center"/>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表4-18 项目污染途径</w:t>
            </w:r>
          </w:p>
          <w:tbl>
            <w:tblPr>
              <w:tblStyle w:val="20"/>
              <w:tblW w:w="7946"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91"/>
              <w:gridCol w:w="1420"/>
              <w:gridCol w:w="2900"/>
              <w:gridCol w:w="900"/>
              <w:gridCol w:w="2335"/>
            </w:tblGrid>
            <w:tr w14:paraId="0A9012A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91" w:type="dxa"/>
                  <w:tcBorders>
                    <w:tl2br w:val="nil"/>
                    <w:tr2bl w:val="nil"/>
                  </w:tcBorders>
                  <w:vAlign w:val="center"/>
                </w:tcPr>
                <w:p w14:paraId="6D5D03F8">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序号</w:t>
                  </w:r>
                </w:p>
              </w:tc>
              <w:tc>
                <w:tcPr>
                  <w:tcW w:w="1420" w:type="dxa"/>
                  <w:tcBorders>
                    <w:tl2br w:val="nil"/>
                    <w:tr2bl w:val="nil"/>
                  </w:tcBorders>
                  <w:vAlign w:val="center"/>
                </w:tcPr>
                <w:p w14:paraId="1DD0A08E">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潜在污染源</w:t>
                  </w:r>
                </w:p>
              </w:tc>
              <w:tc>
                <w:tcPr>
                  <w:tcW w:w="2900" w:type="dxa"/>
                  <w:tcBorders>
                    <w:tl2br w:val="nil"/>
                    <w:tr2bl w:val="nil"/>
                  </w:tcBorders>
                  <w:vAlign w:val="center"/>
                </w:tcPr>
                <w:p w14:paraId="7955A656">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污染途径</w:t>
                  </w:r>
                </w:p>
              </w:tc>
              <w:tc>
                <w:tcPr>
                  <w:tcW w:w="900" w:type="dxa"/>
                  <w:tcBorders>
                    <w:tl2br w:val="nil"/>
                    <w:tr2bl w:val="nil"/>
                  </w:tcBorders>
                  <w:vAlign w:val="center"/>
                </w:tcPr>
                <w:p w14:paraId="2DC6DEE9">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主要</w:t>
                  </w:r>
                </w:p>
                <w:p w14:paraId="15BD3420">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污染物</w:t>
                  </w:r>
                </w:p>
              </w:tc>
              <w:tc>
                <w:tcPr>
                  <w:tcW w:w="2335" w:type="dxa"/>
                  <w:tcBorders>
                    <w:tl2br w:val="nil"/>
                    <w:tr2bl w:val="nil"/>
                  </w:tcBorders>
                  <w:vAlign w:val="center"/>
                </w:tcPr>
                <w:p w14:paraId="3EC7CD3D">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bCs/>
                      <w:color w:val="auto"/>
                      <w:sz w:val="21"/>
                      <w:szCs w:val="21"/>
                      <w:lang w:val="en-US" w:eastAsia="zh-CN"/>
                    </w:rPr>
                  </w:pPr>
                  <w:r>
                    <w:rPr>
                      <w:rFonts w:hint="eastAsia" w:ascii="仿宋_GB2312" w:hAnsi="仿宋_GB2312" w:eastAsia="仿宋_GB2312" w:cs="仿宋_GB2312"/>
                      <w:b/>
                      <w:bCs/>
                      <w:color w:val="auto"/>
                      <w:sz w:val="21"/>
                      <w:szCs w:val="21"/>
                      <w:lang w:val="en-US" w:eastAsia="zh-CN"/>
                    </w:rPr>
                    <w:t>影响分析</w:t>
                  </w:r>
                </w:p>
              </w:tc>
            </w:tr>
            <w:tr w14:paraId="05DEA57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91" w:type="dxa"/>
                  <w:tcBorders>
                    <w:tl2br w:val="nil"/>
                    <w:tr2bl w:val="nil"/>
                  </w:tcBorders>
                  <w:vAlign w:val="center"/>
                </w:tcPr>
                <w:p w14:paraId="09BA22FB">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w:t>
                  </w:r>
                </w:p>
              </w:tc>
              <w:tc>
                <w:tcPr>
                  <w:tcW w:w="1420" w:type="dxa"/>
                  <w:tcBorders>
                    <w:tl2br w:val="nil"/>
                    <w:tr2bl w:val="nil"/>
                  </w:tcBorders>
                  <w:vAlign w:val="center"/>
                </w:tcPr>
                <w:p w14:paraId="24CCC94C">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储油罐及油品输送管道</w:t>
                  </w:r>
                </w:p>
              </w:tc>
              <w:tc>
                <w:tcPr>
                  <w:tcW w:w="2900" w:type="dxa"/>
                  <w:tcBorders>
                    <w:tl2br w:val="nil"/>
                    <w:tr2bl w:val="nil"/>
                  </w:tcBorders>
                  <w:vAlign w:val="center"/>
                </w:tcPr>
                <w:p w14:paraId="6568B085">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由于油管满溢、储油罐或油品输送管道出现裂缝，导致油品发生泄漏，油品渗入周边土壤并进入地下水</w:t>
                  </w:r>
                </w:p>
              </w:tc>
              <w:tc>
                <w:tcPr>
                  <w:tcW w:w="900" w:type="dxa"/>
                  <w:tcBorders>
                    <w:tl2br w:val="nil"/>
                    <w:tr2bl w:val="nil"/>
                  </w:tcBorders>
                  <w:vAlign w:val="center"/>
                </w:tcPr>
                <w:p w14:paraId="66029CC9">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矿物油</w:t>
                  </w:r>
                </w:p>
              </w:tc>
              <w:tc>
                <w:tcPr>
                  <w:tcW w:w="2335" w:type="dxa"/>
                  <w:tcBorders>
                    <w:tl2br w:val="nil"/>
                    <w:tr2bl w:val="nil"/>
                  </w:tcBorders>
                  <w:vAlign w:val="center"/>
                </w:tcPr>
                <w:p w14:paraId="4583C4AE">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储油罐及油品输送管道泄漏具有隐蔽性，难以及时发现，可能对地下水和土壤造成较大影响</w:t>
                  </w:r>
                </w:p>
              </w:tc>
            </w:tr>
            <w:tr w14:paraId="3BC57B3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91" w:type="dxa"/>
                  <w:tcBorders>
                    <w:tl2br w:val="nil"/>
                    <w:tr2bl w:val="nil"/>
                  </w:tcBorders>
                  <w:vAlign w:val="center"/>
                </w:tcPr>
                <w:p w14:paraId="6C2A644D">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2</w:t>
                  </w:r>
                </w:p>
              </w:tc>
              <w:tc>
                <w:tcPr>
                  <w:tcW w:w="1420" w:type="dxa"/>
                  <w:tcBorders>
                    <w:tl2br w:val="nil"/>
                    <w:tr2bl w:val="nil"/>
                  </w:tcBorders>
                  <w:vAlign w:val="center"/>
                </w:tcPr>
                <w:p w14:paraId="0DDC3DF7">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隔油池及废水管线</w:t>
                  </w:r>
                </w:p>
              </w:tc>
              <w:tc>
                <w:tcPr>
                  <w:tcW w:w="2900" w:type="dxa"/>
                  <w:tcBorders>
                    <w:tl2br w:val="nil"/>
                    <w:tr2bl w:val="nil"/>
                  </w:tcBorders>
                  <w:vAlign w:val="center"/>
                </w:tcPr>
                <w:p w14:paraId="6FB9E5F3">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隔油池、废水输送管线破损，导致废水泄漏，污染周边土壤和地下水</w:t>
                  </w:r>
                </w:p>
              </w:tc>
              <w:tc>
                <w:tcPr>
                  <w:tcW w:w="900" w:type="dxa"/>
                  <w:tcBorders>
                    <w:tl2br w:val="nil"/>
                    <w:tr2bl w:val="nil"/>
                  </w:tcBorders>
                  <w:vAlign w:val="center"/>
                </w:tcPr>
                <w:p w14:paraId="66963BF9">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矿物油</w:t>
                  </w:r>
                </w:p>
              </w:tc>
              <w:tc>
                <w:tcPr>
                  <w:tcW w:w="2335" w:type="dxa"/>
                  <w:tcBorders>
                    <w:tl2br w:val="nil"/>
                    <w:tr2bl w:val="nil"/>
                  </w:tcBorders>
                  <w:vAlign w:val="center"/>
                </w:tcPr>
                <w:p w14:paraId="73C9F9B1">
                  <w:pPr>
                    <w:pStyle w:val="58"/>
                    <w:keepNext w:val="0"/>
                    <w:keepLines w:val="0"/>
                    <w:pageBreakBefore w:val="0"/>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本项目废水量较少，且污染物浓度较低，不易造成大范围的土壤、地下水污染</w:t>
                  </w:r>
                </w:p>
              </w:tc>
            </w:tr>
          </w:tbl>
          <w:p w14:paraId="4F8F7917">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（2）地下水、土壤防治措施</w:t>
            </w:r>
          </w:p>
          <w:p w14:paraId="7E607357">
            <w:pPr>
              <w:keepNext w:val="0"/>
              <w:keepLines w:val="0"/>
              <w:pageBreakBefore w:val="0"/>
              <w:widowControl w:val="0"/>
              <w:kinsoku/>
              <w:wordWrap/>
              <w:overflowPunct/>
              <w:topLinePunct w:val="0"/>
              <w:autoSpaceDE w:val="0"/>
              <w:autoSpaceDN w:val="0"/>
              <w:bidi w:val="0"/>
              <w:adjustRightInd w:val="0"/>
              <w:snapToGrid/>
              <w:spacing w:before="157" w:beforeLines="50"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1）源头控制</w:t>
            </w:r>
          </w:p>
          <w:p w14:paraId="330C57E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本环评要求项目储油罐采用双层储罐，设渗漏检测立管，满足人工检测和在线</w:t>
            </w:r>
            <w:r>
              <w:rPr>
                <w:rFonts w:hint="eastAsia" w:eastAsia="仿宋_GB2312" w:cs="Times New Roman"/>
                <w:bCs/>
                <w:color w:val="auto"/>
                <w:sz w:val="24"/>
                <w:szCs w:val="24"/>
                <w:lang w:val="en-US" w:eastAsia="zh-CN"/>
              </w:rPr>
              <w:t>监</w:t>
            </w:r>
            <w:r>
              <w:rPr>
                <w:rFonts w:hint="default" w:ascii="Times New Roman" w:hAnsi="Times New Roman" w:eastAsia="仿宋_GB2312" w:cs="Times New Roman"/>
                <w:bCs/>
                <w:color w:val="auto"/>
                <w:sz w:val="24"/>
                <w:szCs w:val="24"/>
                <w:lang w:val="en-US" w:eastAsia="zh-CN"/>
              </w:rPr>
              <w:t>测的要求，并能保证油罐内、外壁任何部位出现渗漏均能被发现；油罐卸油应采取防满溢措施，设置自动触发的高液位报警装置和液位监测系统，油料达到储罐容量的95%时，应能自动停止进料。管道采用双层复合管道，除必须露出地面的以外均应埋地敷设，管道系统的最低点应设检漏点，卸油接口应装设快速接头及密封盖。同时要加强管理，完善管理机制，提高工作人员技术水平和规范意识，遵守操作规程，建立严格的生产管理制度。</w:t>
            </w:r>
          </w:p>
          <w:p w14:paraId="1BB6702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2）分区防渗</w:t>
            </w:r>
          </w:p>
          <w:p w14:paraId="1BB9126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按照《环境影响评价技术导则 地下水环境》（HJ 610-2016）要求，防渗分区应根据建设项目场地天然包气带防污性能、污染控制难易程度和污染物特性提出防渗技术要求。根据全场物料分布和生产功能单元所处的位置划分为重点防渗区和一般防渗区，重点防渗区为：地下油罐区、卸油区、加油区、输油管、LNG撬装设备区、隔油池等，一般防渗区为：站房及站内路面等。</w:t>
            </w:r>
          </w:p>
          <w:p w14:paraId="2491D4C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重点污染区防渗措施为：地下油罐区下部采取底层土压实，并在其上铺设碎石层，再在上层铺设15~20cm的混凝土进行硬化，并在全罐区底部表面衬玻璃钢或其他材料防渗层；上部采取防止雨水、地表水和外部泄漏油品下渗的措施，以地面硬化为主。输油管道采用防渗效果良好的双层钢质管，并在外表面涂环氧树脂防腐防渗。隔油池的防渗措施：全池四周内外壁用钢筋混凝土浇筑硬化防渗，全池涂环氧树脂</w:t>
            </w:r>
            <w:r>
              <w:rPr>
                <w:rFonts w:hint="eastAsia" w:eastAsia="仿宋_GB2312" w:cs="Times New Roman"/>
                <w:bCs/>
                <w:color w:val="auto"/>
                <w:sz w:val="24"/>
                <w:szCs w:val="24"/>
                <w:lang w:val="en-US" w:eastAsia="zh-CN"/>
              </w:rPr>
              <w:t>等材料</w:t>
            </w:r>
            <w:r>
              <w:rPr>
                <w:rFonts w:hint="default" w:ascii="Times New Roman" w:hAnsi="Times New Roman" w:eastAsia="仿宋_GB2312" w:cs="Times New Roman"/>
                <w:bCs/>
                <w:color w:val="auto"/>
                <w:sz w:val="24"/>
                <w:szCs w:val="24"/>
                <w:lang w:val="en-US" w:eastAsia="zh-CN"/>
              </w:rPr>
              <w:t>防腐防渗。油罐人孔操作井、卸油口井、加油机底槽等部位均有可能发生油品渗漏，也应采取相应防渗措施。</w:t>
            </w:r>
          </w:p>
          <w:p w14:paraId="5921116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一般污染区防渗措施：地面采取压实底层土，并在上铺设碎石层，最后在上层铺0~15cm的水泥进行硬化，或采取其他防渗衬层等措施保障各单元防渗层饱和渗透系数≤10</w:t>
            </w:r>
            <w:r>
              <w:rPr>
                <w:rFonts w:hint="default" w:ascii="Times New Roman" w:hAnsi="Times New Roman" w:eastAsia="仿宋_GB2312" w:cs="Times New Roman"/>
                <w:bCs/>
                <w:color w:val="auto"/>
                <w:sz w:val="24"/>
                <w:szCs w:val="24"/>
                <w:vertAlign w:val="superscript"/>
                <w:lang w:val="en-US" w:eastAsia="zh-CN"/>
              </w:rPr>
              <w:t>-7</w:t>
            </w:r>
            <w:r>
              <w:rPr>
                <w:rFonts w:hint="default" w:ascii="Times New Roman" w:hAnsi="Times New Roman" w:eastAsia="仿宋_GB2312" w:cs="Times New Roman"/>
                <w:bCs/>
                <w:color w:val="auto"/>
                <w:sz w:val="24"/>
                <w:szCs w:val="24"/>
                <w:lang w:val="en-US" w:eastAsia="zh-CN"/>
              </w:rPr>
              <w:t>cm/s。</w:t>
            </w:r>
          </w:p>
          <w:p w14:paraId="7C769A6E">
            <w:pPr>
              <w:tabs>
                <w:tab w:val="left" w:pos="3467"/>
              </w:tabs>
              <w:ind w:firstLine="482" w:firstLineChars="200"/>
              <w:jc w:val="center"/>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表4-1</w:t>
            </w:r>
            <w:r>
              <w:rPr>
                <w:rFonts w:hint="eastAsia" w:ascii="Times New Roman" w:hAnsi="Times New Roman" w:eastAsia="仿宋_GB2312" w:cs="Times New Roman"/>
                <w:b/>
                <w:bCs/>
                <w:color w:val="auto"/>
                <w:sz w:val="24"/>
                <w:szCs w:val="24"/>
                <w:lang w:val="en-US" w:eastAsia="zh-CN"/>
              </w:rPr>
              <w:t>9</w:t>
            </w:r>
            <w:r>
              <w:rPr>
                <w:rFonts w:hint="default" w:ascii="Times New Roman" w:hAnsi="Times New Roman" w:eastAsia="仿宋_GB2312" w:cs="Times New Roman"/>
                <w:b/>
                <w:bCs/>
                <w:color w:val="auto"/>
                <w:sz w:val="24"/>
                <w:szCs w:val="24"/>
                <w:lang w:val="en-US" w:eastAsia="zh-CN"/>
              </w:rPr>
              <w:t xml:space="preserve"> 本项目分区防渗一览表</w:t>
            </w:r>
          </w:p>
          <w:tbl>
            <w:tblPr>
              <w:tblStyle w:val="20"/>
              <w:tblW w:w="7946"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980"/>
              <w:gridCol w:w="1130"/>
              <w:gridCol w:w="3443"/>
            </w:tblGrid>
            <w:tr w14:paraId="1B17B75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3" w:type="dxa"/>
                  <w:tcBorders>
                    <w:tl2br w:val="nil"/>
                    <w:tr2bl w:val="nil"/>
                  </w:tcBorders>
                  <w:vAlign w:val="center"/>
                </w:tcPr>
                <w:p w14:paraId="2BA16D69">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防治分区</w:t>
                  </w:r>
                </w:p>
              </w:tc>
              <w:tc>
                <w:tcPr>
                  <w:tcW w:w="1980" w:type="dxa"/>
                  <w:tcBorders>
                    <w:tl2br w:val="nil"/>
                    <w:tr2bl w:val="nil"/>
                  </w:tcBorders>
                  <w:vAlign w:val="center"/>
                </w:tcPr>
                <w:p w14:paraId="154AF253">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装置或构筑物名称</w:t>
                  </w:r>
                </w:p>
              </w:tc>
              <w:tc>
                <w:tcPr>
                  <w:tcW w:w="1130" w:type="dxa"/>
                  <w:tcBorders>
                    <w:tl2br w:val="nil"/>
                    <w:tr2bl w:val="nil"/>
                  </w:tcBorders>
                  <w:vAlign w:val="center"/>
                </w:tcPr>
                <w:p w14:paraId="54111167">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防治区域</w:t>
                  </w:r>
                </w:p>
              </w:tc>
              <w:tc>
                <w:tcPr>
                  <w:tcW w:w="3443" w:type="dxa"/>
                  <w:tcBorders>
                    <w:tl2br w:val="nil"/>
                    <w:tr2bl w:val="nil"/>
                  </w:tcBorders>
                  <w:vAlign w:val="center"/>
                </w:tcPr>
                <w:p w14:paraId="579C1486">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bCs/>
                      <w:color w:val="auto"/>
                      <w:sz w:val="21"/>
                      <w:szCs w:val="21"/>
                      <w:vertAlign w:val="baseline"/>
                      <w:lang w:val="en-US" w:eastAsia="zh-CN"/>
                    </w:rPr>
                  </w:pPr>
                  <w:r>
                    <w:rPr>
                      <w:rFonts w:hint="default" w:ascii="Times New Roman" w:hAnsi="Times New Roman" w:eastAsia="仿宋_GB2312" w:cs="Times New Roman"/>
                      <w:b/>
                      <w:bCs/>
                      <w:color w:val="auto"/>
                      <w:sz w:val="21"/>
                      <w:szCs w:val="21"/>
                      <w:vertAlign w:val="baseline"/>
                      <w:lang w:val="en-US" w:eastAsia="zh-CN"/>
                    </w:rPr>
                    <w:t>防渗要求</w:t>
                  </w:r>
                </w:p>
              </w:tc>
            </w:tr>
            <w:tr w14:paraId="64FF94F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3" w:type="dxa"/>
                  <w:tcBorders>
                    <w:tl2br w:val="nil"/>
                    <w:tr2bl w:val="nil"/>
                  </w:tcBorders>
                  <w:vAlign w:val="center"/>
                </w:tcPr>
                <w:p w14:paraId="263E0E79">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重点防渗区</w:t>
                  </w:r>
                </w:p>
              </w:tc>
              <w:tc>
                <w:tcPr>
                  <w:tcW w:w="1980" w:type="dxa"/>
                  <w:tcBorders>
                    <w:tl2br w:val="nil"/>
                    <w:tr2bl w:val="nil"/>
                  </w:tcBorders>
                  <w:vAlign w:val="center"/>
                </w:tcPr>
                <w:p w14:paraId="3B92BFE8">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eastAsia" w:ascii="Times New Roman" w:hAnsi="Times New Roman" w:eastAsia="仿宋_GB2312" w:cs="Times New Roman"/>
                      <w:bCs/>
                      <w:color w:val="auto"/>
                      <w:sz w:val="21"/>
                      <w:szCs w:val="21"/>
                      <w:lang w:val="en-US" w:eastAsia="zh-CN"/>
                    </w:rPr>
                    <w:t>罩棚投影区（</w:t>
                  </w:r>
                  <w:r>
                    <w:rPr>
                      <w:rFonts w:hint="default" w:ascii="Times New Roman" w:hAnsi="Times New Roman" w:eastAsia="仿宋_GB2312" w:cs="Times New Roman"/>
                      <w:bCs/>
                      <w:color w:val="auto"/>
                      <w:sz w:val="21"/>
                      <w:szCs w:val="21"/>
                      <w:lang w:val="en-US" w:eastAsia="zh-CN"/>
                    </w:rPr>
                    <w:t>地下油罐区、加油区、输油管</w:t>
                  </w:r>
                  <w:r>
                    <w:rPr>
                      <w:rFonts w:hint="eastAsia" w:ascii="Times New Roman" w:hAnsi="Times New Roman" w:eastAsia="仿宋_GB2312" w:cs="Times New Roman"/>
                      <w:bCs/>
                      <w:color w:val="auto"/>
                      <w:sz w:val="21"/>
                      <w:szCs w:val="21"/>
                      <w:lang w:val="en-US" w:eastAsia="zh-CN"/>
                    </w:rPr>
                    <w:t>）</w:t>
                  </w:r>
                  <w:r>
                    <w:rPr>
                      <w:rFonts w:hint="default" w:ascii="Times New Roman" w:hAnsi="Times New Roman" w:eastAsia="仿宋_GB2312" w:cs="Times New Roman"/>
                      <w:bCs/>
                      <w:color w:val="auto"/>
                      <w:sz w:val="21"/>
                      <w:szCs w:val="21"/>
                      <w:lang w:val="en-US" w:eastAsia="zh-CN"/>
                    </w:rPr>
                    <w:t>、卸油区、LNG撬装设备区、隔油池</w:t>
                  </w:r>
                </w:p>
              </w:tc>
              <w:tc>
                <w:tcPr>
                  <w:tcW w:w="1130" w:type="dxa"/>
                  <w:tcBorders>
                    <w:tl2br w:val="nil"/>
                    <w:tr2bl w:val="nil"/>
                  </w:tcBorders>
                  <w:vAlign w:val="center"/>
                </w:tcPr>
                <w:p w14:paraId="341B4CDB">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地面、裙角、管沟</w:t>
                  </w:r>
                </w:p>
              </w:tc>
              <w:tc>
                <w:tcPr>
                  <w:tcW w:w="3443" w:type="dxa"/>
                  <w:tcBorders>
                    <w:tl2br w:val="nil"/>
                    <w:tr2bl w:val="nil"/>
                  </w:tcBorders>
                  <w:vAlign w:val="center"/>
                </w:tcPr>
                <w:p w14:paraId="6F986343">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等效黏土防渗层Mb≥6.0m，K≤1×10</w:t>
                  </w:r>
                  <w:r>
                    <w:rPr>
                      <w:rFonts w:hint="default" w:ascii="Times New Roman" w:hAnsi="Times New Roman" w:eastAsia="仿宋_GB2312" w:cs="Times New Roman"/>
                      <w:b w:val="0"/>
                      <w:bCs w:val="0"/>
                      <w:color w:val="auto"/>
                      <w:sz w:val="21"/>
                      <w:szCs w:val="21"/>
                      <w:vertAlign w:val="superscript"/>
                      <w:lang w:val="en-US" w:eastAsia="zh-CN"/>
                    </w:rPr>
                    <w:t>-7</w:t>
                  </w:r>
                  <w:r>
                    <w:rPr>
                      <w:rFonts w:hint="default" w:ascii="Times New Roman" w:hAnsi="Times New Roman" w:eastAsia="仿宋_GB2312" w:cs="Times New Roman"/>
                      <w:b w:val="0"/>
                      <w:bCs w:val="0"/>
                      <w:color w:val="auto"/>
                      <w:sz w:val="21"/>
                      <w:szCs w:val="21"/>
                      <w:vertAlign w:val="baseline"/>
                      <w:lang w:val="en-US" w:eastAsia="zh-CN"/>
                    </w:rPr>
                    <w:t>cm/s；或参照执行GB 18598执行</w:t>
                  </w:r>
                </w:p>
              </w:tc>
            </w:tr>
            <w:tr w14:paraId="259B24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3" w:type="dxa"/>
                  <w:tcBorders>
                    <w:tl2br w:val="nil"/>
                    <w:tr2bl w:val="nil"/>
                  </w:tcBorders>
                  <w:vAlign w:val="center"/>
                </w:tcPr>
                <w:p w14:paraId="5A98EFCC">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一般防渗区</w:t>
                  </w:r>
                </w:p>
              </w:tc>
              <w:tc>
                <w:tcPr>
                  <w:tcW w:w="1980" w:type="dxa"/>
                  <w:tcBorders>
                    <w:tl2br w:val="nil"/>
                    <w:tr2bl w:val="nil"/>
                  </w:tcBorders>
                  <w:vAlign w:val="center"/>
                </w:tcPr>
                <w:p w14:paraId="0B6EBC29">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Cs/>
                      <w:color w:val="auto"/>
                      <w:sz w:val="21"/>
                      <w:szCs w:val="21"/>
                      <w:lang w:val="en-US" w:eastAsia="zh-CN"/>
                    </w:rPr>
                    <w:t>站房及</w:t>
                  </w:r>
                  <w:r>
                    <w:rPr>
                      <w:rFonts w:hint="eastAsia" w:ascii="Times New Roman" w:hAnsi="Times New Roman" w:eastAsia="仿宋_GB2312" w:cs="Times New Roman"/>
                      <w:bCs/>
                      <w:color w:val="auto"/>
                      <w:sz w:val="21"/>
                      <w:szCs w:val="21"/>
                      <w:lang w:val="en-US" w:eastAsia="zh-CN"/>
                    </w:rPr>
                    <w:t>加油区</w:t>
                  </w:r>
                  <w:r>
                    <w:rPr>
                      <w:rFonts w:hint="default" w:ascii="Times New Roman" w:hAnsi="Times New Roman" w:eastAsia="仿宋_GB2312" w:cs="Times New Roman"/>
                      <w:bCs/>
                      <w:color w:val="auto"/>
                      <w:sz w:val="21"/>
                      <w:szCs w:val="21"/>
                      <w:lang w:val="en-US" w:eastAsia="zh-CN"/>
                    </w:rPr>
                    <w:t>路面</w:t>
                  </w:r>
                </w:p>
              </w:tc>
              <w:tc>
                <w:tcPr>
                  <w:tcW w:w="1130" w:type="dxa"/>
                  <w:tcBorders>
                    <w:tl2br w:val="nil"/>
                    <w:tr2bl w:val="nil"/>
                  </w:tcBorders>
                  <w:vAlign w:val="center"/>
                </w:tcPr>
                <w:p w14:paraId="7CCF0761">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地面</w:t>
                  </w:r>
                </w:p>
              </w:tc>
              <w:tc>
                <w:tcPr>
                  <w:tcW w:w="3443" w:type="dxa"/>
                  <w:tcBorders>
                    <w:tl2br w:val="nil"/>
                    <w:tr2bl w:val="nil"/>
                  </w:tcBorders>
                  <w:vAlign w:val="center"/>
                </w:tcPr>
                <w:p w14:paraId="44775F3C">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b w:val="0"/>
                      <w:bCs w:val="0"/>
                      <w:color w:val="auto"/>
                      <w:sz w:val="21"/>
                      <w:szCs w:val="21"/>
                      <w:vertAlign w:val="baseline"/>
                      <w:lang w:val="en-US" w:eastAsia="zh-CN"/>
                    </w:rPr>
                  </w:pPr>
                  <w:r>
                    <w:rPr>
                      <w:rFonts w:hint="default" w:ascii="Times New Roman" w:hAnsi="Times New Roman" w:eastAsia="仿宋_GB2312" w:cs="Times New Roman"/>
                      <w:b w:val="0"/>
                      <w:bCs w:val="0"/>
                      <w:color w:val="auto"/>
                      <w:sz w:val="21"/>
                      <w:szCs w:val="21"/>
                      <w:vertAlign w:val="baseline"/>
                      <w:lang w:val="en-US" w:eastAsia="zh-CN"/>
                    </w:rPr>
                    <w:t>等效黏土防渗层Mb≥1.5m，K≤1×10</w:t>
                  </w:r>
                  <w:r>
                    <w:rPr>
                      <w:rFonts w:hint="default" w:ascii="Times New Roman" w:hAnsi="Times New Roman" w:eastAsia="仿宋_GB2312" w:cs="Times New Roman"/>
                      <w:b w:val="0"/>
                      <w:bCs w:val="0"/>
                      <w:color w:val="auto"/>
                      <w:sz w:val="21"/>
                      <w:szCs w:val="21"/>
                      <w:vertAlign w:val="superscript"/>
                      <w:lang w:val="en-US" w:eastAsia="zh-CN"/>
                    </w:rPr>
                    <w:t>-7</w:t>
                  </w:r>
                  <w:r>
                    <w:rPr>
                      <w:rFonts w:hint="default" w:ascii="Times New Roman" w:hAnsi="Times New Roman" w:eastAsia="仿宋_GB2312" w:cs="Times New Roman"/>
                      <w:b w:val="0"/>
                      <w:bCs w:val="0"/>
                      <w:color w:val="auto"/>
                      <w:sz w:val="21"/>
                      <w:szCs w:val="21"/>
                      <w:vertAlign w:val="baseline"/>
                      <w:lang w:val="en-US" w:eastAsia="zh-CN"/>
                    </w:rPr>
                    <w:t>cm/s；或参照执行GB 16889执行</w:t>
                  </w:r>
                </w:p>
              </w:tc>
            </w:tr>
          </w:tbl>
          <w:p w14:paraId="2A5701A0">
            <w:pPr>
              <w:tabs>
                <w:tab w:val="left" w:pos="3467"/>
              </w:tabs>
              <w:jc w:val="both"/>
              <w:rPr>
                <w:rFonts w:hint="default" w:ascii="Times New Roman" w:hAnsi="Times New Roman" w:eastAsia="仿宋_GB2312" w:cs="Times New Roman"/>
                <w:b/>
                <w:bCs/>
                <w:color w:val="auto"/>
                <w:sz w:val="24"/>
                <w:szCs w:val="24"/>
                <w:lang w:val="en-US" w:eastAsia="zh-CN"/>
              </w:rPr>
            </w:pPr>
          </w:p>
          <w:p w14:paraId="0CD8DCD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项目按上述内容采取“源头控制、分区防渗”防治措施，可确保油品泄漏风险极小，且若发生泄漏也没有进入地下水、土壤的污染途径。因此，根据《建设项目环境影响报告表编制技术指南（污染影响类）（试行）》的相关要求，项目不需要开展地下水、土壤监测与评价。</w:t>
            </w:r>
          </w:p>
          <w:p w14:paraId="30CE5FCB">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6、生态</w:t>
            </w:r>
          </w:p>
          <w:p w14:paraId="66238AD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本项目规划区域用地性质为</w:t>
            </w:r>
            <w:r>
              <w:rPr>
                <w:rFonts w:hint="eastAsia" w:eastAsia="仿宋_GB2312" w:cs="Times New Roman"/>
                <w:bCs/>
                <w:color w:val="auto"/>
                <w:sz w:val="24"/>
                <w:szCs w:val="24"/>
                <w:lang w:val="en-US" w:eastAsia="zh-CN"/>
              </w:rPr>
              <w:t>商业服务业用地</w:t>
            </w:r>
            <w:r>
              <w:rPr>
                <w:rFonts w:hint="default" w:ascii="Times New Roman" w:hAnsi="Times New Roman" w:eastAsia="仿宋_GB2312" w:cs="Times New Roman"/>
                <w:bCs/>
                <w:color w:val="auto"/>
                <w:sz w:val="24"/>
                <w:szCs w:val="24"/>
                <w:lang w:val="en-US" w:eastAsia="zh-CN"/>
              </w:rPr>
              <w:t>，新增用地区域内不涉及生态保护目标。</w:t>
            </w:r>
          </w:p>
          <w:p w14:paraId="544B665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p>
          <w:p w14:paraId="719AF155">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7、环境风险</w:t>
            </w:r>
          </w:p>
          <w:p w14:paraId="415CDB7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见环境风险专项评价。</w:t>
            </w:r>
          </w:p>
          <w:p w14:paraId="4AB8EB6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p>
          <w:p w14:paraId="43D912EF">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8、电磁辐射环境影响分析</w:t>
            </w:r>
          </w:p>
          <w:p w14:paraId="7EAFE04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本项目不涉及电磁辐射环境影响分析。</w:t>
            </w:r>
          </w:p>
          <w:p w14:paraId="4156B538">
            <w:pPr>
              <w:pStyle w:val="2"/>
              <w:rPr>
                <w:rFonts w:hint="default"/>
                <w:color w:val="auto"/>
                <w:lang w:val="en-US" w:eastAsia="zh-CN"/>
              </w:rPr>
            </w:pPr>
          </w:p>
          <w:p w14:paraId="644AD926">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eastAsia" w:eastAsia="仿宋_GB2312" w:cs="Times New Roman"/>
                <w:b/>
                <w:bCs/>
                <w:color w:val="auto"/>
                <w:sz w:val="24"/>
                <w:szCs w:val="24"/>
                <w:highlight w:val="none"/>
                <w:lang w:val="en-US" w:eastAsia="zh-CN"/>
              </w:rPr>
              <w:t>9</w:t>
            </w:r>
            <w:r>
              <w:rPr>
                <w:rFonts w:hint="default" w:ascii="Times New Roman" w:hAnsi="Times New Roman" w:eastAsia="仿宋_GB2312" w:cs="Times New Roman"/>
                <w:b/>
                <w:bCs/>
                <w:color w:val="auto"/>
                <w:sz w:val="24"/>
                <w:szCs w:val="24"/>
                <w:highlight w:val="none"/>
                <w:lang w:val="en-US" w:eastAsia="zh-CN"/>
              </w:rPr>
              <w:t>、环保投资</w:t>
            </w:r>
          </w:p>
          <w:p w14:paraId="1C15F60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本项目总投资6055万元，环保投资约885.5万，占总投资额的14.6%。项目环保投资见下表：</w:t>
            </w:r>
          </w:p>
          <w:p w14:paraId="11B964B9">
            <w:pPr>
              <w:tabs>
                <w:tab w:val="left" w:pos="3467"/>
              </w:tabs>
              <w:ind w:firstLine="482" w:firstLineChars="200"/>
              <w:jc w:val="center"/>
              <w:rPr>
                <w:rFonts w:hint="default" w:ascii="Times New Roman" w:hAnsi="Times New Roman" w:eastAsia="仿宋_GB2312" w:cs="Times New Roman"/>
                <w:b/>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表4-2</w:t>
            </w:r>
            <w:r>
              <w:rPr>
                <w:rFonts w:hint="eastAsia" w:ascii="Times New Roman" w:hAnsi="Times New Roman" w:eastAsia="仿宋_GB2312" w:cs="Times New Roman"/>
                <w:b/>
                <w:bCs/>
                <w:color w:val="auto"/>
                <w:sz w:val="24"/>
                <w:szCs w:val="24"/>
                <w:lang w:val="en-US" w:eastAsia="zh-CN"/>
              </w:rPr>
              <w:t>0</w:t>
            </w:r>
            <w:r>
              <w:rPr>
                <w:rFonts w:hint="default" w:ascii="Times New Roman" w:hAnsi="Times New Roman" w:eastAsia="仿宋_GB2312" w:cs="Times New Roman"/>
                <w:b/>
                <w:bCs/>
                <w:color w:val="auto"/>
                <w:sz w:val="24"/>
                <w:szCs w:val="24"/>
                <w:lang w:val="en-US" w:eastAsia="zh-CN"/>
              </w:rPr>
              <w:t xml:space="preserve"> 建设项目环保投资估算表</w:t>
            </w:r>
          </w:p>
          <w:tbl>
            <w:tblPr>
              <w:tblStyle w:val="20"/>
              <w:tblW w:w="7946"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1669"/>
              <w:gridCol w:w="4106"/>
              <w:gridCol w:w="1082"/>
            </w:tblGrid>
            <w:tr w14:paraId="2EC2D54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9" w:type="dxa"/>
                  <w:tcBorders>
                    <w:tl2br w:val="nil"/>
                    <w:tr2bl w:val="nil"/>
                  </w:tcBorders>
                  <w:vAlign w:val="center"/>
                </w:tcPr>
                <w:p w14:paraId="060A6D67">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项目</w:t>
                  </w:r>
                </w:p>
              </w:tc>
              <w:tc>
                <w:tcPr>
                  <w:tcW w:w="1669" w:type="dxa"/>
                  <w:tcBorders>
                    <w:tl2br w:val="nil"/>
                    <w:tr2bl w:val="nil"/>
                  </w:tcBorders>
                  <w:vAlign w:val="center"/>
                </w:tcPr>
                <w:p w14:paraId="670BD300">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治理对象</w:t>
                  </w:r>
                </w:p>
              </w:tc>
              <w:tc>
                <w:tcPr>
                  <w:tcW w:w="4106" w:type="dxa"/>
                  <w:tcBorders>
                    <w:tl2br w:val="nil"/>
                    <w:tr2bl w:val="nil"/>
                  </w:tcBorders>
                  <w:vAlign w:val="center"/>
                </w:tcPr>
                <w:p w14:paraId="2242761D">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工程内容</w:t>
                  </w:r>
                </w:p>
              </w:tc>
              <w:tc>
                <w:tcPr>
                  <w:tcW w:w="1082" w:type="dxa"/>
                  <w:tcBorders>
                    <w:tl2br w:val="nil"/>
                    <w:tr2bl w:val="nil"/>
                  </w:tcBorders>
                  <w:vAlign w:val="center"/>
                </w:tcPr>
                <w:p w14:paraId="60C5F7AF">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环保投资</w:t>
                  </w:r>
                </w:p>
                <w:p w14:paraId="5A6F25C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（万元）</w:t>
                  </w:r>
                </w:p>
              </w:tc>
            </w:tr>
            <w:tr w14:paraId="182CD3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9" w:type="dxa"/>
                  <w:tcBorders>
                    <w:tl2br w:val="nil"/>
                    <w:tr2bl w:val="nil"/>
                  </w:tcBorders>
                  <w:vAlign w:val="center"/>
                </w:tcPr>
                <w:p w14:paraId="5EFD6E54">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废气</w:t>
                  </w:r>
                </w:p>
              </w:tc>
              <w:tc>
                <w:tcPr>
                  <w:tcW w:w="1669" w:type="dxa"/>
                  <w:tcBorders>
                    <w:tl2br w:val="nil"/>
                    <w:tr2bl w:val="nil"/>
                  </w:tcBorders>
                  <w:vAlign w:val="center"/>
                </w:tcPr>
                <w:p w14:paraId="33B88C5F">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卸油过程、储罐呼吸、加油过程</w:t>
                  </w:r>
                </w:p>
              </w:tc>
              <w:tc>
                <w:tcPr>
                  <w:tcW w:w="4106" w:type="dxa"/>
                  <w:tcBorders>
                    <w:tl2br w:val="nil"/>
                    <w:tr2bl w:val="nil"/>
                  </w:tcBorders>
                  <w:vAlign w:val="center"/>
                </w:tcPr>
                <w:p w14:paraId="13D4C61A">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二级油气回收装置及其相关配套设施，</w:t>
                  </w:r>
                </w:p>
                <w:p w14:paraId="4C864568">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放空管＞4m</w:t>
                  </w:r>
                </w:p>
              </w:tc>
              <w:tc>
                <w:tcPr>
                  <w:tcW w:w="1082" w:type="dxa"/>
                  <w:tcBorders>
                    <w:tl2br w:val="nil"/>
                    <w:tr2bl w:val="nil"/>
                  </w:tcBorders>
                  <w:vAlign w:val="center"/>
                </w:tcPr>
                <w:p w14:paraId="61B08B24">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40</w:t>
                  </w:r>
                </w:p>
              </w:tc>
            </w:tr>
            <w:tr w14:paraId="455DB95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9" w:type="dxa"/>
                  <w:vMerge w:val="restart"/>
                  <w:tcBorders>
                    <w:tl2br w:val="nil"/>
                    <w:tr2bl w:val="nil"/>
                  </w:tcBorders>
                  <w:vAlign w:val="center"/>
                </w:tcPr>
                <w:p w14:paraId="118D9A31">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废水</w:t>
                  </w:r>
                </w:p>
              </w:tc>
              <w:tc>
                <w:tcPr>
                  <w:tcW w:w="1669" w:type="dxa"/>
                  <w:tcBorders>
                    <w:tl2br w:val="nil"/>
                    <w:tr2bl w:val="nil"/>
                  </w:tcBorders>
                  <w:vAlign w:val="center"/>
                </w:tcPr>
                <w:p w14:paraId="7D803BC6">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生活污水</w:t>
                  </w:r>
                </w:p>
              </w:tc>
              <w:tc>
                <w:tcPr>
                  <w:tcW w:w="4106" w:type="dxa"/>
                  <w:tcBorders>
                    <w:tl2br w:val="nil"/>
                    <w:tr2bl w:val="nil"/>
                  </w:tcBorders>
                  <w:vAlign w:val="center"/>
                </w:tcPr>
                <w:p w14:paraId="2CE53612">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地埋式一体化污水处理装置及污水管网</w:t>
                  </w:r>
                </w:p>
              </w:tc>
              <w:tc>
                <w:tcPr>
                  <w:tcW w:w="1082" w:type="dxa"/>
                  <w:tcBorders>
                    <w:tl2br w:val="nil"/>
                    <w:tr2bl w:val="nil"/>
                  </w:tcBorders>
                  <w:vAlign w:val="center"/>
                </w:tcPr>
                <w:p w14:paraId="776B39C9">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20</w:t>
                  </w:r>
                </w:p>
              </w:tc>
            </w:tr>
            <w:tr w14:paraId="1899B7B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9" w:type="dxa"/>
                  <w:vMerge w:val="continue"/>
                  <w:tcBorders>
                    <w:tl2br w:val="nil"/>
                    <w:tr2bl w:val="nil"/>
                  </w:tcBorders>
                  <w:vAlign w:val="center"/>
                </w:tcPr>
                <w:p w14:paraId="5AFE52A1">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669" w:type="dxa"/>
                  <w:tcBorders>
                    <w:tl2br w:val="nil"/>
                    <w:tr2bl w:val="nil"/>
                  </w:tcBorders>
                  <w:vAlign w:val="center"/>
                </w:tcPr>
                <w:p w14:paraId="334086D6">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洗车废水、保洁废水、初期雨水</w:t>
                  </w:r>
                </w:p>
              </w:tc>
              <w:tc>
                <w:tcPr>
                  <w:tcW w:w="4106" w:type="dxa"/>
                  <w:tcBorders>
                    <w:tl2br w:val="nil"/>
                    <w:tr2bl w:val="nil"/>
                  </w:tcBorders>
                  <w:vAlign w:val="center"/>
                </w:tcPr>
                <w:p w14:paraId="07782C6F">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隔油沉淀池及收集管网</w:t>
                  </w:r>
                </w:p>
              </w:tc>
              <w:tc>
                <w:tcPr>
                  <w:tcW w:w="1082" w:type="dxa"/>
                  <w:tcBorders>
                    <w:tl2br w:val="nil"/>
                    <w:tr2bl w:val="nil"/>
                  </w:tcBorders>
                  <w:vAlign w:val="center"/>
                </w:tcPr>
                <w:p w14:paraId="54F5A1E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10</w:t>
                  </w:r>
                </w:p>
              </w:tc>
            </w:tr>
            <w:tr w14:paraId="78F0710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9" w:type="dxa"/>
                  <w:tcBorders>
                    <w:tl2br w:val="nil"/>
                    <w:tr2bl w:val="nil"/>
                  </w:tcBorders>
                  <w:vAlign w:val="center"/>
                </w:tcPr>
                <w:p w14:paraId="2AF9FD57">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噪声</w:t>
                  </w:r>
                </w:p>
              </w:tc>
              <w:tc>
                <w:tcPr>
                  <w:tcW w:w="1669" w:type="dxa"/>
                  <w:tcBorders>
                    <w:tl2br w:val="nil"/>
                    <w:tr2bl w:val="nil"/>
                  </w:tcBorders>
                  <w:vAlign w:val="center"/>
                </w:tcPr>
                <w:p w14:paraId="7C4A3E3B">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机械设备等</w:t>
                  </w:r>
                </w:p>
              </w:tc>
              <w:tc>
                <w:tcPr>
                  <w:tcW w:w="4106" w:type="dxa"/>
                  <w:tcBorders>
                    <w:tl2br w:val="nil"/>
                    <w:tr2bl w:val="nil"/>
                  </w:tcBorders>
                  <w:vAlign w:val="center"/>
                </w:tcPr>
                <w:p w14:paraId="3112662D">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选用低噪声设备，安装</w:t>
                  </w:r>
                  <w:r>
                    <w:rPr>
                      <w:rFonts w:hint="eastAsia" w:eastAsia="仿宋_GB2312" w:cs="Times New Roman"/>
                      <w:bCs/>
                      <w:color w:val="auto"/>
                      <w:sz w:val="21"/>
                      <w:szCs w:val="21"/>
                      <w:vertAlign w:val="baseline"/>
                      <w:lang w:val="en-US" w:eastAsia="zh-CN"/>
                    </w:rPr>
                    <w:t>减振</w:t>
                  </w:r>
                  <w:r>
                    <w:rPr>
                      <w:rFonts w:hint="default" w:ascii="Times New Roman" w:hAnsi="Times New Roman" w:eastAsia="仿宋_GB2312" w:cs="Times New Roman"/>
                      <w:bCs/>
                      <w:color w:val="auto"/>
                      <w:sz w:val="21"/>
                      <w:szCs w:val="21"/>
                      <w:vertAlign w:val="baseline"/>
                      <w:lang w:val="en-US" w:eastAsia="zh-CN"/>
                    </w:rPr>
                    <w:t>垫等</w:t>
                  </w:r>
                </w:p>
              </w:tc>
              <w:tc>
                <w:tcPr>
                  <w:tcW w:w="1082" w:type="dxa"/>
                  <w:tcBorders>
                    <w:tl2br w:val="nil"/>
                    <w:tr2bl w:val="nil"/>
                  </w:tcBorders>
                  <w:vAlign w:val="center"/>
                </w:tcPr>
                <w:p w14:paraId="2C55DA90">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5</w:t>
                  </w:r>
                </w:p>
              </w:tc>
            </w:tr>
            <w:tr w14:paraId="105B058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9" w:type="dxa"/>
                  <w:vMerge w:val="restart"/>
                  <w:tcBorders>
                    <w:tl2br w:val="nil"/>
                    <w:tr2bl w:val="nil"/>
                  </w:tcBorders>
                  <w:vAlign w:val="center"/>
                </w:tcPr>
                <w:p w14:paraId="3DBBD09C">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固废</w:t>
                  </w:r>
                </w:p>
              </w:tc>
              <w:tc>
                <w:tcPr>
                  <w:tcW w:w="1669" w:type="dxa"/>
                  <w:tcBorders>
                    <w:tl2br w:val="nil"/>
                    <w:tr2bl w:val="nil"/>
                  </w:tcBorders>
                  <w:vAlign w:val="center"/>
                </w:tcPr>
                <w:p w14:paraId="0AD949AF">
                  <w:pPr>
                    <w:keepNext w:val="0"/>
                    <w:keepLines w:val="0"/>
                    <w:pageBreakBefore w:val="0"/>
                    <w:widowControl w:val="0"/>
                    <w:numPr>
                      <w:ilvl w:val="0"/>
                      <w:numId w:val="0"/>
                    </w:numPr>
                    <w:kinsoku/>
                    <w:wordWrap/>
                    <w:overflowPunct/>
                    <w:topLinePunct w:val="0"/>
                    <w:autoSpaceDE/>
                    <w:autoSpaceDN/>
                    <w:bidi w:val="0"/>
                    <w:adjustRightInd w:val="0"/>
                    <w:snapToGrid w:val="0"/>
                    <w:ind w:left="0" w:leftChars="0" w:firstLine="0" w:firstLineChars="0"/>
                    <w:jc w:val="center"/>
                    <w:textAlignment w:val="auto"/>
                    <w:rPr>
                      <w:rFonts w:hint="default" w:ascii="Times New Roman" w:hAnsi="Times New Roman" w:eastAsia="仿宋_GB2312" w:cs="Times New Roman"/>
                      <w:bCs/>
                      <w:color w:val="auto"/>
                      <w:kern w:val="2"/>
                      <w:sz w:val="21"/>
                      <w:szCs w:val="21"/>
                      <w:vertAlign w:val="baseline"/>
                      <w:lang w:val="en-US" w:eastAsia="zh-CN" w:bidi="ar-SA"/>
                    </w:rPr>
                  </w:pPr>
                  <w:r>
                    <w:rPr>
                      <w:rFonts w:hint="default" w:ascii="Times New Roman" w:hAnsi="Times New Roman" w:eastAsia="仿宋_GB2312" w:cs="Times New Roman"/>
                      <w:bCs/>
                      <w:color w:val="auto"/>
                      <w:sz w:val="21"/>
                      <w:szCs w:val="21"/>
                      <w:vertAlign w:val="baseline"/>
                      <w:lang w:val="en-US" w:eastAsia="zh-CN"/>
                    </w:rPr>
                    <w:t>生活垃圾</w:t>
                  </w:r>
                </w:p>
              </w:tc>
              <w:tc>
                <w:tcPr>
                  <w:tcW w:w="4106" w:type="dxa"/>
                  <w:tcBorders>
                    <w:tl2br w:val="nil"/>
                    <w:tr2bl w:val="nil"/>
                  </w:tcBorders>
                  <w:vAlign w:val="center"/>
                </w:tcPr>
                <w:p w14:paraId="4AF77DA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委托清运</w:t>
                  </w:r>
                </w:p>
              </w:tc>
              <w:tc>
                <w:tcPr>
                  <w:tcW w:w="1082" w:type="dxa"/>
                  <w:tcBorders>
                    <w:tl2br w:val="nil"/>
                    <w:tr2bl w:val="nil"/>
                  </w:tcBorders>
                  <w:vAlign w:val="center"/>
                </w:tcPr>
                <w:p w14:paraId="404D9DB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0.5</w:t>
                  </w:r>
                </w:p>
              </w:tc>
            </w:tr>
            <w:tr w14:paraId="6BEAC77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9" w:type="dxa"/>
                  <w:vMerge w:val="continue"/>
                  <w:tcBorders>
                    <w:tl2br w:val="nil"/>
                    <w:tr2bl w:val="nil"/>
                  </w:tcBorders>
                  <w:vAlign w:val="center"/>
                </w:tcPr>
                <w:p w14:paraId="4DB2260A">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p>
              </w:tc>
              <w:tc>
                <w:tcPr>
                  <w:tcW w:w="1669" w:type="dxa"/>
                  <w:tcBorders>
                    <w:tl2br w:val="nil"/>
                    <w:tr2bl w:val="nil"/>
                  </w:tcBorders>
                  <w:vAlign w:val="center"/>
                </w:tcPr>
                <w:p w14:paraId="779AEA9B">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危险废物</w:t>
                  </w:r>
                </w:p>
              </w:tc>
              <w:tc>
                <w:tcPr>
                  <w:tcW w:w="4106" w:type="dxa"/>
                  <w:tcBorders>
                    <w:tl2br w:val="nil"/>
                    <w:tr2bl w:val="nil"/>
                  </w:tcBorders>
                  <w:vAlign w:val="center"/>
                </w:tcPr>
                <w:p w14:paraId="329DA745">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建立一个容积2m</w:t>
                  </w:r>
                  <w:r>
                    <w:rPr>
                      <w:rFonts w:hint="default" w:ascii="Times New Roman" w:hAnsi="Times New Roman" w:eastAsia="仿宋_GB2312" w:cs="Times New Roman"/>
                      <w:bCs/>
                      <w:color w:val="auto"/>
                      <w:sz w:val="21"/>
                      <w:szCs w:val="21"/>
                      <w:vertAlign w:val="superscript"/>
                      <w:lang w:val="en-US" w:eastAsia="zh-CN"/>
                    </w:rPr>
                    <w:t>3</w:t>
                  </w:r>
                  <w:r>
                    <w:rPr>
                      <w:rFonts w:hint="default" w:ascii="Times New Roman" w:hAnsi="Times New Roman" w:eastAsia="仿宋_GB2312" w:cs="Times New Roman"/>
                      <w:bCs/>
                      <w:color w:val="auto"/>
                      <w:sz w:val="21"/>
                      <w:szCs w:val="21"/>
                      <w:vertAlign w:val="baseline"/>
                      <w:lang w:val="en-US" w:eastAsia="zh-CN"/>
                    </w:rPr>
                    <w:t>的危废暂存箱。</w:t>
                  </w:r>
                </w:p>
                <w:p w14:paraId="6C65D29F">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油罐清理残液由专业油罐清理单位带走交给有相关资质的单位处理处置；</w:t>
                  </w:r>
                </w:p>
                <w:p w14:paraId="59440A49">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含油污泥定期清掏，集中收集，交有资质单位运输处理。</w:t>
                  </w:r>
                </w:p>
              </w:tc>
              <w:tc>
                <w:tcPr>
                  <w:tcW w:w="1082" w:type="dxa"/>
                  <w:tcBorders>
                    <w:tl2br w:val="nil"/>
                    <w:tr2bl w:val="nil"/>
                  </w:tcBorders>
                  <w:vAlign w:val="center"/>
                </w:tcPr>
                <w:p w14:paraId="28D2732B">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10</w:t>
                  </w:r>
                </w:p>
              </w:tc>
            </w:tr>
            <w:tr w14:paraId="639263C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89" w:type="dxa"/>
                  <w:tcBorders>
                    <w:tl2br w:val="nil"/>
                    <w:tr2bl w:val="nil"/>
                  </w:tcBorders>
                  <w:vAlign w:val="center"/>
                </w:tcPr>
                <w:p w14:paraId="40FE1FC0">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土壤、</w:t>
                  </w:r>
                </w:p>
                <w:p w14:paraId="0E2CA9F9">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地下水</w:t>
                  </w:r>
                </w:p>
              </w:tc>
              <w:tc>
                <w:tcPr>
                  <w:tcW w:w="5775" w:type="dxa"/>
                  <w:gridSpan w:val="2"/>
                  <w:tcBorders>
                    <w:tl2br w:val="nil"/>
                    <w:tr2bl w:val="nil"/>
                  </w:tcBorders>
                  <w:vAlign w:val="center"/>
                </w:tcPr>
                <w:p w14:paraId="68E65203">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双层储罐、双层复合管道防渗，埋地管道做加强防渗处理，设置高液位报警及液位检测设施，设置渗漏检测系统。按分区防渗要求进行地面硬化和防渗处理，厂区周边绿化建设。</w:t>
                  </w:r>
                </w:p>
              </w:tc>
              <w:tc>
                <w:tcPr>
                  <w:tcW w:w="1082" w:type="dxa"/>
                  <w:tcBorders>
                    <w:tl2br w:val="nil"/>
                    <w:tr2bl w:val="nil"/>
                  </w:tcBorders>
                  <w:vAlign w:val="center"/>
                </w:tcPr>
                <w:p w14:paraId="000F9988">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800</w:t>
                  </w:r>
                </w:p>
              </w:tc>
            </w:tr>
            <w:tr w14:paraId="0B272A0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64" w:type="dxa"/>
                  <w:gridSpan w:val="3"/>
                  <w:tcBorders>
                    <w:tl2br w:val="nil"/>
                    <w:tr2bl w:val="nil"/>
                  </w:tcBorders>
                  <w:vAlign w:val="center"/>
                </w:tcPr>
                <w:p w14:paraId="6E2A2559">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合计</w:t>
                  </w:r>
                </w:p>
              </w:tc>
              <w:tc>
                <w:tcPr>
                  <w:tcW w:w="1082" w:type="dxa"/>
                  <w:tcBorders>
                    <w:tl2br w:val="nil"/>
                    <w:tr2bl w:val="nil"/>
                  </w:tcBorders>
                  <w:vAlign w:val="center"/>
                </w:tcPr>
                <w:p w14:paraId="2227D1DD">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885.5</w:t>
                  </w:r>
                </w:p>
              </w:tc>
            </w:tr>
          </w:tbl>
          <w:p w14:paraId="6B511819">
            <w:pPr>
              <w:keepNext w:val="0"/>
              <w:keepLines w:val="0"/>
              <w:pageBreakBefore w:val="0"/>
              <w:widowControl w:val="0"/>
              <w:numPr>
                <w:ilvl w:val="0"/>
                <w:numId w:val="0"/>
              </w:numPr>
              <w:kinsoku/>
              <w:wordWrap/>
              <w:overflowPunct/>
              <w:topLinePunct w:val="0"/>
              <w:autoSpaceDE/>
              <w:autoSpaceDN/>
              <w:bidi w:val="0"/>
              <w:adjustRightInd w:val="0"/>
              <w:snapToGrid w:val="0"/>
              <w:textAlignment w:val="auto"/>
              <w:rPr>
                <w:rFonts w:hint="default" w:ascii="Times New Roman" w:hAnsi="Times New Roman" w:eastAsia="仿宋_GB2312" w:cs="Times New Roman"/>
                <w:bCs/>
                <w:color w:val="auto"/>
                <w:sz w:val="24"/>
                <w:szCs w:val="24"/>
                <w:lang w:val="en-US" w:eastAsia="zh-CN"/>
              </w:rPr>
            </w:pPr>
          </w:p>
          <w:p w14:paraId="1614AF14">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default" w:ascii="Times New Roman" w:hAnsi="Times New Roman" w:eastAsia="仿宋_GB2312" w:cs="Times New Roman"/>
                <w:b/>
                <w:bCs/>
                <w:color w:val="auto"/>
                <w:sz w:val="24"/>
                <w:szCs w:val="24"/>
                <w:highlight w:val="none"/>
                <w:lang w:val="en-US" w:eastAsia="zh-CN"/>
              </w:rPr>
            </w:pPr>
            <w:r>
              <w:rPr>
                <w:rFonts w:hint="default" w:ascii="Times New Roman" w:hAnsi="Times New Roman" w:eastAsia="仿宋_GB2312" w:cs="Times New Roman"/>
                <w:b/>
                <w:bCs/>
                <w:color w:val="auto"/>
                <w:sz w:val="24"/>
                <w:szCs w:val="24"/>
                <w:highlight w:val="none"/>
                <w:lang w:val="en-US" w:eastAsia="zh-CN"/>
              </w:rPr>
              <w:t>1</w:t>
            </w:r>
            <w:r>
              <w:rPr>
                <w:rFonts w:hint="eastAsia" w:eastAsia="仿宋_GB2312" w:cs="Times New Roman"/>
                <w:b/>
                <w:bCs/>
                <w:color w:val="auto"/>
                <w:sz w:val="24"/>
                <w:szCs w:val="24"/>
                <w:highlight w:val="none"/>
                <w:lang w:val="en-US" w:eastAsia="zh-CN"/>
              </w:rPr>
              <w:t>0</w:t>
            </w:r>
            <w:r>
              <w:rPr>
                <w:rFonts w:hint="default" w:ascii="Times New Roman" w:hAnsi="Times New Roman" w:eastAsia="仿宋_GB2312" w:cs="Times New Roman"/>
                <w:b/>
                <w:bCs/>
                <w:color w:val="auto"/>
                <w:sz w:val="24"/>
                <w:szCs w:val="24"/>
                <w:highlight w:val="none"/>
                <w:lang w:val="en-US" w:eastAsia="zh-CN"/>
              </w:rPr>
              <w:t>、建设项目环境影响评价与排污许可联动内容</w:t>
            </w:r>
          </w:p>
          <w:p w14:paraId="6571C51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Cs/>
                <w:color w:val="auto"/>
                <w:sz w:val="24"/>
                <w:szCs w:val="24"/>
                <w:lang w:val="en-US" w:eastAsia="zh-CN"/>
              </w:rPr>
              <w:t>根据《固定污染源排污许可分类管理名录（2019年版）》，本项目属于“四十二、零售业52—100.汽车、摩托车、零配件和燃料及其他动力销售”，排污许可申请类别为“</w:t>
            </w:r>
            <w:r>
              <w:rPr>
                <w:rFonts w:hint="eastAsia" w:ascii="Times New Roman" w:hAnsi="Times New Roman" w:eastAsia="仿宋_GB2312" w:cs="Times New Roman"/>
                <w:bCs/>
                <w:color w:val="auto"/>
                <w:sz w:val="24"/>
                <w:szCs w:val="24"/>
                <w:lang w:val="en-US" w:eastAsia="zh-CN"/>
              </w:rPr>
              <w:t>简化</w:t>
            </w:r>
            <w:r>
              <w:rPr>
                <w:rFonts w:hint="default" w:ascii="Times New Roman" w:hAnsi="Times New Roman" w:eastAsia="仿宋_GB2312" w:cs="Times New Roman"/>
                <w:bCs/>
                <w:color w:val="auto"/>
                <w:sz w:val="24"/>
                <w:szCs w:val="24"/>
                <w:lang w:val="en-US" w:eastAsia="zh-CN"/>
              </w:rPr>
              <w:t>管理”。</w:t>
            </w:r>
          </w:p>
          <w:p w14:paraId="12E75B92">
            <w:pPr>
              <w:tabs>
                <w:tab w:val="left" w:pos="3467"/>
              </w:tabs>
              <w:ind w:firstLine="482" w:firstLineChars="200"/>
              <w:jc w:val="center"/>
              <w:rPr>
                <w:rFonts w:hint="default" w:ascii="Times New Roman" w:hAnsi="Times New Roman" w:eastAsia="仿宋_GB2312" w:cs="Times New Roman"/>
                <w:bCs/>
                <w:color w:val="auto"/>
                <w:sz w:val="24"/>
                <w:szCs w:val="24"/>
                <w:lang w:val="en-US" w:eastAsia="zh-CN"/>
              </w:rPr>
            </w:pPr>
            <w:r>
              <w:rPr>
                <w:rFonts w:hint="default" w:ascii="Times New Roman" w:hAnsi="Times New Roman" w:eastAsia="仿宋_GB2312" w:cs="Times New Roman"/>
                <w:b/>
                <w:bCs/>
                <w:color w:val="auto"/>
                <w:sz w:val="24"/>
                <w:szCs w:val="24"/>
                <w:lang w:val="en-US" w:eastAsia="zh-CN"/>
              </w:rPr>
              <w:t>表4-2</w:t>
            </w:r>
            <w:r>
              <w:rPr>
                <w:rFonts w:hint="eastAsia" w:ascii="Times New Roman" w:hAnsi="Times New Roman" w:eastAsia="仿宋_GB2312" w:cs="Times New Roman"/>
                <w:b/>
                <w:bCs/>
                <w:color w:val="auto"/>
                <w:sz w:val="24"/>
                <w:szCs w:val="24"/>
                <w:lang w:val="en-US" w:eastAsia="zh-CN"/>
              </w:rPr>
              <w:t>1</w:t>
            </w:r>
            <w:r>
              <w:rPr>
                <w:rFonts w:hint="default" w:ascii="Times New Roman" w:hAnsi="Times New Roman" w:eastAsia="仿宋_GB2312" w:cs="Times New Roman"/>
                <w:b/>
                <w:bCs/>
                <w:color w:val="auto"/>
                <w:sz w:val="24"/>
                <w:szCs w:val="24"/>
                <w:lang w:val="en-US" w:eastAsia="zh-CN"/>
              </w:rPr>
              <w:t xml:space="preserve"> 固定污染源排污许可分类管理名录（2019年版）</w:t>
            </w:r>
          </w:p>
          <w:tbl>
            <w:tblPr>
              <w:tblStyle w:val="20"/>
              <w:tblW w:w="7946"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5"/>
              <w:gridCol w:w="2822"/>
              <w:gridCol w:w="1270"/>
              <w:gridCol w:w="1589"/>
              <w:gridCol w:w="1590"/>
            </w:tblGrid>
            <w:tr w14:paraId="675A5D0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shd w:val="clear" w:color="auto" w:fill="auto"/>
                <w:tblCellMar>
                  <w:top w:w="0" w:type="dxa"/>
                  <w:left w:w="108" w:type="dxa"/>
                  <w:bottom w:w="0" w:type="dxa"/>
                  <w:right w:w="108" w:type="dxa"/>
                </w:tblCellMar>
              </w:tblPrEx>
              <w:tc>
                <w:tcPr>
                  <w:tcW w:w="675" w:type="dxa"/>
                  <w:tcBorders>
                    <w:tl2br w:val="nil"/>
                    <w:tr2bl w:val="nil"/>
                  </w:tcBorders>
                  <w:shd w:val="clear" w:color="auto" w:fill="auto"/>
                  <w:vAlign w:val="center"/>
                </w:tcPr>
                <w:p w14:paraId="210179D8">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序号</w:t>
                  </w:r>
                </w:p>
              </w:tc>
              <w:tc>
                <w:tcPr>
                  <w:tcW w:w="2822" w:type="dxa"/>
                  <w:tcBorders>
                    <w:tl2br w:val="nil"/>
                    <w:tr2bl w:val="nil"/>
                  </w:tcBorders>
                  <w:shd w:val="clear" w:color="auto" w:fill="auto"/>
                  <w:vAlign w:val="center"/>
                </w:tcPr>
                <w:p w14:paraId="713A47FF">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行业类别</w:t>
                  </w:r>
                </w:p>
              </w:tc>
              <w:tc>
                <w:tcPr>
                  <w:tcW w:w="1270" w:type="dxa"/>
                  <w:tcBorders>
                    <w:tl2br w:val="nil"/>
                    <w:tr2bl w:val="nil"/>
                  </w:tcBorders>
                  <w:shd w:val="clear" w:color="auto" w:fill="auto"/>
                  <w:vAlign w:val="center"/>
                </w:tcPr>
                <w:p w14:paraId="48110374">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重点管理</w:t>
                  </w:r>
                </w:p>
              </w:tc>
              <w:tc>
                <w:tcPr>
                  <w:tcW w:w="1589" w:type="dxa"/>
                  <w:tcBorders>
                    <w:tl2br w:val="nil"/>
                    <w:tr2bl w:val="nil"/>
                  </w:tcBorders>
                  <w:shd w:val="clear" w:color="auto" w:fill="auto"/>
                  <w:vAlign w:val="center"/>
                </w:tcPr>
                <w:p w14:paraId="2C90D7DB">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简化管理</w:t>
                  </w:r>
                </w:p>
              </w:tc>
              <w:tc>
                <w:tcPr>
                  <w:tcW w:w="1590" w:type="dxa"/>
                  <w:tcBorders>
                    <w:tl2br w:val="nil"/>
                    <w:tr2bl w:val="nil"/>
                  </w:tcBorders>
                  <w:shd w:val="clear" w:color="auto" w:fill="auto"/>
                  <w:vAlign w:val="center"/>
                </w:tcPr>
                <w:p w14:paraId="54AA04E0">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
                      <w:bCs w:val="0"/>
                      <w:color w:val="auto"/>
                      <w:sz w:val="21"/>
                      <w:szCs w:val="21"/>
                      <w:vertAlign w:val="baseline"/>
                      <w:lang w:val="en-US" w:eastAsia="zh-CN"/>
                    </w:rPr>
                  </w:pPr>
                  <w:r>
                    <w:rPr>
                      <w:rFonts w:hint="default" w:ascii="Times New Roman" w:hAnsi="Times New Roman" w:eastAsia="仿宋_GB2312" w:cs="Times New Roman"/>
                      <w:b/>
                      <w:bCs w:val="0"/>
                      <w:color w:val="auto"/>
                      <w:sz w:val="21"/>
                      <w:szCs w:val="21"/>
                      <w:vertAlign w:val="baseline"/>
                      <w:lang w:val="en-US" w:eastAsia="zh-CN"/>
                    </w:rPr>
                    <w:t>登记管理</w:t>
                  </w:r>
                </w:p>
              </w:tc>
            </w:tr>
            <w:tr w14:paraId="45DBC4C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946" w:type="dxa"/>
                  <w:gridSpan w:val="5"/>
                  <w:tcBorders>
                    <w:tl2br w:val="nil"/>
                    <w:tr2bl w:val="nil"/>
                  </w:tcBorders>
                  <w:shd w:val="clear" w:color="auto" w:fill="auto"/>
                  <w:vAlign w:val="center"/>
                </w:tcPr>
                <w:p w14:paraId="0F9386BB">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四十二、零售业52</w:t>
                  </w:r>
                </w:p>
              </w:tc>
            </w:tr>
            <w:tr w14:paraId="7C5B742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5" w:type="dxa"/>
                  <w:tcBorders>
                    <w:tl2br w:val="nil"/>
                    <w:tr2bl w:val="nil"/>
                  </w:tcBorders>
                  <w:shd w:val="clear" w:color="auto" w:fill="auto"/>
                  <w:vAlign w:val="center"/>
                </w:tcPr>
                <w:p w14:paraId="19D27065">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100</w:t>
                  </w:r>
                </w:p>
              </w:tc>
              <w:tc>
                <w:tcPr>
                  <w:tcW w:w="2822" w:type="dxa"/>
                  <w:tcBorders>
                    <w:tl2br w:val="nil"/>
                    <w:tr2bl w:val="nil"/>
                  </w:tcBorders>
                  <w:shd w:val="clear" w:color="auto" w:fill="auto"/>
                  <w:vAlign w:val="center"/>
                </w:tcPr>
                <w:p w14:paraId="1ED66188">
                  <w:pPr>
                    <w:keepNext w:val="0"/>
                    <w:keepLines w:val="0"/>
                    <w:pageBreakBefore w:val="0"/>
                    <w:widowControl w:val="0"/>
                    <w:numPr>
                      <w:ilvl w:val="0"/>
                      <w:numId w:val="0"/>
                    </w:numPr>
                    <w:kinsoku/>
                    <w:wordWrap/>
                    <w:overflowPunct/>
                    <w:topLinePunct w:val="0"/>
                    <w:autoSpaceDE/>
                    <w:autoSpaceDN/>
                    <w:bidi w:val="0"/>
                    <w:adjustRightInd w:val="0"/>
                    <w:snapToGrid w:val="0"/>
                    <w:jc w:val="both"/>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lang w:val="en-US" w:eastAsia="zh-CN"/>
                    </w:rPr>
                    <w:t>汽车、摩托车、零配件和燃料及其他动力销售526</w:t>
                  </w:r>
                </w:p>
              </w:tc>
              <w:tc>
                <w:tcPr>
                  <w:tcW w:w="1270" w:type="dxa"/>
                  <w:tcBorders>
                    <w:tl2br w:val="nil"/>
                    <w:tr2bl w:val="nil"/>
                  </w:tcBorders>
                  <w:shd w:val="clear" w:color="auto" w:fill="auto"/>
                  <w:vAlign w:val="center"/>
                </w:tcPr>
                <w:p w14:paraId="2256DA09">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w:t>
                  </w:r>
                </w:p>
              </w:tc>
              <w:tc>
                <w:tcPr>
                  <w:tcW w:w="1589" w:type="dxa"/>
                  <w:tcBorders>
                    <w:tl2br w:val="nil"/>
                    <w:tr2bl w:val="nil"/>
                  </w:tcBorders>
                  <w:shd w:val="clear" w:color="auto" w:fill="D7D7D7" w:themeFill="background1" w:themeFillShade="D8"/>
                  <w:vAlign w:val="center"/>
                </w:tcPr>
                <w:p w14:paraId="703D958A">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位于城市建成区的加油站</w:t>
                  </w:r>
                </w:p>
              </w:tc>
              <w:tc>
                <w:tcPr>
                  <w:tcW w:w="1590" w:type="dxa"/>
                  <w:tcBorders>
                    <w:tl2br w:val="nil"/>
                    <w:tr2bl w:val="nil"/>
                  </w:tcBorders>
                  <w:shd w:val="clear" w:color="auto" w:fill="auto"/>
                  <w:vAlign w:val="center"/>
                </w:tcPr>
                <w:p w14:paraId="3AF1D780">
                  <w:pPr>
                    <w:keepNext w:val="0"/>
                    <w:keepLines w:val="0"/>
                    <w:pageBreakBefore w:val="0"/>
                    <w:widowControl w:val="0"/>
                    <w:numPr>
                      <w:ilvl w:val="0"/>
                      <w:numId w:val="0"/>
                    </w:numPr>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其他加油站</w:t>
                  </w:r>
                </w:p>
              </w:tc>
            </w:tr>
          </w:tbl>
          <w:p w14:paraId="35DDD3E9">
            <w:pPr>
              <w:keepNext w:val="0"/>
              <w:keepLines w:val="0"/>
              <w:pageBreakBefore w:val="0"/>
              <w:widowControl w:val="0"/>
              <w:numPr>
                <w:ilvl w:val="0"/>
                <w:numId w:val="0"/>
              </w:numPr>
              <w:kinsoku/>
              <w:wordWrap/>
              <w:overflowPunct/>
              <w:topLinePunct w:val="0"/>
              <w:autoSpaceDE/>
              <w:autoSpaceDN/>
              <w:bidi w:val="0"/>
              <w:adjustRightInd w:val="0"/>
              <w:snapToGrid w:val="0"/>
              <w:textAlignment w:val="auto"/>
              <w:rPr>
                <w:rFonts w:hint="default" w:ascii="Times New Roman" w:hAnsi="Times New Roman" w:eastAsia="仿宋_GB2312" w:cs="Times New Roman"/>
                <w:bCs/>
                <w:color w:val="auto"/>
                <w:sz w:val="24"/>
                <w:szCs w:val="24"/>
                <w:lang w:val="en-US" w:eastAsia="zh-CN"/>
              </w:rPr>
            </w:pPr>
          </w:p>
          <w:p w14:paraId="6DB963D2">
            <w:pPr>
              <w:keepNext w:val="0"/>
              <w:keepLines w:val="0"/>
              <w:pageBreakBefore w:val="0"/>
              <w:widowControl w:val="0"/>
              <w:numPr>
                <w:ilvl w:val="0"/>
                <w:numId w:val="0"/>
              </w:numPr>
              <w:kinsoku/>
              <w:wordWrap/>
              <w:overflowPunct/>
              <w:topLinePunct w:val="0"/>
              <w:autoSpaceDE/>
              <w:autoSpaceDN/>
              <w:bidi w:val="0"/>
              <w:adjustRightInd w:val="0"/>
              <w:snapToGrid w:val="0"/>
              <w:ind w:firstLine="480" w:firstLineChars="200"/>
              <w:textAlignment w:val="auto"/>
              <w:rPr>
                <w:rFonts w:hint="default" w:ascii="Times New Roman" w:hAnsi="Times New Roman" w:eastAsia="仿宋_GB2312" w:cs="Times New Roman"/>
                <w:bCs/>
                <w:color w:val="auto"/>
                <w:sz w:val="24"/>
                <w:szCs w:val="24"/>
                <w:lang w:val="en-US" w:eastAsia="zh-CN"/>
              </w:rPr>
            </w:pPr>
          </w:p>
        </w:tc>
      </w:tr>
    </w:tbl>
    <w:p w14:paraId="01B1C5CA">
      <w:pPr>
        <w:adjustRightInd w:val="0"/>
        <w:snapToGrid w:val="0"/>
        <w:spacing w:line="360" w:lineRule="auto"/>
        <w:rPr>
          <w:rFonts w:hint="eastAsia" w:ascii="宋体" w:cs="宋体"/>
          <w:b/>
          <w:color w:val="auto"/>
          <w:kern w:val="0"/>
          <w:sz w:val="28"/>
          <w:szCs w:val="28"/>
        </w:rPr>
        <w:sectPr>
          <w:pgSz w:w="11907" w:h="16840"/>
          <w:pgMar w:top="1701" w:right="1531" w:bottom="2127"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4F6FDABB">
      <w:pPr>
        <w:pStyle w:val="17"/>
        <w:jc w:val="center"/>
        <w:outlineLvl w:val="0"/>
        <w:rPr>
          <w:rFonts w:ascii="黑体" w:hAnsi="黑体" w:eastAsia="黑体"/>
          <w:snapToGrid w:val="0"/>
          <w:color w:val="auto"/>
          <w:sz w:val="30"/>
          <w:szCs w:val="30"/>
        </w:rPr>
      </w:pPr>
      <w:bookmarkStart w:id="7" w:name="_Toc23797"/>
      <w:r>
        <w:rPr>
          <w:rFonts w:hint="eastAsia" w:ascii="黑体" w:hAnsi="黑体" w:eastAsia="黑体"/>
          <w:snapToGrid w:val="0"/>
          <w:color w:val="auto"/>
          <w:sz w:val="30"/>
          <w:szCs w:val="30"/>
        </w:rPr>
        <w:t>五、</w:t>
      </w:r>
      <w:bookmarkStart w:id="8" w:name="_Hlk54167917"/>
      <w:r>
        <w:rPr>
          <w:rFonts w:hint="eastAsia" w:ascii="黑体" w:hAnsi="黑体" w:eastAsia="黑体"/>
          <w:snapToGrid w:val="0"/>
          <w:color w:val="auto"/>
          <w:sz w:val="30"/>
          <w:szCs w:val="30"/>
        </w:rPr>
        <w:t>环境保护措施监督检查清单</w:t>
      </w:r>
      <w:bookmarkEnd w:id="7"/>
      <w:bookmarkEnd w:id="8"/>
    </w:p>
    <w:tbl>
      <w:tblPr>
        <w:tblStyle w:val="1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07"/>
        <w:gridCol w:w="900"/>
        <w:gridCol w:w="1192"/>
        <w:gridCol w:w="1689"/>
        <w:gridCol w:w="1619"/>
        <w:gridCol w:w="2037"/>
      </w:tblGrid>
      <w:tr w14:paraId="2A002B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07" w:type="dxa"/>
            <w:tcBorders>
              <w:tl2br w:val="single" w:color="auto" w:sz="4" w:space="0"/>
            </w:tcBorders>
            <w:noWrap w:val="0"/>
            <w:vAlign w:val="top"/>
          </w:tcPr>
          <w:p w14:paraId="1232BAA6">
            <w:pPr>
              <w:adjustRightInd w:val="0"/>
              <w:snapToGrid w:val="0"/>
              <w:ind w:firstLine="84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内容</w:t>
            </w:r>
          </w:p>
          <w:p w14:paraId="66DA1237">
            <w:pPr>
              <w:adjustRightInd w:val="0"/>
              <w:snapToGrid w:val="0"/>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要素</w:t>
            </w:r>
          </w:p>
        </w:tc>
        <w:tc>
          <w:tcPr>
            <w:tcW w:w="2092" w:type="dxa"/>
            <w:gridSpan w:val="2"/>
            <w:noWrap w:val="0"/>
            <w:vAlign w:val="center"/>
          </w:tcPr>
          <w:p w14:paraId="697E9A0E">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排放口</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编号、</w:t>
            </w:r>
          </w:p>
          <w:p w14:paraId="57ECDC7F">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名称</w:t>
            </w:r>
            <w:r>
              <w:rPr>
                <w:rFonts w:hint="default" w:ascii="Times New Roman" w:hAnsi="Times New Roman" w:eastAsia="仿宋_GB2312" w:cs="Times New Roman"/>
                <w:color w:val="auto"/>
                <w:sz w:val="21"/>
                <w:szCs w:val="21"/>
                <w:lang w:eastAsia="zh-CN"/>
              </w:rPr>
              <w:t>）</w:t>
            </w:r>
            <w:r>
              <w:rPr>
                <w:rFonts w:hint="default" w:ascii="Times New Roman" w:hAnsi="Times New Roman" w:eastAsia="仿宋_GB2312" w:cs="Times New Roman"/>
                <w:color w:val="auto"/>
                <w:sz w:val="21"/>
                <w:szCs w:val="21"/>
              </w:rPr>
              <w:t>/污染源</w:t>
            </w:r>
          </w:p>
        </w:tc>
        <w:tc>
          <w:tcPr>
            <w:tcW w:w="1689" w:type="dxa"/>
            <w:noWrap w:val="0"/>
            <w:vAlign w:val="center"/>
          </w:tcPr>
          <w:p w14:paraId="1D62D016">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污染物项目</w:t>
            </w:r>
          </w:p>
        </w:tc>
        <w:tc>
          <w:tcPr>
            <w:tcW w:w="1619" w:type="dxa"/>
            <w:noWrap w:val="0"/>
            <w:vAlign w:val="center"/>
          </w:tcPr>
          <w:p w14:paraId="56D71C28">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环境保护措施</w:t>
            </w:r>
          </w:p>
        </w:tc>
        <w:tc>
          <w:tcPr>
            <w:tcW w:w="2037" w:type="dxa"/>
            <w:noWrap w:val="0"/>
            <w:vAlign w:val="center"/>
          </w:tcPr>
          <w:p w14:paraId="204EC0ED">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执行标准</w:t>
            </w:r>
          </w:p>
        </w:tc>
      </w:tr>
      <w:tr w14:paraId="10568C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07" w:type="dxa"/>
            <w:vMerge w:val="restart"/>
            <w:noWrap w:val="0"/>
            <w:vAlign w:val="center"/>
          </w:tcPr>
          <w:p w14:paraId="779B0E3A">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大气环境</w:t>
            </w:r>
          </w:p>
        </w:tc>
        <w:tc>
          <w:tcPr>
            <w:tcW w:w="2092" w:type="dxa"/>
            <w:gridSpan w:val="2"/>
            <w:noWrap w:val="0"/>
            <w:vAlign w:val="center"/>
          </w:tcPr>
          <w:p w14:paraId="44F91C3F">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油气回收系统</w:t>
            </w:r>
          </w:p>
        </w:tc>
        <w:tc>
          <w:tcPr>
            <w:tcW w:w="1689" w:type="dxa"/>
            <w:noWrap w:val="0"/>
            <w:vAlign w:val="center"/>
          </w:tcPr>
          <w:p w14:paraId="7AC4DA98">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气液比、液阻、密闭性、泄漏检测值</w:t>
            </w:r>
          </w:p>
        </w:tc>
        <w:tc>
          <w:tcPr>
            <w:tcW w:w="1619" w:type="dxa"/>
            <w:vMerge w:val="restart"/>
            <w:noWrap w:val="0"/>
            <w:vAlign w:val="center"/>
          </w:tcPr>
          <w:p w14:paraId="75FEF086">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油气回收系统</w:t>
            </w:r>
          </w:p>
        </w:tc>
        <w:tc>
          <w:tcPr>
            <w:tcW w:w="2037" w:type="dxa"/>
            <w:vMerge w:val="restart"/>
            <w:noWrap w:val="0"/>
            <w:vAlign w:val="center"/>
          </w:tcPr>
          <w:p w14:paraId="0AEB288B">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《加油站大气污染物排放标准》（GB 20952-2020）表3无组织排放限制要求及加油站油气回收系统控制要求</w:t>
            </w:r>
          </w:p>
        </w:tc>
      </w:tr>
      <w:tr w14:paraId="1087C1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07" w:type="dxa"/>
            <w:vMerge w:val="continue"/>
            <w:noWrap w:val="0"/>
            <w:vAlign w:val="center"/>
          </w:tcPr>
          <w:p w14:paraId="75E9E722">
            <w:pPr>
              <w:adjustRightInd w:val="0"/>
              <w:snapToGrid w:val="0"/>
              <w:jc w:val="center"/>
              <w:rPr>
                <w:rFonts w:hint="default" w:ascii="Times New Roman" w:hAnsi="Times New Roman" w:eastAsia="仿宋_GB2312" w:cs="Times New Roman"/>
                <w:color w:val="auto"/>
                <w:sz w:val="21"/>
                <w:szCs w:val="21"/>
              </w:rPr>
            </w:pPr>
          </w:p>
        </w:tc>
        <w:tc>
          <w:tcPr>
            <w:tcW w:w="900" w:type="dxa"/>
            <w:noWrap w:val="0"/>
            <w:vAlign w:val="center"/>
          </w:tcPr>
          <w:p w14:paraId="3933911C">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无组织废气</w:t>
            </w:r>
          </w:p>
        </w:tc>
        <w:tc>
          <w:tcPr>
            <w:tcW w:w="1192" w:type="dxa"/>
            <w:noWrap w:val="0"/>
            <w:vAlign w:val="center"/>
          </w:tcPr>
          <w:p w14:paraId="43C8EDD0">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储罐区、加油区</w:t>
            </w:r>
          </w:p>
        </w:tc>
        <w:tc>
          <w:tcPr>
            <w:tcW w:w="1689" w:type="dxa"/>
            <w:noWrap w:val="0"/>
            <w:vAlign w:val="center"/>
          </w:tcPr>
          <w:p w14:paraId="77E68357">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非甲烷总烃</w:t>
            </w:r>
          </w:p>
        </w:tc>
        <w:tc>
          <w:tcPr>
            <w:tcW w:w="1619" w:type="dxa"/>
            <w:vMerge w:val="continue"/>
            <w:noWrap w:val="0"/>
            <w:vAlign w:val="center"/>
          </w:tcPr>
          <w:p w14:paraId="23B3C12F">
            <w:pPr>
              <w:adjustRightInd w:val="0"/>
              <w:snapToGrid w:val="0"/>
              <w:jc w:val="center"/>
              <w:rPr>
                <w:rFonts w:hint="default" w:ascii="Times New Roman" w:hAnsi="Times New Roman" w:eastAsia="仿宋_GB2312" w:cs="Times New Roman"/>
                <w:color w:val="auto"/>
                <w:sz w:val="21"/>
                <w:szCs w:val="21"/>
              </w:rPr>
            </w:pPr>
          </w:p>
        </w:tc>
        <w:tc>
          <w:tcPr>
            <w:tcW w:w="2037" w:type="dxa"/>
            <w:vMerge w:val="continue"/>
            <w:noWrap w:val="0"/>
            <w:vAlign w:val="center"/>
          </w:tcPr>
          <w:p w14:paraId="7886797B">
            <w:pPr>
              <w:adjustRightInd w:val="0"/>
              <w:snapToGrid w:val="0"/>
              <w:jc w:val="center"/>
              <w:rPr>
                <w:rFonts w:hint="default" w:ascii="Times New Roman" w:hAnsi="Times New Roman" w:eastAsia="仿宋_GB2312" w:cs="Times New Roman"/>
                <w:color w:val="auto"/>
                <w:sz w:val="21"/>
                <w:szCs w:val="21"/>
              </w:rPr>
            </w:pPr>
          </w:p>
        </w:tc>
      </w:tr>
      <w:tr w14:paraId="415975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07" w:type="dxa"/>
            <w:vMerge w:val="restart"/>
            <w:noWrap w:val="0"/>
            <w:vAlign w:val="center"/>
          </w:tcPr>
          <w:p w14:paraId="78FDBAD0">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地表水环境</w:t>
            </w:r>
          </w:p>
        </w:tc>
        <w:tc>
          <w:tcPr>
            <w:tcW w:w="900" w:type="dxa"/>
            <w:vMerge w:val="restart"/>
            <w:noWrap w:val="0"/>
            <w:vAlign w:val="center"/>
          </w:tcPr>
          <w:p w14:paraId="3B2A9B2A">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DW001</w:t>
            </w:r>
          </w:p>
        </w:tc>
        <w:tc>
          <w:tcPr>
            <w:tcW w:w="1192" w:type="dxa"/>
            <w:noWrap w:val="0"/>
            <w:vAlign w:val="center"/>
          </w:tcPr>
          <w:p w14:paraId="6165479B">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生活污水</w:t>
            </w:r>
          </w:p>
        </w:tc>
        <w:tc>
          <w:tcPr>
            <w:tcW w:w="1689" w:type="dxa"/>
            <w:noWrap w:val="0"/>
            <w:vAlign w:val="center"/>
          </w:tcPr>
          <w:p w14:paraId="74B0E3E0">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Cs/>
                <w:color w:val="auto"/>
                <w:sz w:val="21"/>
                <w:szCs w:val="21"/>
                <w:vertAlign w:val="baseline"/>
                <w:lang w:val="en-US" w:eastAsia="zh-CN"/>
              </w:rPr>
              <w:t>COD、BOD</w:t>
            </w:r>
            <w:r>
              <w:rPr>
                <w:rFonts w:hint="default" w:ascii="Times New Roman" w:hAnsi="Times New Roman" w:eastAsia="仿宋_GB2312" w:cs="Times New Roman"/>
                <w:bCs/>
                <w:color w:val="auto"/>
                <w:sz w:val="21"/>
                <w:szCs w:val="21"/>
                <w:vertAlign w:val="subscript"/>
                <w:lang w:val="en-US" w:eastAsia="zh-CN"/>
              </w:rPr>
              <w:t>5</w:t>
            </w:r>
            <w:r>
              <w:rPr>
                <w:rFonts w:hint="default" w:ascii="Times New Roman" w:hAnsi="Times New Roman" w:eastAsia="仿宋_GB2312" w:cs="Times New Roman"/>
                <w:bCs/>
                <w:color w:val="auto"/>
                <w:sz w:val="21"/>
                <w:szCs w:val="21"/>
                <w:vertAlign w:val="baseline"/>
                <w:lang w:val="en-US" w:eastAsia="zh-CN"/>
              </w:rPr>
              <w:t>、氨氮</w:t>
            </w:r>
          </w:p>
        </w:tc>
        <w:tc>
          <w:tcPr>
            <w:tcW w:w="1619" w:type="dxa"/>
            <w:noWrap w:val="0"/>
            <w:vAlign w:val="center"/>
          </w:tcPr>
          <w:p w14:paraId="34D1FAD6">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地埋式一体化污水处理装置</w:t>
            </w:r>
          </w:p>
        </w:tc>
        <w:tc>
          <w:tcPr>
            <w:tcW w:w="2037" w:type="dxa"/>
            <w:vMerge w:val="restart"/>
            <w:noWrap w:val="0"/>
            <w:vAlign w:val="center"/>
          </w:tcPr>
          <w:p w14:paraId="4B3B20E6">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Cs/>
                <w:color w:val="auto"/>
                <w:sz w:val="21"/>
                <w:szCs w:val="21"/>
                <w:vertAlign w:val="baseline"/>
                <w:lang w:val="en-US" w:eastAsia="zh-CN"/>
              </w:rPr>
            </w:pPr>
            <w:r>
              <w:rPr>
                <w:rFonts w:hint="default" w:ascii="Times New Roman" w:hAnsi="Times New Roman" w:eastAsia="仿宋_GB2312" w:cs="Times New Roman"/>
                <w:bCs/>
                <w:color w:val="auto"/>
                <w:sz w:val="21"/>
                <w:szCs w:val="21"/>
                <w:vertAlign w:val="baseline"/>
                <w:lang w:val="en-US" w:eastAsia="zh-CN"/>
              </w:rPr>
              <w:t>《污水综合排放标准》（GB 8978-1996）表4三级排放标准及</w:t>
            </w:r>
          </w:p>
          <w:p w14:paraId="7FB6699B">
            <w:pPr>
              <w:keepNext w:val="0"/>
              <w:keepLines w:val="0"/>
              <w:pageBreakBefore w:val="0"/>
              <w:widowControl w:val="0"/>
              <w:tabs>
                <w:tab w:val="left" w:pos="2730"/>
              </w:tabs>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Cs/>
                <w:color w:val="auto"/>
                <w:sz w:val="21"/>
                <w:szCs w:val="21"/>
                <w:vertAlign w:val="baseline"/>
                <w:lang w:val="en-US" w:eastAsia="zh-CN"/>
              </w:rPr>
              <w:t>东至县尧城污水处理厂 纳管标准</w:t>
            </w:r>
          </w:p>
        </w:tc>
      </w:tr>
      <w:tr w14:paraId="2C3271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07" w:type="dxa"/>
            <w:vMerge w:val="continue"/>
            <w:noWrap w:val="0"/>
            <w:vAlign w:val="center"/>
          </w:tcPr>
          <w:p w14:paraId="3CE87B08">
            <w:pPr>
              <w:adjustRightInd w:val="0"/>
              <w:snapToGrid w:val="0"/>
              <w:jc w:val="center"/>
              <w:rPr>
                <w:rFonts w:hint="default" w:ascii="Times New Roman" w:hAnsi="Times New Roman" w:eastAsia="仿宋_GB2312" w:cs="Times New Roman"/>
                <w:color w:val="auto"/>
                <w:sz w:val="21"/>
                <w:szCs w:val="21"/>
              </w:rPr>
            </w:pPr>
          </w:p>
        </w:tc>
        <w:tc>
          <w:tcPr>
            <w:tcW w:w="900" w:type="dxa"/>
            <w:vMerge w:val="continue"/>
            <w:noWrap w:val="0"/>
            <w:vAlign w:val="center"/>
          </w:tcPr>
          <w:p w14:paraId="1AF035ED">
            <w:pPr>
              <w:adjustRightInd w:val="0"/>
              <w:snapToGrid w:val="0"/>
              <w:jc w:val="center"/>
              <w:rPr>
                <w:rFonts w:hint="default" w:ascii="Times New Roman" w:hAnsi="Times New Roman" w:eastAsia="仿宋_GB2312" w:cs="Times New Roman"/>
                <w:color w:val="auto"/>
                <w:sz w:val="21"/>
                <w:szCs w:val="21"/>
                <w:lang w:val="en-US" w:eastAsia="zh-CN"/>
              </w:rPr>
            </w:pPr>
          </w:p>
        </w:tc>
        <w:tc>
          <w:tcPr>
            <w:tcW w:w="1192" w:type="dxa"/>
            <w:noWrap w:val="0"/>
            <w:vAlign w:val="center"/>
          </w:tcPr>
          <w:p w14:paraId="6493B1EA">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洗车废水、保洁废水、初期雨水</w:t>
            </w:r>
          </w:p>
        </w:tc>
        <w:tc>
          <w:tcPr>
            <w:tcW w:w="1689" w:type="dxa"/>
            <w:noWrap w:val="0"/>
            <w:vAlign w:val="center"/>
          </w:tcPr>
          <w:p w14:paraId="7F38D8AE">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Cs/>
                <w:color w:val="auto"/>
                <w:sz w:val="21"/>
                <w:szCs w:val="21"/>
                <w:vertAlign w:val="baseline"/>
                <w:lang w:val="en-US" w:eastAsia="zh-CN"/>
              </w:rPr>
              <w:t>pH、SS、石油类、LAS</w:t>
            </w:r>
          </w:p>
        </w:tc>
        <w:tc>
          <w:tcPr>
            <w:tcW w:w="1619" w:type="dxa"/>
            <w:noWrap w:val="0"/>
            <w:vAlign w:val="center"/>
          </w:tcPr>
          <w:p w14:paraId="256F7268">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隔油沉淀池及收集管网</w:t>
            </w:r>
          </w:p>
        </w:tc>
        <w:tc>
          <w:tcPr>
            <w:tcW w:w="2037" w:type="dxa"/>
            <w:vMerge w:val="continue"/>
            <w:noWrap w:val="0"/>
            <w:vAlign w:val="center"/>
          </w:tcPr>
          <w:p w14:paraId="5DCF46EA">
            <w:pPr>
              <w:adjustRightInd w:val="0"/>
              <w:snapToGrid w:val="0"/>
              <w:jc w:val="center"/>
              <w:rPr>
                <w:rFonts w:hint="default" w:ascii="Times New Roman" w:hAnsi="Times New Roman" w:eastAsia="仿宋_GB2312" w:cs="Times New Roman"/>
                <w:color w:val="auto"/>
                <w:sz w:val="21"/>
                <w:szCs w:val="21"/>
              </w:rPr>
            </w:pPr>
          </w:p>
        </w:tc>
      </w:tr>
      <w:tr w14:paraId="6EB8DD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07" w:type="dxa"/>
            <w:vMerge w:val="restart"/>
            <w:noWrap w:val="0"/>
            <w:vAlign w:val="center"/>
          </w:tcPr>
          <w:p w14:paraId="2A9D9FDB">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声环境</w:t>
            </w:r>
          </w:p>
        </w:tc>
        <w:tc>
          <w:tcPr>
            <w:tcW w:w="2092" w:type="dxa"/>
            <w:gridSpan w:val="2"/>
            <w:noWrap w:val="0"/>
            <w:vAlign w:val="center"/>
          </w:tcPr>
          <w:p w14:paraId="0F3A2958">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机械噪声</w:t>
            </w:r>
          </w:p>
        </w:tc>
        <w:tc>
          <w:tcPr>
            <w:tcW w:w="1689" w:type="dxa"/>
            <w:noWrap w:val="0"/>
            <w:vAlign w:val="center"/>
          </w:tcPr>
          <w:p w14:paraId="5022AEE3">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bCs w:val="0"/>
                <w:color w:val="auto"/>
                <w:spacing w:val="-6"/>
                <w:sz w:val="21"/>
                <w:szCs w:val="21"/>
                <w:vertAlign w:val="baseline"/>
                <w:lang w:eastAsia="zh-CN"/>
              </w:rPr>
              <w:t>噪声</w:t>
            </w:r>
          </w:p>
        </w:tc>
        <w:tc>
          <w:tcPr>
            <w:tcW w:w="1619" w:type="dxa"/>
            <w:noWrap w:val="0"/>
            <w:vAlign w:val="center"/>
          </w:tcPr>
          <w:p w14:paraId="064CD298">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低噪声设备、</w:t>
            </w:r>
            <w:r>
              <w:rPr>
                <w:rFonts w:hint="eastAsia" w:eastAsia="仿宋_GB2312" w:cs="Times New Roman"/>
                <w:color w:val="auto"/>
                <w:sz w:val="21"/>
                <w:szCs w:val="21"/>
                <w:lang w:eastAsia="zh-CN"/>
              </w:rPr>
              <w:t>减振</w:t>
            </w:r>
            <w:r>
              <w:rPr>
                <w:rFonts w:hint="default" w:ascii="Times New Roman" w:hAnsi="Times New Roman" w:eastAsia="仿宋_GB2312" w:cs="Times New Roman"/>
                <w:color w:val="auto"/>
                <w:sz w:val="21"/>
                <w:szCs w:val="21"/>
                <w:lang w:eastAsia="zh-CN"/>
              </w:rPr>
              <w:t>垫等</w:t>
            </w:r>
          </w:p>
        </w:tc>
        <w:tc>
          <w:tcPr>
            <w:tcW w:w="2037" w:type="dxa"/>
            <w:vMerge w:val="restart"/>
            <w:noWrap w:val="0"/>
            <w:vAlign w:val="center"/>
          </w:tcPr>
          <w:p w14:paraId="53962F2A">
            <w:pPr>
              <w:pStyle w:val="51"/>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b w:val="0"/>
                <w:bCs w:val="0"/>
                <w:color w:val="auto"/>
                <w:spacing w:val="-6"/>
                <w:sz w:val="21"/>
                <w:szCs w:val="21"/>
                <w:vertAlign w:val="baseline"/>
                <w:lang w:val="en-US" w:eastAsia="zh-CN"/>
              </w:rPr>
            </w:pPr>
            <w:r>
              <w:rPr>
                <w:rFonts w:hint="default" w:ascii="Times New Roman" w:hAnsi="Times New Roman" w:eastAsia="仿宋_GB2312" w:cs="Times New Roman"/>
                <w:b w:val="0"/>
                <w:bCs w:val="0"/>
                <w:color w:val="auto"/>
                <w:spacing w:val="-6"/>
                <w:sz w:val="21"/>
                <w:szCs w:val="21"/>
                <w:vertAlign w:val="baseline"/>
                <w:lang w:eastAsia="zh-CN"/>
              </w:rPr>
              <w:t>《工业企业</w:t>
            </w:r>
            <w:r>
              <w:rPr>
                <w:rFonts w:hint="default" w:ascii="Times New Roman" w:hAnsi="Times New Roman" w:eastAsia="仿宋_GB2312" w:cs="Times New Roman"/>
                <w:b w:val="0"/>
                <w:bCs w:val="0"/>
                <w:color w:val="auto"/>
                <w:spacing w:val="-6"/>
                <w:sz w:val="21"/>
                <w:szCs w:val="21"/>
                <w:vertAlign w:val="baseline"/>
                <w:lang w:val="en-US" w:eastAsia="zh-CN"/>
              </w:rPr>
              <w:t>厂界环境噪声排放标准》</w:t>
            </w:r>
          </w:p>
          <w:p w14:paraId="0AD1853A">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bCs w:val="0"/>
                <w:color w:val="auto"/>
                <w:spacing w:val="-6"/>
                <w:sz w:val="21"/>
                <w:szCs w:val="21"/>
                <w:vertAlign w:val="baseline"/>
                <w:lang w:val="en-US" w:eastAsia="zh-CN"/>
              </w:rPr>
              <w:t>（GB 12348-2008）</w:t>
            </w:r>
          </w:p>
        </w:tc>
      </w:tr>
      <w:tr w14:paraId="6964B8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07" w:type="dxa"/>
            <w:vMerge w:val="continue"/>
            <w:noWrap w:val="0"/>
            <w:vAlign w:val="center"/>
          </w:tcPr>
          <w:p w14:paraId="3A51D568">
            <w:pPr>
              <w:adjustRightInd w:val="0"/>
              <w:snapToGrid w:val="0"/>
              <w:jc w:val="center"/>
              <w:rPr>
                <w:rFonts w:hint="default" w:ascii="Times New Roman" w:hAnsi="Times New Roman" w:eastAsia="仿宋_GB2312" w:cs="Times New Roman"/>
                <w:color w:val="auto"/>
                <w:sz w:val="21"/>
                <w:szCs w:val="21"/>
              </w:rPr>
            </w:pPr>
          </w:p>
        </w:tc>
        <w:tc>
          <w:tcPr>
            <w:tcW w:w="2092" w:type="dxa"/>
            <w:gridSpan w:val="2"/>
            <w:noWrap w:val="0"/>
            <w:vAlign w:val="center"/>
          </w:tcPr>
          <w:p w14:paraId="5D5A65F2">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车辆噪声</w:t>
            </w:r>
          </w:p>
        </w:tc>
        <w:tc>
          <w:tcPr>
            <w:tcW w:w="1689" w:type="dxa"/>
            <w:noWrap w:val="0"/>
            <w:vAlign w:val="center"/>
          </w:tcPr>
          <w:p w14:paraId="0D9F087F">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 w:val="0"/>
                <w:bCs w:val="0"/>
                <w:color w:val="auto"/>
                <w:spacing w:val="-6"/>
                <w:sz w:val="21"/>
                <w:szCs w:val="21"/>
                <w:vertAlign w:val="baseline"/>
                <w:lang w:eastAsia="zh-CN"/>
              </w:rPr>
              <w:t>噪声</w:t>
            </w:r>
          </w:p>
        </w:tc>
        <w:tc>
          <w:tcPr>
            <w:tcW w:w="1619" w:type="dxa"/>
            <w:noWrap w:val="0"/>
            <w:vAlign w:val="center"/>
          </w:tcPr>
          <w:p w14:paraId="47F45CBA">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道路维护保养、静止鸣笛标识</w:t>
            </w:r>
          </w:p>
        </w:tc>
        <w:tc>
          <w:tcPr>
            <w:tcW w:w="2037" w:type="dxa"/>
            <w:vMerge w:val="continue"/>
            <w:noWrap w:val="0"/>
            <w:vAlign w:val="center"/>
          </w:tcPr>
          <w:p w14:paraId="30259F5F">
            <w:pPr>
              <w:adjustRightInd w:val="0"/>
              <w:snapToGrid w:val="0"/>
              <w:jc w:val="center"/>
              <w:rPr>
                <w:rFonts w:hint="default" w:ascii="Times New Roman" w:hAnsi="Times New Roman" w:eastAsia="仿宋_GB2312" w:cs="Times New Roman"/>
                <w:color w:val="auto"/>
                <w:sz w:val="21"/>
                <w:szCs w:val="21"/>
              </w:rPr>
            </w:pPr>
          </w:p>
        </w:tc>
      </w:tr>
      <w:tr w14:paraId="3B0441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07" w:type="dxa"/>
            <w:noWrap w:val="0"/>
            <w:vAlign w:val="center"/>
          </w:tcPr>
          <w:p w14:paraId="76CFCB37">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电磁辐射</w:t>
            </w:r>
          </w:p>
        </w:tc>
        <w:tc>
          <w:tcPr>
            <w:tcW w:w="7437" w:type="dxa"/>
            <w:gridSpan w:val="5"/>
            <w:noWrap w:val="0"/>
            <w:vAlign w:val="center"/>
          </w:tcPr>
          <w:p w14:paraId="5CFC2E73">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无</w:t>
            </w:r>
          </w:p>
        </w:tc>
      </w:tr>
      <w:tr w14:paraId="2B6406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507" w:type="dxa"/>
            <w:vMerge w:val="restart"/>
            <w:noWrap w:val="0"/>
            <w:vAlign w:val="center"/>
          </w:tcPr>
          <w:p w14:paraId="12BEC6CF">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固体废物</w:t>
            </w:r>
          </w:p>
        </w:tc>
        <w:tc>
          <w:tcPr>
            <w:tcW w:w="2092" w:type="dxa"/>
            <w:gridSpan w:val="2"/>
            <w:noWrap w:val="0"/>
            <w:vAlign w:val="center"/>
          </w:tcPr>
          <w:p w14:paraId="4EAB49EF">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储油罐清理</w:t>
            </w:r>
          </w:p>
        </w:tc>
        <w:tc>
          <w:tcPr>
            <w:tcW w:w="1689" w:type="dxa"/>
            <w:noWrap w:val="0"/>
            <w:vAlign w:val="center"/>
          </w:tcPr>
          <w:p w14:paraId="49A84A2A">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油罐清理残液</w:t>
            </w:r>
          </w:p>
        </w:tc>
        <w:tc>
          <w:tcPr>
            <w:tcW w:w="3656" w:type="dxa"/>
            <w:gridSpan w:val="2"/>
            <w:noWrap w:val="0"/>
            <w:vAlign w:val="center"/>
          </w:tcPr>
          <w:p w14:paraId="2A6B2690">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由专业清罐单位带走，不在站内贮存</w:t>
            </w:r>
          </w:p>
        </w:tc>
      </w:tr>
      <w:tr w14:paraId="14EA4C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507" w:type="dxa"/>
            <w:vMerge w:val="continue"/>
            <w:noWrap w:val="0"/>
            <w:vAlign w:val="center"/>
          </w:tcPr>
          <w:p w14:paraId="5AD84441">
            <w:pPr>
              <w:adjustRightInd w:val="0"/>
              <w:snapToGrid w:val="0"/>
              <w:jc w:val="center"/>
              <w:rPr>
                <w:rFonts w:hint="default" w:ascii="Times New Roman" w:hAnsi="Times New Roman" w:eastAsia="仿宋_GB2312" w:cs="Times New Roman"/>
                <w:color w:val="auto"/>
                <w:sz w:val="21"/>
                <w:szCs w:val="21"/>
              </w:rPr>
            </w:pPr>
          </w:p>
        </w:tc>
        <w:tc>
          <w:tcPr>
            <w:tcW w:w="2092" w:type="dxa"/>
            <w:gridSpan w:val="2"/>
            <w:noWrap w:val="0"/>
            <w:vAlign w:val="center"/>
          </w:tcPr>
          <w:p w14:paraId="2841F965">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隔油池</w:t>
            </w:r>
          </w:p>
        </w:tc>
        <w:tc>
          <w:tcPr>
            <w:tcW w:w="1689" w:type="dxa"/>
            <w:noWrap w:val="0"/>
            <w:vAlign w:val="center"/>
          </w:tcPr>
          <w:p w14:paraId="77E750FE">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val="en-US" w:eastAsia="zh-CN"/>
              </w:rPr>
              <w:t>含油污泥</w:t>
            </w:r>
          </w:p>
        </w:tc>
        <w:tc>
          <w:tcPr>
            <w:tcW w:w="3656" w:type="dxa"/>
            <w:gridSpan w:val="2"/>
            <w:noWrap w:val="0"/>
            <w:vAlign w:val="center"/>
          </w:tcPr>
          <w:p w14:paraId="3B4CADAB">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由专业运维单位清掏，集中收集贮于危废暂存箱，交有资质单位处置</w:t>
            </w:r>
          </w:p>
        </w:tc>
      </w:tr>
      <w:tr w14:paraId="2B22E8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507" w:type="dxa"/>
            <w:vMerge w:val="continue"/>
            <w:noWrap w:val="0"/>
            <w:vAlign w:val="center"/>
          </w:tcPr>
          <w:p w14:paraId="28EC0946">
            <w:pPr>
              <w:adjustRightInd w:val="0"/>
              <w:snapToGrid w:val="0"/>
              <w:jc w:val="center"/>
              <w:rPr>
                <w:rFonts w:hint="default" w:ascii="Times New Roman" w:hAnsi="Times New Roman" w:eastAsia="仿宋_GB2312" w:cs="Times New Roman"/>
                <w:color w:val="auto"/>
                <w:sz w:val="21"/>
                <w:szCs w:val="21"/>
              </w:rPr>
            </w:pPr>
          </w:p>
        </w:tc>
        <w:tc>
          <w:tcPr>
            <w:tcW w:w="2092" w:type="dxa"/>
            <w:gridSpan w:val="2"/>
            <w:noWrap w:val="0"/>
            <w:vAlign w:val="center"/>
          </w:tcPr>
          <w:p w14:paraId="75703CFC">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员工生活</w:t>
            </w:r>
          </w:p>
        </w:tc>
        <w:tc>
          <w:tcPr>
            <w:tcW w:w="1689" w:type="dxa"/>
            <w:noWrap w:val="0"/>
            <w:vAlign w:val="center"/>
          </w:tcPr>
          <w:p w14:paraId="06D29BF3">
            <w:pPr>
              <w:adjustRightInd w:val="0"/>
              <w:snapToGrid w:val="0"/>
              <w:jc w:val="center"/>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z w:val="21"/>
                <w:szCs w:val="21"/>
                <w:lang w:eastAsia="zh-CN"/>
              </w:rPr>
              <w:t>生活垃圾</w:t>
            </w:r>
          </w:p>
        </w:tc>
        <w:tc>
          <w:tcPr>
            <w:tcW w:w="3656" w:type="dxa"/>
            <w:gridSpan w:val="2"/>
            <w:noWrap w:val="0"/>
            <w:vAlign w:val="center"/>
          </w:tcPr>
          <w:p w14:paraId="2EA8A1B6">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环卫部门清运</w:t>
            </w:r>
          </w:p>
        </w:tc>
      </w:tr>
      <w:tr w14:paraId="63E9E8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07" w:type="dxa"/>
            <w:noWrap w:val="0"/>
            <w:vAlign w:val="center"/>
          </w:tcPr>
          <w:p w14:paraId="790595A2">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土壤及地下水</w:t>
            </w:r>
          </w:p>
          <w:p w14:paraId="026CA53F">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污染防治措施</w:t>
            </w:r>
          </w:p>
        </w:tc>
        <w:tc>
          <w:tcPr>
            <w:tcW w:w="7437" w:type="dxa"/>
            <w:gridSpan w:val="5"/>
            <w:noWrap w:val="0"/>
            <w:vAlign w:val="center"/>
          </w:tcPr>
          <w:p w14:paraId="6FC203EE">
            <w:pPr>
              <w:adjustRightInd w:val="0"/>
              <w:snapToGrid w:val="0"/>
              <w:jc w:val="both"/>
              <w:rPr>
                <w:rFonts w:hint="default" w:ascii="Times New Roman" w:hAnsi="Times New Roman" w:eastAsia="仿宋_GB2312" w:cs="Times New Roman"/>
                <w:color w:val="auto"/>
                <w:spacing w:val="-5"/>
                <w:sz w:val="21"/>
                <w:szCs w:val="21"/>
              </w:rPr>
            </w:pPr>
            <w:r>
              <w:rPr>
                <w:rFonts w:hint="default" w:ascii="Times New Roman" w:hAnsi="Times New Roman" w:eastAsia="仿宋_GB2312" w:cs="Times New Roman"/>
                <w:color w:val="auto"/>
                <w:spacing w:val="-1"/>
                <w:sz w:val="21"/>
                <w:szCs w:val="21"/>
              </w:rPr>
              <w:t>实施分区防渗措施，</w:t>
            </w:r>
            <w:r>
              <w:rPr>
                <w:rFonts w:hint="default" w:ascii="Times New Roman" w:hAnsi="Times New Roman" w:eastAsia="仿宋_GB2312" w:cs="Times New Roman"/>
                <w:bCs/>
                <w:color w:val="auto"/>
                <w:sz w:val="21"/>
                <w:szCs w:val="21"/>
                <w:lang w:val="en-US" w:eastAsia="zh-CN"/>
              </w:rPr>
              <w:t>地下油罐区、卸油区、加油区、输油管线、LNG撬装设备区、隔油池</w:t>
            </w:r>
            <w:r>
              <w:rPr>
                <w:rFonts w:hint="default" w:ascii="Times New Roman" w:hAnsi="Times New Roman" w:eastAsia="仿宋_GB2312" w:cs="Times New Roman"/>
                <w:color w:val="auto"/>
                <w:sz w:val="21"/>
                <w:szCs w:val="21"/>
              </w:rPr>
              <w:t>等区域为重点防渗区</w:t>
            </w:r>
            <w:r>
              <w:rPr>
                <w:rFonts w:hint="default" w:ascii="Times New Roman" w:hAnsi="Times New Roman" w:eastAsia="仿宋_GB2312" w:cs="Times New Roman"/>
                <w:color w:val="auto"/>
                <w:spacing w:val="-1"/>
                <w:sz w:val="21"/>
                <w:szCs w:val="21"/>
              </w:rPr>
              <w:t>；</w:t>
            </w:r>
            <w:r>
              <w:rPr>
                <w:rFonts w:hint="default" w:ascii="Times New Roman" w:hAnsi="Times New Roman" w:eastAsia="仿宋_GB2312" w:cs="Times New Roman"/>
                <w:bCs/>
                <w:color w:val="auto"/>
                <w:sz w:val="21"/>
                <w:szCs w:val="21"/>
                <w:lang w:val="en-US" w:eastAsia="zh-CN"/>
              </w:rPr>
              <w:t>站房及站内路面</w:t>
            </w:r>
            <w:r>
              <w:rPr>
                <w:rFonts w:hint="default" w:ascii="Times New Roman" w:hAnsi="Times New Roman" w:eastAsia="仿宋_GB2312" w:cs="Times New Roman"/>
                <w:color w:val="auto"/>
                <w:spacing w:val="-1"/>
                <w:sz w:val="21"/>
                <w:szCs w:val="21"/>
              </w:rPr>
              <w:t>区域为一般防渗</w:t>
            </w:r>
            <w:r>
              <w:rPr>
                <w:rFonts w:hint="default" w:ascii="Times New Roman" w:hAnsi="Times New Roman" w:eastAsia="仿宋_GB2312" w:cs="Times New Roman"/>
                <w:color w:val="auto"/>
                <w:spacing w:val="-5"/>
                <w:sz w:val="21"/>
                <w:szCs w:val="21"/>
              </w:rPr>
              <w:t>区。</w:t>
            </w:r>
          </w:p>
          <w:p w14:paraId="71624481">
            <w:pPr>
              <w:adjustRightInd w:val="0"/>
              <w:snapToGrid w:val="0"/>
              <w:jc w:val="both"/>
              <w:rPr>
                <w:rFonts w:hint="default" w:ascii="Times New Roman" w:hAnsi="Times New Roman" w:eastAsia="仿宋_GB2312" w:cs="Times New Roman"/>
                <w:color w:val="auto"/>
                <w:sz w:val="21"/>
                <w:szCs w:val="21"/>
                <w:lang w:eastAsia="zh-CN"/>
              </w:rPr>
            </w:pPr>
            <w:r>
              <w:rPr>
                <w:rFonts w:hint="default" w:ascii="Times New Roman" w:hAnsi="Times New Roman" w:eastAsia="仿宋_GB2312" w:cs="Times New Roman"/>
                <w:color w:val="auto"/>
                <w:spacing w:val="-5"/>
                <w:sz w:val="21"/>
                <w:szCs w:val="21"/>
                <w:lang w:eastAsia="zh-CN"/>
              </w:rPr>
              <w:t>重点防渗区防渗要求：</w:t>
            </w:r>
            <w:r>
              <w:rPr>
                <w:rFonts w:hint="default" w:ascii="Times New Roman" w:hAnsi="Times New Roman" w:eastAsia="仿宋_GB2312" w:cs="Times New Roman"/>
                <w:b w:val="0"/>
                <w:bCs w:val="0"/>
                <w:color w:val="auto"/>
                <w:sz w:val="21"/>
                <w:szCs w:val="21"/>
                <w:vertAlign w:val="baseline"/>
                <w:lang w:val="en-US" w:eastAsia="zh-CN"/>
              </w:rPr>
              <w:t>等效黏土防渗层Mb≥6.0m，K≤1×10</w:t>
            </w:r>
            <w:r>
              <w:rPr>
                <w:rFonts w:hint="default" w:ascii="Times New Roman" w:hAnsi="Times New Roman" w:eastAsia="仿宋_GB2312" w:cs="Times New Roman"/>
                <w:b w:val="0"/>
                <w:bCs w:val="0"/>
                <w:color w:val="auto"/>
                <w:sz w:val="21"/>
                <w:szCs w:val="21"/>
                <w:vertAlign w:val="superscript"/>
                <w:lang w:val="en-US" w:eastAsia="zh-CN"/>
              </w:rPr>
              <w:t>-7</w:t>
            </w:r>
            <w:r>
              <w:rPr>
                <w:rFonts w:hint="default" w:ascii="Times New Roman" w:hAnsi="Times New Roman" w:eastAsia="仿宋_GB2312" w:cs="Times New Roman"/>
                <w:b w:val="0"/>
                <w:bCs w:val="0"/>
                <w:color w:val="auto"/>
                <w:sz w:val="21"/>
                <w:szCs w:val="21"/>
                <w:vertAlign w:val="baseline"/>
                <w:lang w:val="en-US" w:eastAsia="zh-CN"/>
              </w:rPr>
              <w:t>cm/s；或参照执行GB 18598执行。一般防渗区防渗要求：等效黏土防渗层Mb≥1.5m，K≤1×10</w:t>
            </w:r>
            <w:r>
              <w:rPr>
                <w:rFonts w:hint="default" w:ascii="Times New Roman" w:hAnsi="Times New Roman" w:eastAsia="仿宋_GB2312" w:cs="Times New Roman"/>
                <w:b w:val="0"/>
                <w:bCs w:val="0"/>
                <w:color w:val="auto"/>
                <w:sz w:val="21"/>
                <w:szCs w:val="21"/>
                <w:vertAlign w:val="superscript"/>
                <w:lang w:val="en-US" w:eastAsia="zh-CN"/>
              </w:rPr>
              <w:t>-7</w:t>
            </w:r>
            <w:r>
              <w:rPr>
                <w:rFonts w:hint="default" w:ascii="Times New Roman" w:hAnsi="Times New Roman" w:eastAsia="仿宋_GB2312" w:cs="Times New Roman"/>
                <w:b w:val="0"/>
                <w:bCs w:val="0"/>
                <w:color w:val="auto"/>
                <w:sz w:val="21"/>
                <w:szCs w:val="21"/>
                <w:vertAlign w:val="baseline"/>
                <w:lang w:val="en-US" w:eastAsia="zh-CN"/>
              </w:rPr>
              <w:t>cm/s；或参照执行GB 16889执行。</w:t>
            </w:r>
          </w:p>
        </w:tc>
      </w:tr>
      <w:tr w14:paraId="25B4C6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507" w:type="dxa"/>
            <w:noWrap w:val="0"/>
            <w:vAlign w:val="center"/>
          </w:tcPr>
          <w:p w14:paraId="2C320E0A">
            <w:pPr>
              <w:adjustRightInd w:val="0"/>
              <w:snapToGrid w:val="0"/>
              <w:jc w:val="center"/>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生态保护措施</w:t>
            </w:r>
          </w:p>
        </w:tc>
        <w:tc>
          <w:tcPr>
            <w:tcW w:w="7437" w:type="dxa"/>
            <w:gridSpan w:val="5"/>
            <w:noWrap w:val="0"/>
            <w:vAlign w:val="center"/>
          </w:tcPr>
          <w:p w14:paraId="4E0571D1">
            <w:pPr>
              <w:adjustRightInd w:val="0"/>
              <w:snapToGrid w:val="0"/>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w:t>
            </w:r>
          </w:p>
        </w:tc>
      </w:tr>
      <w:tr w14:paraId="4C8E9D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507" w:type="dxa"/>
            <w:noWrap w:val="0"/>
            <w:vAlign w:val="center"/>
          </w:tcPr>
          <w:p w14:paraId="7223F4F0">
            <w:pPr>
              <w:adjustRightInd w:val="0"/>
              <w:snapToGrid w:val="0"/>
              <w:jc w:val="center"/>
              <w:rPr>
                <w:rFonts w:hint="default" w:ascii="Times New Roman" w:hAnsi="Times New Roman" w:eastAsia="仿宋_GB2312" w:cs="Times New Roman"/>
                <w:color w:val="auto"/>
                <w:spacing w:val="-8"/>
                <w:sz w:val="21"/>
                <w:szCs w:val="21"/>
              </w:rPr>
            </w:pPr>
            <w:r>
              <w:rPr>
                <w:rFonts w:hint="default" w:ascii="Times New Roman" w:hAnsi="Times New Roman" w:eastAsia="仿宋_GB2312" w:cs="Times New Roman"/>
                <w:color w:val="auto"/>
                <w:spacing w:val="-8"/>
                <w:sz w:val="21"/>
                <w:szCs w:val="21"/>
              </w:rPr>
              <w:t>环境风险</w:t>
            </w:r>
          </w:p>
          <w:p w14:paraId="245AB928">
            <w:pPr>
              <w:adjustRightInd w:val="0"/>
              <w:snapToGrid w:val="0"/>
              <w:jc w:val="center"/>
              <w:rPr>
                <w:rFonts w:hint="default" w:ascii="Times New Roman" w:hAnsi="Times New Roman" w:eastAsia="仿宋_GB2312" w:cs="Times New Roman"/>
                <w:color w:val="auto"/>
                <w:spacing w:val="-8"/>
                <w:sz w:val="21"/>
                <w:szCs w:val="21"/>
              </w:rPr>
            </w:pPr>
            <w:r>
              <w:rPr>
                <w:rFonts w:hint="default" w:ascii="Times New Roman" w:hAnsi="Times New Roman" w:eastAsia="仿宋_GB2312" w:cs="Times New Roman"/>
                <w:color w:val="auto"/>
                <w:spacing w:val="-8"/>
                <w:sz w:val="21"/>
                <w:szCs w:val="21"/>
              </w:rPr>
              <w:t>防范措施</w:t>
            </w:r>
          </w:p>
        </w:tc>
        <w:tc>
          <w:tcPr>
            <w:tcW w:w="7437" w:type="dxa"/>
            <w:gridSpan w:val="5"/>
            <w:noWrap w:val="0"/>
            <w:vAlign w:val="center"/>
          </w:tcPr>
          <w:p w14:paraId="6299A822">
            <w:pPr>
              <w:keepNext w:val="0"/>
              <w:keepLines w:val="0"/>
              <w:pageBreakBefore w:val="0"/>
              <w:widowControl w:val="0"/>
              <w:tabs>
                <w:tab w:val="left" w:pos="3467"/>
              </w:tabs>
              <w:kinsoku/>
              <w:wordWrap/>
              <w:overflowPunct/>
              <w:topLinePunct w:val="0"/>
              <w:autoSpaceDE/>
              <w:autoSpaceDN/>
              <w:bidi w:val="0"/>
              <w:adjustRightInd/>
              <w:snapToGrid/>
              <w:jc w:val="center"/>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bCs/>
                <w:color w:val="auto"/>
                <w:sz w:val="21"/>
                <w:szCs w:val="21"/>
                <w:vertAlign w:val="baseline"/>
                <w:lang w:val="en-US" w:eastAsia="zh-CN"/>
              </w:rPr>
              <w:t>采用双层储油罐、双层复合管道防止渗漏，埋地钢制管道做加强级防腐，设置渗漏检测设备，设液位报警装置和液位检测设施；合理总图布置及建筑风险防范，加强管理，严格规范操作；编制并定期演练《突发环境事件应急预案》。</w:t>
            </w:r>
          </w:p>
        </w:tc>
      </w:tr>
      <w:tr w14:paraId="39D23F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64" w:hRule="atLeast"/>
          <w:jc w:val="center"/>
        </w:trPr>
        <w:tc>
          <w:tcPr>
            <w:tcW w:w="1507" w:type="dxa"/>
            <w:noWrap w:val="0"/>
            <w:vAlign w:val="center"/>
          </w:tcPr>
          <w:p w14:paraId="2C9D2D89">
            <w:pPr>
              <w:adjustRightInd w:val="0"/>
              <w:snapToGrid w:val="0"/>
              <w:jc w:val="center"/>
              <w:rPr>
                <w:rFonts w:hint="default" w:ascii="Times New Roman" w:hAnsi="Times New Roman" w:eastAsia="仿宋_GB2312" w:cs="Times New Roman"/>
                <w:color w:val="auto"/>
                <w:spacing w:val="-8"/>
                <w:sz w:val="21"/>
                <w:szCs w:val="21"/>
              </w:rPr>
            </w:pPr>
            <w:r>
              <w:rPr>
                <w:rFonts w:hint="default" w:ascii="Times New Roman" w:hAnsi="Times New Roman" w:eastAsia="仿宋_GB2312" w:cs="Times New Roman"/>
                <w:color w:val="auto"/>
                <w:spacing w:val="-8"/>
                <w:sz w:val="21"/>
                <w:szCs w:val="21"/>
              </w:rPr>
              <w:t>其他环境</w:t>
            </w:r>
          </w:p>
          <w:p w14:paraId="06E7A14E">
            <w:pPr>
              <w:adjustRightInd w:val="0"/>
              <w:snapToGrid w:val="0"/>
              <w:jc w:val="center"/>
              <w:rPr>
                <w:rFonts w:hint="default" w:ascii="Times New Roman" w:hAnsi="Times New Roman" w:eastAsia="仿宋_GB2312" w:cs="Times New Roman"/>
                <w:color w:val="auto"/>
                <w:spacing w:val="-8"/>
                <w:sz w:val="21"/>
                <w:szCs w:val="21"/>
              </w:rPr>
            </w:pPr>
            <w:r>
              <w:rPr>
                <w:rFonts w:hint="default" w:ascii="Times New Roman" w:hAnsi="Times New Roman" w:eastAsia="仿宋_GB2312" w:cs="Times New Roman"/>
                <w:color w:val="auto"/>
                <w:spacing w:val="-8"/>
                <w:sz w:val="21"/>
                <w:szCs w:val="21"/>
              </w:rPr>
              <w:t>管理要求</w:t>
            </w:r>
          </w:p>
        </w:tc>
        <w:tc>
          <w:tcPr>
            <w:tcW w:w="7437" w:type="dxa"/>
            <w:gridSpan w:val="5"/>
            <w:noWrap w:val="0"/>
            <w:vAlign w:val="center"/>
          </w:tcPr>
          <w:p w14:paraId="33E16E52">
            <w:pPr>
              <w:keepNext w:val="0"/>
              <w:keepLines w:val="0"/>
              <w:pageBreakBefore w:val="0"/>
              <w:widowControl w:val="0"/>
              <w:numPr>
                <w:ilvl w:val="0"/>
                <w:numId w:val="12"/>
              </w:numPr>
              <w:kinsoku/>
              <w:wordWrap/>
              <w:overflowPunct/>
              <w:topLinePunct w:val="0"/>
              <w:autoSpaceDE/>
              <w:autoSpaceDN/>
              <w:bidi w:val="0"/>
              <w:adjustRightInd/>
              <w:snapToGrid/>
              <w:spacing w:before="157" w:beforeLines="50" w:line="240" w:lineRule="auto"/>
              <w:ind w:firstLine="0" w:firstLineChars="0"/>
              <w:jc w:val="both"/>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rPr>
              <w:t>组织贯彻国家及地方的有关环保方针、政策法令和条例，搞好环境教育和技术培训，提高公司职工的环保意识和技术水平，提高污染控制的责任心。</w:t>
            </w:r>
          </w:p>
          <w:p w14:paraId="363C5F48">
            <w:pPr>
              <w:keepNext w:val="0"/>
              <w:keepLines w:val="0"/>
              <w:pageBreakBefore w:val="0"/>
              <w:widowControl w:val="0"/>
              <w:numPr>
                <w:ilvl w:val="0"/>
                <w:numId w:val="12"/>
              </w:numPr>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进一步健全环保组织机构，完善各项环境保护规章制度和环境保护基础台</w:t>
            </w:r>
            <w:r>
              <w:rPr>
                <w:rFonts w:hint="eastAsia" w:ascii="Times New Roman" w:hAnsi="Times New Roman" w:eastAsia="仿宋_GB2312" w:cs="Times New Roman"/>
                <w:color w:val="auto"/>
                <w:sz w:val="21"/>
                <w:szCs w:val="21"/>
                <w:lang w:eastAsia="zh-CN"/>
              </w:rPr>
              <w:t>账</w:t>
            </w:r>
            <w:r>
              <w:rPr>
                <w:rFonts w:hint="default" w:ascii="Times New Roman" w:hAnsi="Times New Roman" w:eastAsia="仿宋_GB2312" w:cs="Times New Roman"/>
                <w:color w:val="auto"/>
                <w:sz w:val="21"/>
                <w:szCs w:val="21"/>
                <w:lang w:eastAsia="zh-CN"/>
              </w:rPr>
              <w:t>、档案，规范排污口设置，明确各岗位环保责任，强化日常监督管理。</w:t>
            </w:r>
          </w:p>
          <w:p w14:paraId="25580808">
            <w:pPr>
              <w:keepNext w:val="0"/>
              <w:keepLines w:val="0"/>
              <w:pageBreakBefore w:val="0"/>
              <w:widowControl w:val="0"/>
              <w:numPr>
                <w:ilvl w:val="0"/>
                <w:numId w:val="12"/>
              </w:numPr>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根据相关环境信息公开要求，</w:t>
            </w:r>
            <w:r>
              <w:rPr>
                <w:rFonts w:hint="eastAsia" w:ascii="Times New Roman" w:hAnsi="Times New Roman" w:eastAsia="仿宋_GB2312" w:cs="Times New Roman"/>
                <w:color w:val="auto"/>
                <w:sz w:val="21"/>
                <w:szCs w:val="21"/>
                <w:lang w:eastAsia="zh-CN"/>
              </w:rPr>
              <w:t>加强</w:t>
            </w:r>
            <w:r>
              <w:rPr>
                <w:rFonts w:hint="default" w:ascii="Times New Roman" w:hAnsi="Times New Roman" w:eastAsia="仿宋_GB2312" w:cs="Times New Roman"/>
                <w:color w:val="auto"/>
                <w:sz w:val="21"/>
                <w:szCs w:val="21"/>
                <w:lang w:eastAsia="zh-CN"/>
              </w:rPr>
              <w:t>关于项目区域公众的沟通，强化</w:t>
            </w:r>
            <w:r>
              <w:rPr>
                <w:rFonts w:hint="eastAsia" w:ascii="Times New Roman" w:hAnsi="Times New Roman" w:eastAsia="仿宋_GB2312" w:cs="Times New Roman"/>
                <w:color w:val="auto"/>
                <w:sz w:val="21"/>
                <w:szCs w:val="21"/>
                <w:lang w:eastAsia="zh-CN"/>
              </w:rPr>
              <w:t>信息</w:t>
            </w:r>
            <w:r>
              <w:rPr>
                <w:rFonts w:hint="default" w:ascii="Times New Roman" w:hAnsi="Times New Roman" w:eastAsia="仿宋_GB2312" w:cs="Times New Roman"/>
                <w:color w:val="auto"/>
                <w:sz w:val="21"/>
                <w:szCs w:val="21"/>
                <w:lang w:eastAsia="zh-CN"/>
              </w:rPr>
              <w:t>公开，主动接受社会监督，保障公众对项目环境影响的知情权、参与权和监督权。</w:t>
            </w:r>
          </w:p>
          <w:p w14:paraId="22C7ABDD">
            <w:pPr>
              <w:keepNext w:val="0"/>
              <w:keepLines w:val="0"/>
              <w:pageBreakBefore w:val="0"/>
              <w:widowControl w:val="0"/>
              <w:numPr>
                <w:ilvl w:val="0"/>
                <w:numId w:val="12"/>
              </w:numPr>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仿宋_GB2312" w:cs="Times New Roman"/>
                <w:color w:val="auto"/>
                <w:sz w:val="21"/>
                <w:szCs w:val="21"/>
              </w:rPr>
            </w:pPr>
            <w:r>
              <w:rPr>
                <w:rFonts w:hint="default" w:ascii="Times New Roman" w:hAnsi="Times New Roman" w:eastAsia="仿宋_GB2312" w:cs="Times New Roman"/>
                <w:color w:val="auto"/>
                <w:sz w:val="21"/>
                <w:szCs w:val="21"/>
                <w:lang w:eastAsia="zh-CN"/>
              </w:rPr>
              <w:t>建设单位在开展自主验收时，应分析排污许可制度落实情况。</w:t>
            </w:r>
          </w:p>
        </w:tc>
      </w:tr>
    </w:tbl>
    <w:p w14:paraId="39870C04">
      <w:pPr>
        <w:pStyle w:val="17"/>
        <w:jc w:val="center"/>
        <w:outlineLvl w:val="0"/>
        <w:rPr>
          <w:rFonts w:ascii="黑体" w:hAnsi="黑体" w:eastAsia="黑体"/>
          <w:snapToGrid w:val="0"/>
          <w:color w:val="auto"/>
          <w:sz w:val="30"/>
          <w:szCs w:val="30"/>
        </w:rPr>
      </w:pPr>
      <w:r>
        <w:rPr>
          <w:snapToGrid w:val="0"/>
          <w:color w:val="auto"/>
        </w:rPr>
        <w:br w:type="page"/>
      </w:r>
      <w:bookmarkStart w:id="9" w:name="_Toc1119"/>
      <w:r>
        <w:rPr>
          <w:rFonts w:hint="eastAsia" w:ascii="黑体" w:hAnsi="黑体" w:eastAsia="黑体"/>
          <w:snapToGrid w:val="0"/>
          <w:color w:val="auto"/>
          <w:sz w:val="30"/>
          <w:szCs w:val="30"/>
        </w:rPr>
        <w:t>六、结论</w:t>
      </w:r>
      <w:bookmarkEnd w:id="9"/>
    </w:p>
    <w:tbl>
      <w:tblPr>
        <w:tblStyle w:val="19"/>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64B682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noWrap w:val="0"/>
            <w:vAlign w:val="center"/>
          </w:tcPr>
          <w:p w14:paraId="77129EB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_GB2312" w:cs="Times New Roman"/>
                <w:color w:val="auto"/>
                <w:sz w:val="24"/>
                <w:szCs w:val="24"/>
              </w:rPr>
            </w:pPr>
            <w:r>
              <w:rPr>
                <w:rFonts w:hint="default" w:ascii="Times New Roman" w:hAnsi="Times New Roman" w:eastAsia="仿宋_GB2312" w:cs="Times New Roman"/>
                <w:bCs/>
                <w:color w:val="auto"/>
                <w:sz w:val="24"/>
                <w:szCs w:val="24"/>
                <w:lang w:val="en-US" w:eastAsia="zh-CN"/>
              </w:rPr>
              <w:t>东至县长江路加油站项目符合国家产业政策、环保政策要求，选址符合用地规划要求。项目选址所在地环境质量状况良好，各项污染物治理措施能够满足环保管理的要求，废气、废水、噪声、固废等污染物均能实现达标排放或合理处置，对周围大气环境、地表水环境、声环境、土壤和地下水影响较小，不会改变所在地区环境质量现状。项目环境风险评价为简单分析，环境风险水平可接受。从环境影响角度考虑，在严格落实本环评提出的环保对策及措施，认真落实“三同时”制度的情况下，该项目的建设是可行的。</w:t>
            </w:r>
          </w:p>
        </w:tc>
      </w:tr>
    </w:tbl>
    <w:p w14:paraId="5342901B">
      <w:pPr>
        <w:rPr>
          <w:rFonts w:ascii="宋体"/>
          <w:color w:val="auto"/>
        </w:rPr>
        <w:sectPr>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pPr>
    </w:p>
    <w:p w14:paraId="7B9A948E">
      <w:pPr>
        <w:pStyle w:val="17"/>
        <w:keepNext w:val="0"/>
        <w:keepLines w:val="0"/>
        <w:pageBreakBefore w:val="0"/>
        <w:widowControl/>
        <w:kinsoku/>
        <w:wordWrap/>
        <w:overflowPunct/>
        <w:topLinePunct w:val="0"/>
        <w:autoSpaceDE/>
        <w:autoSpaceDN/>
        <w:bidi w:val="0"/>
        <w:adjustRightInd w:val="0"/>
        <w:snapToGrid w:val="0"/>
        <w:spacing w:before="0" w:beforeAutospacing="0" w:after="0" w:afterAutospacing="0" w:line="648" w:lineRule="auto"/>
        <w:textAlignment w:val="auto"/>
        <w:outlineLvl w:val="0"/>
        <w:rPr>
          <w:rFonts w:ascii="黑体" w:hAnsi="黑体" w:eastAsia="黑体"/>
          <w:snapToGrid w:val="0"/>
          <w:color w:val="auto"/>
          <w:sz w:val="32"/>
          <w:szCs w:val="32"/>
        </w:rPr>
      </w:pPr>
      <w:bookmarkStart w:id="10" w:name="_Toc14947"/>
      <w:r>
        <w:rPr>
          <w:rFonts w:hint="eastAsia" w:ascii="黑体" w:hAnsi="黑体" w:eastAsia="黑体"/>
          <w:snapToGrid w:val="0"/>
          <w:color w:val="auto"/>
          <w:sz w:val="32"/>
          <w:szCs w:val="32"/>
        </w:rPr>
        <w:t>附表</w:t>
      </w:r>
      <w:bookmarkEnd w:id="10"/>
    </w:p>
    <w:p w14:paraId="6255F9B8">
      <w:pPr>
        <w:pStyle w:val="17"/>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right"/>
        <w:textAlignment w:val="auto"/>
        <w:outlineLvl w:val="9"/>
        <w:rPr>
          <w:rFonts w:hint="default" w:ascii="方正小标宋_GBK" w:hAnsi="黑体" w:eastAsia="方正小标宋_GBK"/>
          <w:snapToGrid w:val="0"/>
          <w:color w:val="auto"/>
          <w:sz w:val="38"/>
          <w:szCs w:val="38"/>
          <w:lang w:val="en-US" w:eastAsia="zh-CN"/>
        </w:rPr>
      </w:pPr>
      <w:r>
        <w:rPr>
          <w:rFonts w:hint="eastAsia" w:ascii="方正小标宋_GBK" w:hAnsi="黑体" w:eastAsia="方正小标宋_GBK"/>
          <w:snapToGrid w:val="0"/>
          <w:color w:val="auto"/>
          <w:sz w:val="38"/>
          <w:szCs w:val="38"/>
        </w:rPr>
        <w:t>建设项目污染物排放量汇总表</w:t>
      </w:r>
      <w:r>
        <w:rPr>
          <w:rFonts w:hint="eastAsia" w:ascii="方正小标宋_GBK" w:hAnsi="黑体" w:eastAsia="方正小标宋_GBK"/>
          <w:snapToGrid w:val="0"/>
          <w:color w:val="auto"/>
          <w:sz w:val="38"/>
          <w:szCs w:val="38"/>
          <w:lang w:val="en-US" w:eastAsia="zh-CN"/>
        </w:rPr>
        <w:t xml:space="preserve">                 </w:t>
      </w:r>
      <w:r>
        <w:rPr>
          <w:rFonts w:hint="default" w:ascii="Times New Roman" w:hAnsi="Times New Roman" w:eastAsia="仿宋_GB2312" w:cs="Times New Roman"/>
          <w:snapToGrid w:val="0"/>
          <w:color w:val="auto"/>
          <w:sz w:val="21"/>
          <w:szCs w:val="21"/>
          <w:lang w:val="en-US" w:eastAsia="zh-CN"/>
        </w:rPr>
        <w:t>单位：t/a</w:t>
      </w:r>
    </w:p>
    <w:tbl>
      <w:tblPr>
        <w:tblStyle w:val="19"/>
        <w:tblW w:w="1378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88"/>
        <w:gridCol w:w="1417"/>
        <w:gridCol w:w="1701"/>
        <w:gridCol w:w="1276"/>
        <w:gridCol w:w="1701"/>
        <w:gridCol w:w="1559"/>
        <w:gridCol w:w="1761"/>
        <w:gridCol w:w="1612"/>
        <w:gridCol w:w="1173"/>
      </w:tblGrid>
      <w:tr w14:paraId="5BFBAE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88" w:type="dxa"/>
            <w:tcBorders>
              <w:tl2br w:val="single" w:color="auto" w:sz="4" w:space="0"/>
            </w:tcBorders>
            <w:noWrap w:val="0"/>
            <w:tcMar>
              <w:left w:w="28" w:type="dxa"/>
              <w:right w:w="28" w:type="dxa"/>
            </w:tcMar>
            <w:vAlign w:val="center"/>
          </w:tcPr>
          <w:p w14:paraId="0B903A7B">
            <w:pPr>
              <w:pStyle w:val="37"/>
              <w:spacing w:beforeLines="0" w:afterLines="0" w:line="240" w:lineRule="auto"/>
              <w:jc w:val="right"/>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项目</w:t>
            </w:r>
          </w:p>
          <w:p w14:paraId="6C015E14">
            <w:pPr>
              <w:pStyle w:val="37"/>
              <w:spacing w:beforeLines="0" w:afterLines="0" w:line="240" w:lineRule="auto"/>
              <w:jc w:val="left"/>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分类</w:t>
            </w:r>
          </w:p>
        </w:tc>
        <w:tc>
          <w:tcPr>
            <w:tcW w:w="1417" w:type="dxa"/>
            <w:noWrap w:val="0"/>
            <w:tcMar>
              <w:left w:w="28" w:type="dxa"/>
              <w:right w:w="28" w:type="dxa"/>
            </w:tcMar>
            <w:vAlign w:val="center"/>
          </w:tcPr>
          <w:p w14:paraId="3D2B97E9">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污染物名称</w:t>
            </w:r>
          </w:p>
        </w:tc>
        <w:tc>
          <w:tcPr>
            <w:tcW w:w="1701" w:type="dxa"/>
            <w:noWrap w:val="0"/>
            <w:tcMar>
              <w:left w:w="28" w:type="dxa"/>
              <w:right w:w="28" w:type="dxa"/>
            </w:tcMar>
            <w:vAlign w:val="center"/>
          </w:tcPr>
          <w:p w14:paraId="5F042AE9">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现有工程</w:t>
            </w:r>
          </w:p>
          <w:p w14:paraId="740ADF6B">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排放量（固体废物产生量）</w:t>
            </w:r>
            <w:r>
              <w:rPr>
                <w:rFonts w:hint="default" w:ascii="Times New Roman" w:hAnsi="Times New Roman" w:eastAsia="仿宋_GB2312" w:cs="Times New Roman"/>
                <w:snapToGrid w:val="0"/>
                <w:color w:val="auto"/>
                <w:spacing w:val="-6"/>
                <w:kern w:val="21"/>
                <w:sz w:val="21"/>
                <w:szCs w:val="21"/>
              </w:rPr>
              <w:fldChar w:fldCharType="begin"/>
            </w:r>
            <w:r>
              <w:rPr>
                <w:rFonts w:hint="default" w:ascii="Times New Roman" w:hAnsi="Times New Roman" w:eastAsia="仿宋_GB2312" w:cs="Times New Roman"/>
                <w:snapToGrid w:val="0"/>
                <w:color w:val="auto"/>
                <w:spacing w:val="-6"/>
                <w:kern w:val="21"/>
                <w:sz w:val="21"/>
                <w:szCs w:val="21"/>
              </w:rPr>
              <w:instrText xml:space="preserve"> = 1 \* GB3 \* MERGEFORMAT </w:instrText>
            </w:r>
            <w:r>
              <w:rPr>
                <w:rFonts w:hint="default" w:ascii="Times New Roman" w:hAnsi="Times New Roman" w:eastAsia="仿宋_GB2312" w:cs="Times New Roman"/>
                <w:snapToGrid w:val="0"/>
                <w:color w:val="auto"/>
                <w:spacing w:val="-6"/>
                <w:kern w:val="21"/>
                <w:sz w:val="21"/>
                <w:szCs w:val="21"/>
              </w:rPr>
              <w:fldChar w:fldCharType="separate"/>
            </w:r>
            <w:r>
              <w:rPr>
                <w:rFonts w:hint="default" w:ascii="Times New Roman" w:hAnsi="Times New Roman" w:eastAsia="仿宋_GB2312" w:cs="Times New Roman"/>
                <w:color w:val="auto"/>
                <w:kern w:val="2"/>
                <w:sz w:val="21"/>
                <w:szCs w:val="21"/>
              </w:rPr>
              <w:t>①</w:t>
            </w:r>
            <w:r>
              <w:rPr>
                <w:rFonts w:hint="default" w:ascii="Times New Roman" w:hAnsi="Times New Roman" w:eastAsia="仿宋_GB2312" w:cs="Times New Roman"/>
                <w:snapToGrid w:val="0"/>
                <w:color w:val="auto"/>
                <w:spacing w:val="-6"/>
                <w:kern w:val="21"/>
                <w:sz w:val="21"/>
                <w:szCs w:val="21"/>
              </w:rPr>
              <w:fldChar w:fldCharType="end"/>
            </w:r>
          </w:p>
        </w:tc>
        <w:tc>
          <w:tcPr>
            <w:tcW w:w="1276" w:type="dxa"/>
            <w:noWrap w:val="0"/>
            <w:tcMar>
              <w:left w:w="28" w:type="dxa"/>
              <w:right w:w="28" w:type="dxa"/>
            </w:tcMar>
            <w:vAlign w:val="center"/>
          </w:tcPr>
          <w:p w14:paraId="40DCF625">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现有工程</w:t>
            </w:r>
          </w:p>
          <w:p w14:paraId="2060916F">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许可排放量</w:t>
            </w:r>
          </w:p>
          <w:p w14:paraId="23C8FEFD">
            <w:pPr>
              <w:pStyle w:val="37"/>
              <w:spacing w:beforeLines="0" w:afterLines="0"/>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fldChar w:fldCharType="begin"/>
            </w:r>
            <w:r>
              <w:rPr>
                <w:rFonts w:hint="default" w:ascii="Times New Roman" w:hAnsi="Times New Roman" w:eastAsia="仿宋_GB2312" w:cs="Times New Roman"/>
                <w:snapToGrid w:val="0"/>
                <w:color w:val="auto"/>
                <w:spacing w:val="-6"/>
                <w:kern w:val="21"/>
                <w:sz w:val="21"/>
                <w:szCs w:val="21"/>
              </w:rPr>
              <w:instrText xml:space="preserve"> = 2 \* GB3 \* MERGEFORMAT </w:instrText>
            </w:r>
            <w:r>
              <w:rPr>
                <w:rFonts w:hint="default" w:ascii="Times New Roman" w:hAnsi="Times New Roman" w:eastAsia="仿宋_GB2312" w:cs="Times New Roman"/>
                <w:snapToGrid w:val="0"/>
                <w:color w:val="auto"/>
                <w:spacing w:val="-6"/>
                <w:kern w:val="21"/>
                <w:sz w:val="21"/>
                <w:szCs w:val="21"/>
              </w:rPr>
              <w:fldChar w:fldCharType="separate"/>
            </w:r>
            <w:r>
              <w:rPr>
                <w:rFonts w:hint="default" w:ascii="Times New Roman" w:hAnsi="Times New Roman" w:eastAsia="仿宋_GB2312" w:cs="Times New Roman"/>
                <w:snapToGrid w:val="0"/>
                <w:color w:val="auto"/>
                <w:spacing w:val="-6"/>
                <w:kern w:val="21"/>
                <w:sz w:val="21"/>
                <w:szCs w:val="21"/>
              </w:rPr>
              <w:t>②</w:t>
            </w:r>
            <w:r>
              <w:rPr>
                <w:rFonts w:hint="default" w:ascii="Times New Roman" w:hAnsi="Times New Roman" w:eastAsia="仿宋_GB2312" w:cs="Times New Roman"/>
                <w:snapToGrid w:val="0"/>
                <w:color w:val="auto"/>
                <w:spacing w:val="-6"/>
                <w:kern w:val="21"/>
                <w:sz w:val="21"/>
                <w:szCs w:val="21"/>
              </w:rPr>
              <w:fldChar w:fldCharType="end"/>
            </w:r>
          </w:p>
        </w:tc>
        <w:tc>
          <w:tcPr>
            <w:tcW w:w="1701" w:type="dxa"/>
            <w:noWrap w:val="0"/>
            <w:tcMar>
              <w:left w:w="28" w:type="dxa"/>
              <w:right w:w="28" w:type="dxa"/>
            </w:tcMar>
            <w:vAlign w:val="center"/>
          </w:tcPr>
          <w:p w14:paraId="3E8C3112">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在建工程</w:t>
            </w:r>
          </w:p>
          <w:p w14:paraId="61D2FA9D">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排放量（固体废物产生量）</w:t>
            </w:r>
            <w:r>
              <w:rPr>
                <w:rFonts w:hint="default" w:ascii="Times New Roman" w:hAnsi="Times New Roman" w:eastAsia="仿宋_GB2312" w:cs="Times New Roman"/>
                <w:snapToGrid w:val="0"/>
                <w:color w:val="auto"/>
                <w:spacing w:val="-6"/>
                <w:kern w:val="21"/>
                <w:sz w:val="21"/>
                <w:szCs w:val="21"/>
              </w:rPr>
              <w:fldChar w:fldCharType="begin"/>
            </w:r>
            <w:r>
              <w:rPr>
                <w:rFonts w:hint="default" w:ascii="Times New Roman" w:hAnsi="Times New Roman" w:eastAsia="仿宋_GB2312" w:cs="Times New Roman"/>
                <w:snapToGrid w:val="0"/>
                <w:color w:val="auto"/>
                <w:spacing w:val="-6"/>
                <w:kern w:val="21"/>
                <w:sz w:val="21"/>
                <w:szCs w:val="21"/>
              </w:rPr>
              <w:instrText xml:space="preserve"> = 3 \* GB3 \* MERGEFORMAT </w:instrText>
            </w:r>
            <w:r>
              <w:rPr>
                <w:rFonts w:hint="default" w:ascii="Times New Roman" w:hAnsi="Times New Roman" w:eastAsia="仿宋_GB2312" w:cs="Times New Roman"/>
                <w:snapToGrid w:val="0"/>
                <w:color w:val="auto"/>
                <w:spacing w:val="-6"/>
                <w:kern w:val="21"/>
                <w:sz w:val="21"/>
                <w:szCs w:val="21"/>
              </w:rPr>
              <w:fldChar w:fldCharType="separate"/>
            </w:r>
            <w:r>
              <w:rPr>
                <w:rFonts w:hint="default" w:ascii="Times New Roman" w:hAnsi="Times New Roman" w:eastAsia="仿宋_GB2312" w:cs="Times New Roman"/>
                <w:color w:val="auto"/>
                <w:kern w:val="2"/>
                <w:sz w:val="21"/>
                <w:szCs w:val="21"/>
              </w:rPr>
              <w:t>③</w:t>
            </w:r>
            <w:r>
              <w:rPr>
                <w:rFonts w:hint="default" w:ascii="Times New Roman" w:hAnsi="Times New Roman" w:eastAsia="仿宋_GB2312" w:cs="Times New Roman"/>
                <w:snapToGrid w:val="0"/>
                <w:color w:val="auto"/>
                <w:spacing w:val="-6"/>
                <w:kern w:val="21"/>
                <w:sz w:val="21"/>
                <w:szCs w:val="21"/>
              </w:rPr>
              <w:fldChar w:fldCharType="end"/>
            </w:r>
          </w:p>
        </w:tc>
        <w:tc>
          <w:tcPr>
            <w:tcW w:w="1559" w:type="dxa"/>
            <w:noWrap w:val="0"/>
            <w:tcMar>
              <w:left w:w="28" w:type="dxa"/>
              <w:right w:w="28" w:type="dxa"/>
            </w:tcMar>
            <w:vAlign w:val="center"/>
          </w:tcPr>
          <w:p w14:paraId="38C8FA69">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本项目</w:t>
            </w:r>
          </w:p>
          <w:p w14:paraId="3A62D9AE">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排放量（固体废物产生量）</w:t>
            </w:r>
            <w:r>
              <w:rPr>
                <w:rFonts w:hint="default" w:ascii="Times New Roman" w:hAnsi="Times New Roman" w:eastAsia="仿宋_GB2312" w:cs="Times New Roman"/>
                <w:snapToGrid w:val="0"/>
                <w:color w:val="auto"/>
                <w:spacing w:val="-6"/>
                <w:kern w:val="21"/>
                <w:sz w:val="21"/>
                <w:szCs w:val="21"/>
              </w:rPr>
              <w:fldChar w:fldCharType="begin"/>
            </w:r>
            <w:r>
              <w:rPr>
                <w:rFonts w:hint="default" w:ascii="Times New Roman" w:hAnsi="Times New Roman" w:eastAsia="仿宋_GB2312" w:cs="Times New Roman"/>
                <w:snapToGrid w:val="0"/>
                <w:color w:val="auto"/>
                <w:spacing w:val="-6"/>
                <w:kern w:val="21"/>
                <w:sz w:val="21"/>
                <w:szCs w:val="21"/>
              </w:rPr>
              <w:instrText xml:space="preserve"> = 4 \* GB3 \* MERGEFORMAT </w:instrText>
            </w:r>
            <w:r>
              <w:rPr>
                <w:rFonts w:hint="default" w:ascii="Times New Roman" w:hAnsi="Times New Roman" w:eastAsia="仿宋_GB2312" w:cs="Times New Roman"/>
                <w:snapToGrid w:val="0"/>
                <w:color w:val="auto"/>
                <w:spacing w:val="-6"/>
                <w:kern w:val="21"/>
                <w:sz w:val="21"/>
                <w:szCs w:val="21"/>
              </w:rPr>
              <w:fldChar w:fldCharType="separate"/>
            </w:r>
            <w:r>
              <w:rPr>
                <w:rFonts w:hint="default" w:ascii="Times New Roman" w:hAnsi="Times New Roman" w:eastAsia="仿宋_GB2312" w:cs="Times New Roman"/>
                <w:color w:val="auto"/>
                <w:kern w:val="2"/>
                <w:sz w:val="21"/>
                <w:szCs w:val="21"/>
              </w:rPr>
              <w:t>④</w:t>
            </w:r>
            <w:r>
              <w:rPr>
                <w:rFonts w:hint="default" w:ascii="Times New Roman" w:hAnsi="Times New Roman" w:eastAsia="仿宋_GB2312" w:cs="Times New Roman"/>
                <w:snapToGrid w:val="0"/>
                <w:color w:val="auto"/>
                <w:spacing w:val="-6"/>
                <w:kern w:val="21"/>
                <w:sz w:val="21"/>
                <w:szCs w:val="21"/>
              </w:rPr>
              <w:fldChar w:fldCharType="end"/>
            </w:r>
          </w:p>
        </w:tc>
        <w:tc>
          <w:tcPr>
            <w:tcW w:w="1761" w:type="dxa"/>
            <w:noWrap w:val="0"/>
            <w:tcMar>
              <w:left w:w="28" w:type="dxa"/>
              <w:right w:w="28" w:type="dxa"/>
            </w:tcMar>
            <w:vAlign w:val="center"/>
          </w:tcPr>
          <w:p w14:paraId="3BF53489">
            <w:pPr>
              <w:pStyle w:val="37"/>
              <w:spacing w:beforeLines="0" w:afterLines="0" w:line="240" w:lineRule="auto"/>
              <w:rPr>
                <w:rFonts w:hint="default" w:ascii="Times New Roman" w:hAnsi="Times New Roman" w:eastAsia="仿宋_GB2312" w:cs="Times New Roman"/>
                <w:snapToGrid w:val="0"/>
                <w:color w:val="auto"/>
                <w:spacing w:val="-16"/>
                <w:kern w:val="21"/>
                <w:sz w:val="21"/>
                <w:szCs w:val="21"/>
              </w:rPr>
            </w:pPr>
            <w:r>
              <w:rPr>
                <w:rFonts w:hint="default" w:ascii="Times New Roman" w:hAnsi="Times New Roman" w:eastAsia="仿宋_GB2312" w:cs="Times New Roman"/>
                <w:snapToGrid w:val="0"/>
                <w:color w:val="auto"/>
                <w:spacing w:val="-16"/>
                <w:kern w:val="21"/>
                <w:sz w:val="21"/>
                <w:szCs w:val="21"/>
              </w:rPr>
              <w:t>以新带老削减量</w:t>
            </w:r>
          </w:p>
          <w:p w14:paraId="4C6B8DCF">
            <w:pPr>
              <w:pStyle w:val="37"/>
              <w:spacing w:beforeLines="0" w:afterLines="0" w:line="240" w:lineRule="auto"/>
              <w:rPr>
                <w:rFonts w:hint="default" w:ascii="Times New Roman" w:hAnsi="Times New Roman" w:eastAsia="仿宋_GB2312" w:cs="Times New Roman"/>
                <w:snapToGrid w:val="0"/>
                <w:color w:val="auto"/>
                <w:spacing w:val="-16"/>
                <w:kern w:val="21"/>
                <w:sz w:val="21"/>
                <w:szCs w:val="21"/>
              </w:rPr>
            </w:pPr>
            <w:r>
              <w:rPr>
                <w:rFonts w:hint="default" w:ascii="Times New Roman" w:hAnsi="Times New Roman" w:eastAsia="仿宋_GB2312" w:cs="Times New Roman"/>
                <w:snapToGrid w:val="0"/>
                <w:color w:val="auto"/>
                <w:spacing w:val="-16"/>
                <w:kern w:val="21"/>
                <w:sz w:val="21"/>
                <w:szCs w:val="21"/>
              </w:rPr>
              <w:t>（新建项目不填）</w:t>
            </w:r>
            <w:r>
              <w:rPr>
                <w:rFonts w:hint="default" w:ascii="Times New Roman" w:hAnsi="Times New Roman" w:eastAsia="仿宋_GB2312" w:cs="Times New Roman"/>
                <w:snapToGrid w:val="0"/>
                <w:color w:val="auto"/>
                <w:spacing w:val="-16"/>
                <w:kern w:val="21"/>
                <w:sz w:val="21"/>
                <w:szCs w:val="21"/>
              </w:rPr>
              <w:fldChar w:fldCharType="begin"/>
            </w:r>
            <w:r>
              <w:rPr>
                <w:rFonts w:hint="default" w:ascii="Times New Roman" w:hAnsi="Times New Roman" w:eastAsia="仿宋_GB2312" w:cs="Times New Roman"/>
                <w:snapToGrid w:val="0"/>
                <w:color w:val="auto"/>
                <w:spacing w:val="-16"/>
                <w:kern w:val="21"/>
                <w:sz w:val="21"/>
                <w:szCs w:val="21"/>
              </w:rPr>
              <w:instrText xml:space="preserve"> = 5 \* GB3 \* MERGEFORMAT </w:instrText>
            </w:r>
            <w:r>
              <w:rPr>
                <w:rFonts w:hint="default" w:ascii="Times New Roman" w:hAnsi="Times New Roman" w:eastAsia="仿宋_GB2312" w:cs="Times New Roman"/>
                <w:snapToGrid w:val="0"/>
                <w:color w:val="auto"/>
                <w:spacing w:val="-16"/>
                <w:kern w:val="21"/>
                <w:sz w:val="21"/>
                <w:szCs w:val="21"/>
              </w:rPr>
              <w:fldChar w:fldCharType="separate"/>
            </w:r>
            <w:r>
              <w:rPr>
                <w:rFonts w:hint="default" w:ascii="Times New Roman" w:hAnsi="Times New Roman" w:eastAsia="仿宋_GB2312" w:cs="Times New Roman"/>
                <w:color w:val="auto"/>
                <w:kern w:val="2"/>
                <w:sz w:val="21"/>
                <w:szCs w:val="21"/>
              </w:rPr>
              <w:t>⑤</w:t>
            </w:r>
            <w:r>
              <w:rPr>
                <w:rFonts w:hint="default" w:ascii="Times New Roman" w:hAnsi="Times New Roman" w:eastAsia="仿宋_GB2312" w:cs="Times New Roman"/>
                <w:snapToGrid w:val="0"/>
                <w:color w:val="auto"/>
                <w:spacing w:val="-16"/>
                <w:kern w:val="21"/>
                <w:sz w:val="21"/>
                <w:szCs w:val="21"/>
              </w:rPr>
              <w:fldChar w:fldCharType="end"/>
            </w:r>
          </w:p>
        </w:tc>
        <w:tc>
          <w:tcPr>
            <w:tcW w:w="1612" w:type="dxa"/>
            <w:noWrap w:val="0"/>
            <w:tcMar>
              <w:left w:w="28" w:type="dxa"/>
              <w:right w:w="28" w:type="dxa"/>
            </w:tcMar>
            <w:vAlign w:val="center"/>
          </w:tcPr>
          <w:p w14:paraId="5926DA2F">
            <w:pPr>
              <w:pStyle w:val="37"/>
              <w:spacing w:beforeLines="0" w:afterLines="0" w:line="240" w:lineRule="auto"/>
              <w:rPr>
                <w:rFonts w:hint="default" w:ascii="Times New Roman" w:hAnsi="Times New Roman" w:eastAsia="仿宋_GB2312" w:cs="Times New Roman"/>
                <w:snapToGrid w:val="0"/>
                <w:color w:val="auto"/>
                <w:spacing w:val="-16"/>
                <w:kern w:val="21"/>
                <w:sz w:val="21"/>
                <w:szCs w:val="21"/>
              </w:rPr>
            </w:pPr>
            <w:r>
              <w:rPr>
                <w:rFonts w:hint="default" w:ascii="Times New Roman" w:hAnsi="Times New Roman" w:eastAsia="仿宋_GB2312" w:cs="Times New Roman"/>
                <w:snapToGrid w:val="0"/>
                <w:color w:val="auto"/>
                <w:spacing w:val="-16"/>
                <w:kern w:val="21"/>
                <w:sz w:val="21"/>
                <w:szCs w:val="21"/>
              </w:rPr>
              <w:t>本项目建成后</w:t>
            </w:r>
          </w:p>
          <w:p w14:paraId="5ABB094E">
            <w:pPr>
              <w:pStyle w:val="37"/>
              <w:spacing w:beforeLines="0" w:afterLines="0" w:line="240" w:lineRule="auto"/>
              <w:rPr>
                <w:rFonts w:hint="default" w:ascii="Times New Roman" w:hAnsi="Times New Roman" w:eastAsia="仿宋_GB2312" w:cs="Times New Roman"/>
                <w:snapToGrid w:val="0"/>
                <w:color w:val="auto"/>
                <w:spacing w:val="-16"/>
                <w:kern w:val="21"/>
                <w:sz w:val="21"/>
                <w:szCs w:val="21"/>
              </w:rPr>
            </w:pPr>
            <w:r>
              <w:rPr>
                <w:rFonts w:hint="default" w:ascii="Times New Roman" w:hAnsi="Times New Roman" w:eastAsia="仿宋_GB2312" w:cs="Times New Roman"/>
                <w:snapToGrid w:val="0"/>
                <w:color w:val="auto"/>
                <w:spacing w:val="-16"/>
                <w:kern w:val="21"/>
                <w:sz w:val="21"/>
                <w:szCs w:val="21"/>
              </w:rPr>
              <w:t>全厂排放量（固体废物产生量）</w:t>
            </w:r>
            <w:r>
              <w:rPr>
                <w:rFonts w:hint="default" w:ascii="Times New Roman" w:hAnsi="Times New Roman" w:eastAsia="仿宋_GB2312" w:cs="Times New Roman"/>
                <w:snapToGrid w:val="0"/>
                <w:color w:val="auto"/>
                <w:spacing w:val="-16"/>
                <w:kern w:val="21"/>
                <w:sz w:val="21"/>
                <w:szCs w:val="21"/>
              </w:rPr>
              <w:fldChar w:fldCharType="begin"/>
            </w:r>
            <w:r>
              <w:rPr>
                <w:rFonts w:hint="default" w:ascii="Times New Roman" w:hAnsi="Times New Roman" w:eastAsia="仿宋_GB2312" w:cs="Times New Roman"/>
                <w:snapToGrid w:val="0"/>
                <w:color w:val="auto"/>
                <w:spacing w:val="-16"/>
                <w:kern w:val="21"/>
                <w:sz w:val="21"/>
                <w:szCs w:val="21"/>
              </w:rPr>
              <w:instrText xml:space="preserve"> = 6 \* GB3 \* MERGEFORMAT </w:instrText>
            </w:r>
            <w:r>
              <w:rPr>
                <w:rFonts w:hint="default" w:ascii="Times New Roman" w:hAnsi="Times New Roman" w:eastAsia="仿宋_GB2312" w:cs="Times New Roman"/>
                <w:snapToGrid w:val="0"/>
                <w:color w:val="auto"/>
                <w:spacing w:val="-16"/>
                <w:kern w:val="21"/>
                <w:sz w:val="21"/>
                <w:szCs w:val="21"/>
              </w:rPr>
              <w:fldChar w:fldCharType="separate"/>
            </w:r>
            <w:r>
              <w:rPr>
                <w:rFonts w:hint="default" w:ascii="Times New Roman" w:hAnsi="Times New Roman" w:eastAsia="仿宋_GB2312" w:cs="Times New Roman"/>
                <w:color w:val="auto"/>
                <w:kern w:val="2"/>
                <w:sz w:val="21"/>
                <w:szCs w:val="21"/>
              </w:rPr>
              <w:t>⑥</w:t>
            </w:r>
            <w:r>
              <w:rPr>
                <w:rFonts w:hint="default" w:ascii="Times New Roman" w:hAnsi="Times New Roman" w:eastAsia="仿宋_GB2312" w:cs="Times New Roman"/>
                <w:snapToGrid w:val="0"/>
                <w:color w:val="auto"/>
                <w:spacing w:val="-16"/>
                <w:kern w:val="21"/>
                <w:sz w:val="21"/>
                <w:szCs w:val="21"/>
              </w:rPr>
              <w:fldChar w:fldCharType="end"/>
            </w:r>
          </w:p>
        </w:tc>
        <w:tc>
          <w:tcPr>
            <w:tcW w:w="1173" w:type="dxa"/>
            <w:noWrap w:val="0"/>
            <w:tcMar>
              <w:left w:w="28" w:type="dxa"/>
              <w:right w:w="28" w:type="dxa"/>
            </w:tcMar>
            <w:vAlign w:val="center"/>
          </w:tcPr>
          <w:p w14:paraId="37009D3D">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t>变化量</w:t>
            </w:r>
          </w:p>
          <w:p w14:paraId="6C853F56">
            <w:pPr>
              <w:pStyle w:val="37"/>
              <w:spacing w:beforeLines="0" w:afterLines="0" w:line="240" w:lineRule="auto"/>
              <w:rPr>
                <w:rFonts w:hint="default" w:ascii="Times New Roman" w:hAnsi="Times New Roman" w:eastAsia="仿宋_GB2312" w:cs="Times New Roman"/>
                <w:snapToGrid w:val="0"/>
                <w:color w:val="auto"/>
                <w:spacing w:val="-6"/>
                <w:kern w:val="21"/>
                <w:sz w:val="21"/>
                <w:szCs w:val="21"/>
              </w:rPr>
            </w:pPr>
            <w:r>
              <w:rPr>
                <w:rFonts w:hint="default" w:ascii="Times New Roman" w:hAnsi="Times New Roman" w:eastAsia="仿宋_GB2312" w:cs="Times New Roman"/>
                <w:snapToGrid w:val="0"/>
                <w:color w:val="auto"/>
                <w:spacing w:val="-6"/>
                <w:kern w:val="21"/>
                <w:sz w:val="21"/>
                <w:szCs w:val="21"/>
              </w:rPr>
              <w:fldChar w:fldCharType="begin"/>
            </w:r>
            <w:r>
              <w:rPr>
                <w:rFonts w:hint="default" w:ascii="Times New Roman" w:hAnsi="Times New Roman" w:eastAsia="仿宋_GB2312" w:cs="Times New Roman"/>
                <w:snapToGrid w:val="0"/>
                <w:color w:val="auto"/>
                <w:spacing w:val="-6"/>
                <w:kern w:val="21"/>
                <w:sz w:val="21"/>
                <w:szCs w:val="21"/>
              </w:rPr>
              <w:instrText xml:space="preserve"> = 7 \* GB3 \* MERGEFORMAT </w:instrText>
            </w:r>
            <w:r>
              <w:rPr>
                <w:rFonts w:hint="default" w:ascii="Times New Roman" w:hAnsi="Times New Roman" w:eastAsia="仿宋_GB2312" w:cs="Times New Roman"/>
                <w:snapToGrid w:val="0"/>
                <w:color w:val="auto"/>
                <w:spacing w:val="-6"/>
                <w:kern w:val="21"/>
                <w:sz w:val="21"/>
                <w:szCs w:val="21"/>
              </w:rPr>
              <w:fldChar w:fldCharType="separate"/>
            </w:r>
            <w:r>
              <w:rPr>
                <w:rFonts w:hint="default" w:ascii="Times New Roman" w:hAnsi="Times New Roman" w:eastAsia="仿宋_GB2312" w:cs="Times New Roman"/>
                <w:color w:val="auto"/>
                <w:kern w:val="2"/>
                <w:sz w:val="21"/>
                <w:szCs w:val="21"/>
              </w:rPr>
              <w:t>⑦</w:t>
            </w:r>
            <w:r>
              <w:rPr>
                <w:rFonts w:hint="default" w:ascii="Times New Roman" w:hAnsi="Times New Roman" w:eastAsia="仿宋_GB2312" w:cs="Times New Roman"/>
                <w:snapToGrid w:val="0"/>
                <w:color w:val="auto"/>
                <w:spacing w:val="-6"/>
                <w:kern w:val="21"/>
                <w:sz w:val="21"/>
                <w:szCs w:val="21"/>
              </w:rPr>
              <w:fldChar w:fldCharType="end"/>
            </w:r>
          </w:p>
        </w:tc>
      </w:tr>
      <w:tr w14:paraId="49182D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noWrap w:val="0"/>
            <w:vAlign w:val="center"/>
          </w:tcPr>
          <w:p w14:paraId="466ED2BB">
            <w:pPr>
              <w:pStyle w:val="37"/>
              <w:spacing w:beforeLines="0" w:afterLines="0" w:line="240" w:lineRule="auto"/>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废气</w:t>
            </w:r>
          </w:p>
        </w:tc>
        <w:tc>
          <w:tcPr>
            <w:tcW w:w="1417" w:type="dxa"/>
            <w:noWrap w:val="0"/>
            <w:vAlign w:val="center"/>
          </w:tcPr>
          <w:p w14:paraId="4CB10612">
            <w:pPr>
              <w:pStyle w:val="37"/>
              <w:spacing w:beforeLines="0" w:afterLines="0" w:line="240" w:lineRule="auto"/>
              <w:rPr>
                <w:rFonts w:hint="default" w:ascii="Times New Roman" w:hAnsi="Times New Roman" w:eastAsia="仿宋_GB2312" w:cs="Times New Roman"/>
                <w:snapToGrid w:val="0"/>
                <w:color w:val="auto"/>
                <w:kern w:val="21"/>
                <w:sz w:val="21"/>
                <w:szCs w:val="21"/>
                <w:lang w:eastAsia="zh-CN"/>
              </w:rPr>
            </w:pPr>
            <w:r>
              <w:rPr>
                <w:rFonts w:hint="default" w:ascii="Times New Roman" w:hAnsi="Times New Roman" w:eastAsia="仿宋_GB2312" w:cs="Times New Roman"/>
                <w:snapToGrid w:val="0"/>
                <w:color w:val="auto"/>
                <w:kern w:val="21"/>
                <w:sz w:val="21"/>
                <w:szCs w:val="21"/>
                <w:lang w:eastAsia="zh-CN"/>
              </w:rPr>
              <w:t>非甲烷总烃</w:t>
            </w:r>
          </w:p>
        </w:tc>
        <w:tc>
          <w:tcPr>
            <w:tcW w:w="1701" w:type="dxa"/>
            <w:noWrap w:val="0"/>
            <w:vAlign w:val="center"/>
          </w:tcPr>
          <w:p w14:paraId="057E708E">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1B913AF2">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72445707">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587CD7D8">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1.0263</w:t>
            </w:r>
          </w:p>
        </w:tc>
        <w:tc>
          <w:tcPr>
            <w:tcW w:w="1761" w:type="dxa"/>
            <w:noWrap w:val="0"/>
            <w:vAlign w:val="center"/>
          </w:tcPr>
          <w:p w14:paraId="245F88D4">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623CCFD6">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1.0263</w:t>
            </w:r>
          </w:p>
        </w:tc>
        <w:tc>
          <w:tcPr>
            <w:tcW w:w="1173" w:type="dxa"/>
            <w:noWrap w:val="0"/>
            <w:vAlign w:val="center"/>
          </w:tcPr>
          <w:p w14:paraId="16A07656">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+1.0263</w:t>
            </w:r>
          </w:p>
        </w:tc>
      </w:tr>
      <w:tr w14:paraId="5A0190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restart"/>
            <w:noWrap w:val="0"/>
            <w:vAlign w:val="center"/>
          </w:tcPr>
          <w:p w14:paraId="5A60AEF1">
            <w:pPr>
              <w:pStyle w:val="37"/>
              <w:spacing w:beforeLines="0" w:afterLines="0" w:line="240" w:lineRule="auto"/>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废水</w:t>
            </w:r>
          </w:p>
        </w:tc>
        <w:tc>
          <w:tcPr>
            <w:tcW w:w="1417" w:type="dxa"/>
            <w:noWrap w:val="0"/>
            <w:vAlign w:val="center"/>
          </w:tcPr>
          <w:p w14:paraId="6452DD54">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废水量</w:t>
            </w:r>
          </w:p>
        </w:tc>
        <w:tc>
          <w:tcPr>
            <w:tcW w:w="1701" w:type="dxa"/>
            <w:noWrap w:val="0"/>
            <w:vAlign w:val="center"/>
          </w:tcPr>
          <w:p w14:paraId="66990603">
            <w:pPr>
              <w:spacing w:beforeLines="0" w:afterLines="0" w:line="240" w:lineRule="auto"/>
              <w:jc w:val="center"/>
              <w:rPr>
                <w:rFonts w:hint="default" w:ascii="Times New Roman" w:hAnsi="Times New Roman" w:eastAsia="仿宋_GB2312" w:cs="Times New Roman"/>
                <w:b/>
                <w:bCs/>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7A6791EF">
            <w:pPr>
              <w:spacing w:beforeLines="0" w:afterLines="0" w:line="240" w:lineRule="auto"/>
              <w:jc w:val="center"/>
              <w:rPr>
                <w:rFonts w:hint="default" w:ascii="Times New Roman" w:hAnsi="Times New Roman" w:eastAsia="仿宋_GB2312" w:cs="Times New Roman"/>
                <w:b/>
                <w:bCs/>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2A6BCAC3">
            <w:pPr>
              <w:spacing w:beforeLines="0" w:afterLines="0" w:line="240" w:lineRule="auto"/>
              <w:jc w:val="center"/>
              <w:rPr>
                <w:rFonts w:hint="default" w:ascii="Times New Roman" w:hAnsi="Times New Roman" w:eastAsia="仿宋_GB2312" w:cs="Times New Roman"/>
                <w:b/>
                <w:bCs/>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5CBAB97B">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2001.5</w:t>
            </w:r>
          </w:p>
        </w:tc>
        <w:tc>
          <w:tcPr>
            <w:tcW w:w="1761" w:type="dxa"/>
            <w:noWrap w:val="0"/>
            <w:vAlign w:val="center"/>
          </w:tcPr>
          <w:p w14:paraId="1367D806">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5448DBD0">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2001.5</w:t>
            </w:r>
          </w:p>
        </w:tc>
        <w:tc>
          <w:tcPr>
            <w:tcW w:w="1173" w:type="dxa"/>
            <w:noWrap w:val="0"/>
            <w:vAlign w:val="center"/>
          </w:tcPr>
          <w:p w14:paraId="502045C4">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+2001.5</w:t>
            </w:r>
          </w:p>
        </w:tc>
      </w:tr>
      <w:tr w14:paraId="7EFC17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continue"/>
            <w:noWrap w:val="0"/>
            <w:vAlign w:val="center"/>
          </w:tcPr>
          <w:p w14:paraId="0EF5B270">
            <w:pPr>
              <w:pStyle w:val="37"/>
              <w:spacing w:beforeLines="0" w:afterLines="0" w:line="240" w:lineRule="auto"/>
              <w:rPr>
                <w:rFonts w:hint="default" w:ascii="Times New Roman" w:hAnsi="Times New Roman" w:eastAsia="仿宋_GB2312" w:cs="Times New Roman"/>
                <w:snapToGrid w:val="0"/>
                <w:color w:val="auto"/>
                <w:kern w:val="21"/>
                <w:sz w:val="21"/>
                <w:szCs w:val="21"/>
              </w:rPr>
            </w:pPr>
          </w:p>
        </w:tc>
        <w:tc>
          <w:tcPr>
            <w:tcW w:w="1417" w:type="dxa"/>
            <w:noWrap w:val="0"/>
            <w:vAlign w:val="center"/>
          </w:tcPr>
          <w:p w14:paraId="0F8C4EAC">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化学需氧量</w:t>
            </w:r>
          </w:p>
        </w:tc>
        <w:tc>
          <w:tcPr>
            <w:tcW w:w="1701" w:type="dxa"/>
            <w:noWrap w:val="0"/>
            <w:vAlign w:val="center"/>
          </w:tcPr>
          <w:p w14:paraId="1FA4CBE6">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789EC1F5">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7B9EBB5C">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76EFA821">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0.4458</w:t>
            </w:r>
          </w:p>
        </w:tc>
        <w:tc>
          <w:tcPr>
            <w:tcW w:w="1761" w:type="dxa"/>
            <w:noWrap w:val="0"/>
            <w:vAlign w:val="center"/>
          </w:tcPr>
          <w:p w14:paraId="5C328841">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0F8254D4">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0.4458</w:t>
            </w:r>
          </w:p>
        </w:tc>
        <w:tc>
          <w:tcPr>
            <w:tcW w:w="1173" w:type="dxa"/>
            <w:noWrap w:val="0"/>
            <w:vAlign w:val="center"/>
          </w:tcPr>
          <w:p w14:paraId="1FEBDAD1">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+0.4458</w:t>
            </w:r>
          </w:p>
        </w:tc>
      </w:tr>
      <w:tr w14:paraId="3849A4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continue"/>
            <w:noWrap w:val="0"/>
            <w:vAlign w:val="center"/>
          </w:tcPr>
          <w:p w14:paraId="20321873">
            <w:pPr>
              <w:pStyle w:val="37"/>
              <w:spacing w:beforeLines="0" w:afterLines="0" w:line="240" w:lineRule="auto"/>
              <w:rPr>
                <w:rFonts w:hint="default" w:ascii="Times New Roman" w:hAnsi="Times New Roman" w:eastAsia="仿宋_GB2312" w:cs="Times New Roman"/>
                <w:snapToGrid w:val="0"/>
                <w:color w:val="auto"/>
                <w:kern w:val="21"/>
                <w:sz w:val="21"/>
                <w:szCs w:val="21"/>
              </w:rPr>
            </w:pPr>
          </w:p>
        </w:tc>
        <w:tc>
          <w:tcPr>
            <w:tcW w:w="1417" w:type="dxa"/>
            <w:noWrap w:val="0"/>
            <w:vAlign w:val="center"/>
          </w:tcPr>
          <w:p w14:paraId="2900BA89">
            <w:pPr>
              <w:pStyle w:val="37"/>
              <w:spacing w:beforeLines="0" w:afterLines="0" w:line="240" w:lineRule="auto"/>
              <w:rPr>
                <w:rFonts w:hint="default" w:ascii="Times New Roman" w:hAnsi="Times New Roman" w:eastAsia="仿宋_GB2312" w:cs="Times New Roman"/>
                <w:snapToGrid w:val="0"/>
                <w:color w:val="auto"/>
                <w:kern w:val="21"/>
                <w:sz w:val="21"/>
                <w:szCs w:val="21"/>
                <w:lang w:eastAsia="zh-CN"/>
              </w:rPr>
            </w:pPr>
            <w:r>
              <w:rPr>
                <w:rFonts w:hint="default" w:ascii="Times New Roman" w:hAnsi="Times New Roman" w:eastAsia="仿宋_GB2312" w:cs="Times New Roman"/>
                <w:snapToGrid w:val="0"/>
                <w:color w:val="auto"/>
                <w:kern w:val="21"/>
                <w:sz w:val="21"/>
                <w:szCs w:val="21"/>
                <w:lang w:eastAsia="zh-CN"/>
              </w:rPr>
              <w:t>五日生化需氧量</w:t>
            </w:r>
          </w:p>
        </w:tc>
        <w:tc>
          <w:tcPr>
            <w:tcW w:w="1701" w:type="dxa"/>
            <w:noWrap w:val="0"/>
            <w:vAlign w:val="center"/>
          </w:tcPr>
          <w:p w14:paraId="0D37E5F4">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14735163">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74BACEBB">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6FC8D280">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0.1233</w:t>
            </w:r>
          </w:p>
        </w:tc>
        <w:tc>
          <w:tcPr>
            <w:tcW w:w="1761" w:type="dxa"/>
            <w:noWrap w:val="0"/>
            <w:vAlign w:val="center"/>
          </w:tcPr>
          <w:p w14:paraId="09173615">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1D0C27D0">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0.1233</w:t>
            </w:r>
          </w:p>
        </w:tc>
        <w:tc>
          <w:tcPr>
            <w:tcW w:w="1173" w:type="dxa"/>
            <w:noWrap w:val="0"/>
            <w:vAlign w:val="center"/>
          </w:tcPr>
          <w:p w14:paraId="1A981057">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+0.1233</w:t>
            </w:r>
          </w:p>
        </w:tc>
      </w:tr>
      <w:tr w14:paraId="0262D8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continue"/>
            <w:noWrap w:val="0"/>
            <w:vAlign w:val="center"/>
          </w:tcPr>
          <w:p w14:paraId="48748E92">
            <w:pPr>
              <w:pStyle w:val="37"/>
              <w:spacing w:beforeLines="0" w:afterLines="0" w:line="240" w:lineRule="auto"/>
              <w:rPr>
                <w:rFonts w:hint="default" w:ascii="Times New Roman" w:hAnsi="Times New Roman" w:eastAsia="仿宋_GB2312" w:cs="Times New Roman"/>
                <w:snapToGrid w:val="0"/>
                <w:color w:val="auto"/>
                <w:kern w:val="21"/>
                <w:sz w:val="21"/>
                <w:szCs w:val="21"/>
              </w:rPr>
            </w:pPr>
          </w:p>
        </w:tc>
        <w:tc>
          <w:tcPr>
            <w:tcW w:w="1417" w:type="dxa"/>
            <w:noWrap w:val="0"/>
            <w:vAlign w:val="center"/>
          </w:tcPr>
          <w:p w14:paraId="34DF3CC3">
            <w:pPr>
              <w:pStyle w:val="37"/>
              <w:spacing w:beforeLines="0" w:afterLines="0" w:line="240" w:lineRule="auto"/>
              <w:rPr>
                <w:rFonts w:hint="default" w:ascii="Times New Roman" w:hAnsi="Times New Roman" w:eastAsia="仿宋_GB2312" w:cs="Times New Roman"/>
                <w:snapToGrid w:val="0"/>
                <w:color w:val="auto"/>
                <w:kern w:val="21"/>
                <w:sz w:val="21"/>
                <w:szCs w:val="21"/>
                <w:lang w:eastAsia="zh-CN"/>
              </w:rPr>
            </w:pPr>
            <w:r>
              <w:rPr>
                <w:rFonts w:hint="default" w:ascii="Times New Roman" w:hAnsi="Times New Roman" w:eastAsia="仿宋_GB2312" w:cs="Times New Roman"/>
                <w:snapToGrid w:val="0"/>
                <w:color w:val="auto"/>
                <w:kern w:val="21"/>
                <w:sz w:val="21"/>
                <w:szCs w:val="21"/>
                <w:lang w:eastAsia="zh-CN"/>
              </w:rPr>
              <w:t>氨氮</w:t>
            </w:r>
          </w:p>
        </w:tc>
        <w:tc>
          <w:tcPr>
            <w:tcW w:w="1701" w:type="dxa"/>
            <w:noWrap w:val="0"/>
            <w:vAlign w:val="center"/>
          </w:tcPr>
          <w:p w14:paraId="43CD1653">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045474E5">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473F1537">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6F895670">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0.0212</w:t>
            </w:r>
          </w:p>
        </w:tc>
        <w:tc>
          <w:tcPr>
            <w:tcW w:w="1761" w:type="dxa"/>
            <w:noWrap w:val="0"/>
            <w:vAlign w:val="center"/>
          </w:tcPr>
          <w:p w14:paraId="4C05A76E">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1181DD93">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0.0212</w:t>
            </w:r>
          </w:p>
        </w:tc>
        <w:tc>
          <w:tcPr>
            <w:tcW w:w="1173" w:type="dxa"/>
            <w:noWrap w:val="0"/>
            <w:vAlign w:val="center"/>
          </w:tcPr>
          <w:p w14:paraId="09FE6598">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+0.0212</w:t>
            </w:r>
          </w:p>
        </w:tc>
      </w:tr>
      <w:tr w14:paraId="105BDD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continue"/>
            <w:noWrap w:val="0"/>
            <w:vAlign w:val="center"/>
          </w:tcPr>
          <w:p w14:paraId="14CB549D">
            <w:pPr>
              <w:pStyle w:val="37"/>
              <w:spacing w:beforeLines="0" w:afterLines="0" w:line="240" w:lineRule="auto"/>
              <w:rPr>
                <w:rFonts w:hint="default" w:ascii="Times New Roman" w:hAnsi="Times New Roman" w:eastAsia="仿宋_GB2312" w:cs="Times New Roman"/>
                <w:snapToGrid w:val="0"/>
                <w:color w:val="auto"/>
                <w:kern w:val="21"/>
                <w:sz w:val="21"/>
                <w:szCs w:val="21"/>
              </w:rPr>
            </w:pPr>
          </w:p>
        </w:tc>
        <w:tc>
          <w:tcPr>
            <w:tcW w:w="1417" w:type="dxa"/>
            <w:noWrap w:val="0"/>
            <w:vAlign w:val="center"/>
          </w:tcPr>
          <w:p w14:paraId="3BD544EA">
            <w:pPr>
              <w:pStyle w:val="37"/>
              <w:spacing w:beforeLines="0" w:afterLines="0" w:line="240" w:lineRule="auto"/>
              <w:rPr>
                <w:rFonts w:hint="default" w:ascii="Times New Roman" w:hAnsi="Times New Roman" w:eastAsia="仿宋_GB2312" w:cs="Times New Roman"/>
                <w:snapToGrid w:val="0"/>
                <w:color w:val="auto"/>
                <w:kern w:val="21"/>
                <w:sz w:val="21"/>
                <w:szCs w:val="21"/>
                <w:lang w:eastAsia="zh-CN"/>
              </w:rPr>
            </w:pPr>
            <w:r>
              <w:rPr>
                <w:rFonts w:hint="default" w:ascii="Times New Roman" w:hAnsi="Times New Roman" w:eastAsia="仿宋_GB2312" w:cs="Times New Roman"/>
                <w:snapToGrid w:val="0"/>
                <w:color w:val="auto"/>
                <w:kern w:val="21"/>
                <w:sz w:val="21"/>
                <w:szCs w:val="21"/>
                <w:lang w:eastAsia="zh-CN"/>
              </w:rPr>
              <w:t>总磷</w:t>
            </w:r>
          </w:p>
        </w:tc>
        <w:tc>
          <w:tcPr>
            <w:tcW w:w="1701" w:type="dxa"/>
            <w:noWrap w:val="0"/>
            <w:vAlign w:val="center"/>
          </w:tcPr>
          <w:p w14:paraId="67561DB2">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1FA42171">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1D9E84B1">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01D26096">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0.0025</w:t>
            </w:r>
          </w:p>
        </w:tc>
        <w:tc>
          <w:tcPr>
            <w:tcW w:w="1761" w:type="dxa"/>
            <w:noWrap w:val="0"/>
            <w:vAlign w:val="center"/>
          </w:tcPr>
          <w:p w14:paraId="169FD367">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37056168">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0.0025</w:t>
            </w:r>
          </w:p>
        </w:tc>
        <w:tc>
          <w:tcPr>
            <w:tcW w:w="1173" w:type="dxa"/>
            <w:noWrap w:val="0"/>
            <w:vAlign w:val="center"/>
          </w:tcPr>
          <w:p w14:paraId="06E5E9B5">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+0.0025</w:t>
            </w:r>
          </w:p>
        </w:tc>
      </w:tr>
      <w:tr w14:paraId="0C31DE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continue"/>
            <w:noWrap w:val="0"/>
            <w:vAlign w:val="center"/>
          </w:tcPr>
          <w:p w14:paraId="2590003E">
            <w:pPr>
              <w:pStyle w:val="37"/>
              <w:spacing w:beforeLines="0" w:afterLines="0" w:line="240" w:lineRule="auto"/>
              <w:rPr>
                <w:rFonts w:hint="default" w:ascii="Times New Roman" w:hAnsi="Times New Roman" w:eastAsia="仿宋_GB2312" w:cs="Times New Roman"/>
                <w:snapToGrid w:val="0"/>
                <w:color w:val="auto"/>
                <w:kern w:val="21"/>
                <w:sz w:val="21"/>
                <w:szCs w:val="21"/>
              </w:rPr>
            </w:pPr>
          </w:p>
        </w:tc>
        <w:tc>
          <w:tcPr>
            <w:tcW w:w="1417" w:type="dxa"/>
            <w:noWrap w:val="0"/>
            <w:vAlign w:val="center"/>
          </w:tcPr>
          <w:p w14:paraId="7A8126EA">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总氮</w:t>
            </w:r>
          </w:p>
        </w:tc>
        <w:tc>
          <w:tcPr>
            <w:tcW w:w="1701" w:type="dxa"/>
            <w:noWrap w:val="0"/>
            <w:vAlign w:val="center"/>
          </w:tcPr>
          <w:p w14:paraId="0BB5FE11">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41BFA227">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1A2BBFD5">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4EE3FF08">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0.0339</w:t>
            </w:r>
          </w:p>
        </w:tc>
        <w:tc>
          <w:tcPr>
            <w:tcW w:w="1761" w:type="dxa"/>
            <w:noWrap w:val="0"/>
            <w:vAlign w:val="center"/>
          </w:tcPr>
          <w:p w14:paraId="337E57BF">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6060DA2B">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0.0339</w:t>
            </w:r>
          </w:p>
        </w:tc>
        <w:tc>
          <w:tcPr>
            <w:tcW w:w="1173" w:type="dxa"/>
            <w:noWrap w:val="0"/>
            <w:vAlign w:val="center"/>
          </w:tcPr>
          <w:p w14:paraId="30A040FA">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+0.0339</w:t>
            </w:r>
          </w:p>
        </w:tc>
      </w:tr>
      <w:tr w14:paraId="229FBF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continue"/>
            <w:noWrap w:val="0"/>
            <w:vAlign w:val="center"/>
          </w:tcPr>
          <w:p w14:paraId="478E0587">
            <w:pPr>
              <w:pStyle w:val="37"/>
              <w:spacing w:beforeLines="0" w:afterLines="0" w:line="240" w:lineRule="auto"/>
              <w:rPr>
                <w:rFonts w:hint="default" w:ascii="Times New Roman" w:hAnsi="Times New Roman" w:eastAsia="仿宋_GB2312" w:cs="Times New Roman"/>
                <w:snapToGrid w:val="0"/>
                <w:color w:val="auto"/>
                <w:kern w:val="21"/>
                <w:sz w:val="21"/>
                <w:szCs w:val="21"/>
              </w:rPr>
            </w:pPr>
          </w:p>
        </w:tc>
        <w:tc>
          <w:tcPr>
            <w:tcW w:w="1417" w:type="dxa"/>
            <w:noWrap w:val="0"/>
            <w:vAlign w:val="center"/>
          </w:tcPr>
          <w:p w14:paraId="54AC2D44">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eastAsia="zh-CN"/>
              </w:rPr>
              <w:t>悬浮物</w:t>
            </w:r>
          </w:p>
        </w:tc>
        <w:tc>
          <w:tcPr>
            <w:tcW w:w="1701" w:type="dxa"/>
            <w:noWrap w:val="0"/>
            <w:vAlign w:val="center"/>
          </w:tcPr>
          <w:p w14:paraId="12C7FEDF">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4BE14AE8">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70AF0069">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740028B0">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0.2538</w:t>
            </w:r>
          </w:p>
        </w:tc>
        <w:tc>
          <w:tcPr>
            <w:tcW w:w="1761" w:type="dxa"/>
            <w:noWrap w:val="0"/>
            <w:vAlign w:val="center"/>
          </w:tcPr>
          <w:p w14:paraId="7F236E8F">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21226ED3">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0.2538</w:t>
            </w:r>
          </w:p>
        </w:tc>
        <w:tc>
          <w:tcPr>
            <w:tcW w:w="1173" w:type="dxa"/>
            <w:noWrap w:val="0"/>
            <w:vAlign w:val="center"/>
          </w:tcPr>
          <w:p w14:paraId="2F6DE3E7">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+0.2538</w:t>
            </w:r>
          </w:p>
        </w:tc>
      </w:tr>
      <w:tr w14:paraId="6C2ABB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continue"/>
            <w:noWrap w:val="0"/>
            <w:vAlign w:val="center"/>
          </w:tcPr>
          <w:p w14:paraId="4C4BC422">
            <w:pPr>
              <w:pStyle w:val="37"/>
              <w:spacing w:beforeLines="0" w:afterLines="0" w:line="240" w:lineRule="auto"/>
              <w:rPr>
                <w:rFonts w:hint="default" w:ascii="Times New Roman" w:hAnsi="Times New Roman" w:eastAsia="仿宋_GB2312" w:cs="Times New Roman"/>
                <w:snapToGrid w:val="0"/>
                <w:color w:val="auto"/>
                <w:kern w:val="21"/>
                <w:sz w:val="21"/>
                <w:szCs w:val="21"/>
              </w:rPr>
            </w:pPr>
          </w:p>
        </w:tc>
        <w:tc>
          <w:tcPr>
            <w:tcW w:w="1417" w:type="dxa"/>
            <w:noWrap w:val="0"/>
            <w:vAlign w:val="center"/>
          </w:tcPr>
          <w:p w14:paraId="1B1DE62D">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eastAsia="zh-CN"/>
              </w:rPr>
              <w:t>石油类</w:t>
            </w:r>
          </w:p>
        </w:tc>
        <w:tc>
          <w:tcPr>
            <w:tcW w:w="1701" w:type="dxa"/>
            <w:noWrap w:val="0"/>
            <w:vAlign w:val="center"/>
          </w:tcPr>
          <w:p w14:paraId="5DA1BBC7">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1D6707B1">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6028046C">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41B1040E">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0.0116</w:t>
            </w:r>
          </w:p>
        </w:tc>
        <w:tc>
          <w:tcPr>
            <w:tcW w:w="1761" w:type="dxa"/>
            <w:noWrap w:val="0"/>
            <w:vAlign w:val="center"/>
          </w:tcPr>
          <w:p w14:paraId="5831E0EA">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661DC88D">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0.0116</w:t>
            </w:r>
          </w:p>
        </w:tc>
        <w:tc>
          <w:tcPr>
            <w:tcW w:w="1173" w:type="dxa"/>
            <w:noWrap w:val="0"/>
            <w:vAlign w:val="center"/>
          </w:tcPr>
          <w:p w14:paraId="06587EDF">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+0.0116</w:t>
            </w:r>
          </w:p>
        </w:tc>
      </w:tr>
      <w:tr w14:paraId="6629BE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continue"/>
            <w:noWrap w:val="0"/>
            <w:vAlign w:val="center"/>
          </w:tcPr>
          <w:p w14:paraId="2B0376F6">
            <w:pPr>
              <w:pStyle w:val="37"/>
              <w:spacing w:beforeLines="0" w:afterLines="0" w:line="240" w:lineRule="auto"/>
              <w:rPr>
                <w:rFonts w:hint="default" w:ascii="Times New Roman" w:hAnsi="Times New Roman" w:eastAsia="仿宋_GB2312" w:cs="Times New Roman"/>
                <w:snapToGrid w:val="0"/>
                <w:color w:val="auto"/>
                <w:kern w:val="21"/>
                <w:sz w:val="21"/>
                <w:szCs w:val="21"/>
              </w:rPr>
            </w:pPr>
          </w:p>
        </w:tc>
        <w:tc>
          <w:tcPr>
            <w:tcW w:w="1417" w:type="dxa"/>
            <w:noWrap w:val="0"/>
            <w:vAlign w:val="center"/>
          </w:tcPr>
          <w:p w14:paraId="234BF0D0">
            <w:pPr>
              <w:pStyle w:val="37"/>
              <w:spacing w:beforeLines="0" w:afterLines="0" w:line="240" w:lineRule="auto"/>
              <w:rPr>
                <w:rFonts w:hint="default" w:ascii="Times New Roman" w:hAnsi="Times New Roman" w:eastAsia="仿宋_GB2312" w:cs="Times New Roman"/>
                <w:snapToGrid w:val="0"/>
                <w:color w:val="auto"/>
                <w:kern w:val="21"/>
                <w:sz w:val="21"/>
                <w:szCs w:val="21"/>
                <w:lang w:eastAsia="zh-CN"/>
              </w:rPr>
            </w:pPr>
            <w:r>
              <w:rPr>
                <w:rFonts w:hint="default" w:ascii="Times New Roman" w:hAnsi="Times New Roman" w:eastAsia="仿宋_GB2312" w:cs="Times New Roman"/>
                <w:snapToGrid w:val="0"/>
                <w:color w:val="auto"/>
                <w:kern w:val="21"/>
                <w:sz w:val="21"/>
                <w:szCs w:val="21"/>
                <w:lang w:eastAsia="zh-CN"/>
              </w:rPr>
              <w:t>阴离子表面活性剂</w:t>
            </w:r>
          </w:p>
        </w:tc>
        <w:tc>
          <w:tcPr>
            <w:tcW w:w="1701" w:type="dxa"/>
            <w:noWrap w:val="0"/>
            <w:vAlign w:val="center"/>
          </w:tcPr>
          <w:p w14:paraId="5660E1FE">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781C2530">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3ED700D0">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73631B16">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0.0039</w:t>
            </w:r>
          </w:p>
        </w:tc>
        <w:tc>
          <w:tcPr>
            <w:tcW w:w="1761" w:type="dxa"/>
            <w:noWrap w:val="0"/>
            <w:vAlign w:val="center"/>
          </w:tcPr>
          <w:p w14:paraId="082D62C3">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434B9BB2">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0.0039</w:t>
            </w:r>
          </w:p>
        </w:tc>
        <w:tc>
          <w:tcPr>
            <w:tcW w:w="1173" w:type="dxa"/>
            <w:noWrap w:val="0"/>
            <w:vAlign w:val="center"/>
          </w:tcPr>
          <w:p w14:paraId="3C874D15">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+0.0039</w:t>
            </w:r>
          </w:p>
        </w:tc>
      </w:tr>
      <w:tr w14:paraId="27D9CB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restart"/>
            <w:noWrap w:val="0"/>
            <w:vAlign w:val="center"/>
          </w:tcPr>
          <w:p w14:paraId="3866C71C">
            <w:pPr>
              <w:pStyle w:val="37"/>
              <w:spacing w:beforeLines="0" w:afterLines="0" w:line="240" w:lineRule="auto"/>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危险废物</w:t>
            </w:r>
          </w:p>
        </w:tc>
        <w:tc>
          <w:tcPr>
            <w:tcW w:w="1417" w:type="dxa"/>
            <w:noWrap w:val="0"/>
            <w:vAlign w:val="center"/>
          </w:tcPr>
          <w:p w14:paraId="29E65D9F">
            <w:pPr>
              <w:pStyle w:val="37"/>
              <w:spacing w:beforeLines="0" w:afterLines="0" w:line="240" w:lineRule="auto"/>
              <w:rPr>
                <w:rFonts w:hint="default" w:ascii="Times New Roman" w:hAnsi="Times New Roman" w:eastAsia="仿宋_GB2312" w:cs="Times New Roman"/>
                <w:snapToGrid w:val="0"/>
                <w:color w:val="auto"/>
                <w:kern w:val="21"/>
                <w:sz w:val="21"/>
                <w:szCs w:val="21"/>
                <w:lang w:eastAsia="zh-CN"/>
              </w:rPr>
            </w:pPr>
            <w:r>
              <w:rPr>
                <w:rFonts w:hint="default" w:ascii="Times New Roman" w:hAnsi="Times New Roman" w:eastAsia="仿宋_GB2312" w:cs="Times New Roman"/>
                <w:snapToGrid w:val="0"/>
                <w:color w:val="auto"/>
                <w:kern w:val="21"/>
                <w:sz w:val="21"/>
                <w:szCs w:val="21"/>
                <w:lang w:eastAsia="zh-CN"/>
              </w:rPr>
              <w:t>油罐清理残液</w:t>
            </w:r>
          </w:p>
        </w:tc>
        <w:tc>
          <w:tcPr>
            <w:tcW w:w="1701" w:type="dxa"/>
            <w:noWrap w:val="0"/>
            <w:vAlign w:val="center"/>
          </w:tcPr>
          <w:p w14:paraId="0056C54A">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3B4F3E9E">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6FB50054">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7B64AB70">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0.50</w:t>
            </w:r>
          </w:p>
        </w:tc>
        <w:tc>
          <w:tcPr>
            <w:tcW w:w="1761" w:type="dxa"/>
            <w:noWrap w:val="0"/>
            <w:vAlign w:val="center"/>
          </w:tcPr>
          <w:p w14:paraId="725FA7FC">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129A323D">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0.50</w:t>
            </w:r>
          </w:p>
        </w:tc>
        <w:tc>
          <w:tcPr>
            <w:tcW w:w="1173" w:type="dxa"/>
            <w:noWrap w:val="0"/>
            <w:vAlign w:val="center"/>
          </w:tcPr>
          <w:p w14:paraId="1BB5E776">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+0.50</w:t>
            </w:r>
          </w:p>
        </w:tc>
      </w:tr>
      <w:tr w14:paraId="3A32EE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vMerge w:val="continue"/>
            <w:noWrap w:val="0"/>
            <w:vAlign w:val="center"/>
          </w:tcPr>
          <w:p w14:paraId="5624A863">
            <w:pPr>
              <w:pStyle w:val="37"/>
              <w:spacing w:beforeLines="0" w:afterLines="0" w:line="240" w:lineRule="auto"/>
              <w:rPr>
                <w:rFonts w:hint="default" w:ascii="Times New Roman" w:hAnsi="Times New Roman" w:eastAsia="仿宋_GB2312" w:cs="Times New Roman"/>
                <w:snapToGrid w:val="0"/>
                <w:color w:val="auto"/>
                <w:kern w:val="21"/>
                <w:sz w:val="21"/>
                <w:szCs w:val="21"/>
              </w:rPr>
            </w:pPr>
          </w:p>
        </w:tc>
        <w:tc>
          <w:tcPr>
            <w:tcW w:w="1417" w:type="dxa"/>
            <w:noWrap w:val="0"/>
            <w:vAlign w:val="center"/>
          </w:tcPr>
          <w:p w14:paraId="62A06FA8">
            <w:pPr>
              <w:pStyle w:val="37"/>
              <w:spacing w:beforeLines="0" w:afterLines="0" w:line="240" w:lineRule="auto"/>
              <w:rPr>
                <w:rFonts w:hint="default" w:ascii="Times New Roman" w:hAnsi="Times New Roman" w:eastAsia="仿宋_GB2312" w:cs="Times New Roman"/>
                <w:snapToGrid w:val="0"/>
                <w:color w:val="auto"/>
                <w:kern w:val="21"/>
                <w:sz w:val="21"/>
                <w:szCs w:val="21"/>
                <w:lang w:eastAsia="zh-CN"/>
              </w:rPr>
            </w:pPr>
            <w:r>
              <w:rPr>
                <w:rFonts w:hint="default" w:ascii="Times New Roman" w:hAnsi="Times New Roman" w:eastAsia="仿宋_GB2312" w:cs="Times New Roman"/>
                <w:snapToGrid w:val="0"/>
                <w:color w:val="auto"/>
                <w:kern w:val="21"/>
                <w:sz w:val="21"/>
                <w:szCs w:val="21"/>
                <w:lang w:eastAsia="zh-CN"/>
              </w:rPr>
              <w:t>含油污泥</w:t>
            </w:r>
          </w:p>
        </w:tc>
        <w:tc>
          <w:tcPr>
            <w:tcW w:w="1701" w:type="dxa"/>
            <w:noWrap w:val="0"/>
            <w:vAlign w:val="center"/>
          </w:tcPr>
          <w:p w14:paraId="300E9655">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38FAB609">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1489DE45">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67E2ABDF">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default" w:ascii="Times New Roman" w:hAnsi="Times New Roman" w:eastAsia="仿宋_GB2312" w:cs="Times New Roman"/>
                <w:snapToGrid w:val="0"/>
                <w:color w:val="auto"/>
                <w:kern w:val="21"/>
                <w:sz w:val="21"/>
                <w:szCs w:val="21"/>
                <w:lang w:val="en-US" w:eastAsia="zh-CN"/>
              </w:rPr>
              <w:t>0.</w:t>
            </w:r>
            <w:r>
              <w:rPr>
                <w:rFonts w:hint="eastAsia" w:ascii="Times New Roman" w:eastAsia="仿宋_GB2312" w:cs="Times New Roman"/>
                <w:snapToGrid w:val="0"/>
                <w:color w:val="auto"/>
                <w:kern w:val="21"/>
                <w:sz w:val="21"/>
                <w:szCs w:val="21"/>
                <w:lang w:val="en-US" w:eastAsia="zh-CN"/>
              </w:rPr>
              <w:t>34</w:t>
            </w:r>
          </w:p>
        </w:tc>
        <w:tc>
          <w:tcPr>
            <w:tcW w:w="1761" w:type="dxa"/>
            <w:noWrap w:val="0"/>
            <w:vAlign w:val="center"/>
          </w:tcPr>
          <w:p w14:paraId="2CFA4F31">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12A39B98">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w:t>
            </w:r>
            <w:r>
              <w:rPr>
                <w:rFonts w:hint="eastAsia" w:ascii="Times New Roman" w:eastAsia="仿宋_GB2312" w:cs="Times New Roman"/>
                <w:snapToGrid w:val="0"/>
                <w:color w:val="auto"/>
                <w:kern w:val="21"/>
                <w:sz w:val="21"/>
                <w:szCs w:val="21"/>
                <w:lang w:val="en-US" w:eastAsia="zh-CN"/>
              </w:rPr>
              <w:t>34</w:t>
            </w:r>
          </w:p>
        </w:tc>
        <w:tc>
          <w:tcPr>
            <w:tcW w:w="1173" w:type="dxa"/>
            <w:noWrap w:val="0"/>
            <w:vAlign w:val="center"/>
          </w:tcPr>
          <w:p w14:paraId="0E42BBAA">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+0.</w:t>
            </w:r>
            <w:r>
              <w:rPr>
                <w:rFonts w:hint="eastAsia" w:ascii="Times New Roman" w:eastAsia="仿宋_GB2312" w:cs="Times New Roman"/>
                <w:snapToGrid w:val="0"/>
                <w:color w:val="auto"/>
                <w:kern w:val="21"/>
                <w:sz w:val="21"/>
                <w:szCs w:val="21"/>
                <w:lang w:val="en-US" w:eastAsia="zh-CN"/>
              </w:rPr>
              <w:t>34</w:t>
            </w:r>
          </w:p>
        </w:tc>
      </w:tr>
      <w:tr w14:paraId="37B059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88" w:type="dxa"/>
            <w:noWrap w:val="0"/>
            <w:vAlign w:val="center"/>
          </w:tcPr>
          <w:p w14:paraId="583AB27D">
            <w:pPr>
              <w:pStyle w:val="37"/>
              <w:spacing w:beforeLines="0" w:afterLines="0" w:line="240" w:lineRule="auto"/>
              <w:rPr>
                <w:rFonts w:hint="default" w:ascii="Times New Roman" w:hAnsi="Times New Roman" w:eastAsia="仿宋_GB2312" w:cs="Times New Roman"/>
                <w:snapToGrid w:val="0"/>
                <w:color w:val="auto"/>
                <w:kern w:val="21"/>
                <w:sz w:val="21"/>
                <w:szCs w:val="21"/>
                <w:lang w:eastAsia="zh-CN"/>
              </w:rPr>
            </w:pPr>
            <w:r>
              <w:rPr>
                <w:rFonts w:hint="default" w:ascii="Times New Roman" w:hAnsi="Times New Roman" w:eastAsia="仿宋_GB2312" w:cs="Times New Roman"/>
                <w:snapToGrid w:val="0"/>
                <w:color w:val="auto"/>
                <w:kern w:val="21"/>
                <w:sz w:val="21"/>
                <w:szCs w:val="21"/>
                <w:lang w:eastAsia="zh-CN"/>
              </w:rPr>
              <w:t>生活垃圾</w:t>
            </w:r>
          </w:p>
        </w:tc>
        <w:tc>
          <w:tcPr>
            <w:tcW w:w="1417" w:type="dxa"/>
            <w:noWrap w:val="0"/>
            <w:vAlign w:val="center"/>
          </w:tcPr>
          <w:p w14:paraId="06E3F76B">
            <w:pPr>
              <w:pStyle w:val="37"/>
              <w:spacing w:beforeLines="0" w:afterLines="0" w:line="240" w:lineRule="auto"/>
              <w:rPr>
                <w:rFonts w:hint="default" w:ascii="Times New Roman" w:hAnsi="Times New Roman" w:eastAsia="仿宋_GB2312" w:cs="Times New Roman"/>
                <w:snapToGrid w:val="0"/>
                <w:color w:val="auto"/>
                <w:kern w:val="21"/>
                <w:sz w:val="21"/>
                <w:szCs w:val="21"/>
                <w:lang w:eastAsia="zh-CN"/>
              </w:rPr>
            </w:pPr>
            <w:r>
              <w:rPr>
                <w:rFonts w:hint="default" w:ascii="Times New Roman" w:hAnsi="Times New Roman" w:eastAsia="仿宋_GB2312" w:cs="Times New Roman"/>
                <w:snapToGrid w:val="0"/>
                <w:color w:val="auto"/>
                <w:kern w:val="21"/>
                <w:sz w:val="21"/>
                <w:szCs w:val="21"/>
                <w:lang w:eastAsia="zh-CN"/>
              </w:rPr>
              <w:t>生活垃圾</w:t>
            </w:r>
          </w:p>
        </w:tc>
        <w:tc>
          <w:tcPr>
            <w:tcW w:w="1701" w:type="dxa"/>
            <w:noWrap w:val="0"/>
            <w:vAlign w:val="center"/>
          </w:tcPr>
          <w:p w14:paraId="1AC80BC9">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276" w:type="dxa"/>
            <w:noWrap w:val="0"/>
            <w:vAlign w:val="center"/>
          </w:tcPr>
          <w:p w14:paraId="6E607747">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701" w:type="dxa"/>
            <w:noWrap w:val="0"/>
            <w:vAlign w:val="center"/>
          </w:tcPr>
          <w:p w14:paraId="270CA194">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559" w:type="dxa"/>
            <w:noWrap w:val="0"/>
            <w:vAlign w:val="center"/>
          </w:tcPr>
          <w:p w14:paraId="5FDDF37E">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rPr>
            </w:pPr>
            <w:r>
              <w:rPr>
                <w:rFonts w:hint="eastAsia" w:ascii="Times New Roman" w:hAnsi="Times New Roman" w:eastAsia="仿宋_GB2312" w:cs="Times New Roman"/>
                <w:snapToGrid w:val="0"/>
                <w:color w:val="auto"/>
                <w:kern w:val="21"/>
                <w:sz w:val="21"/>
                <w:szCs w:val="21"/>
                <w:lang w:val="en-US" w:eastAsia="zh-CN"/>
              </w:rPr>
              <w:t>10.58</w:t>
            </w:r>
          </w:p>
        </w:tc>
        <w:tc>
          <w:tcPr>
            <w:tcW w:w="1761" w:type="dxa"/>
            <w:noWrap w:val="0"/>
            <w:vAlign w:val="center"/>
          </w:tcPr>
          <w:p w14:paraId="1DF0FFDA">
            <w:pPr>
              <w:spacing w:beforeLines="0" w:afterLines="0" w:line="240" w:lineRule="auto"/>
              <w:jc w:val="center"/>
              <w:rPr>
                <w:rFonts w:hint="default" w:ascii="Times New Roman" w:hAnsi="Times New Roman" w:eastAsia="仿宋_GB2312" w:cs="Times New Roman"/>
                <w:snapToGrid w:val="0"/>
                <w:color w:val="auto"/>
                <w:kern w:val="21"/>
                <w:sz w:val="21"/>
                <w:szCs w:val="21"/>
              </w:rPr>
            </w:pPr>
            <w:r>
              <w:rPr>
                <w:rFonts w:hint="default" w:ascii="Times New Roman" w:hAnsi="Times New Roman" w:eastAsia="仿宋_GB2312" w:cs="Times New Roman"/>
                <w:snapToGrid w:val="0"/>
                <w:color w:val="auto"/>
                <w:kern w:val="21"/>
                <w:sz w:val="21"/>
                <w:szCs w:val="21"/>
              </w:rPr>
              <w:t>/</w:t>
            </w:r>
          </w:p>
        </w:tc>
        <w:tc>
          <w:tcPr>
            <w:tcW w:w="1612" w:type="dxa"/>
            <w:noWrap w:val="0"/>
            <w:vAlign w:val="center"/>
          </w:tcPr>
          <w:p w14:paraId="1772C922">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eastAsia" w:ascii="Times New Roman" w:hAnsi="Times New Roman" w:eastAsia="仿宋_GB2312" w:cs="Times New Roman"/>
                <w:snapToGrid w:val="0"/>
                <w:color w:val="auto"/>
                <w:kern w:val="21"/>
                <w:sz w:val="21"/>
                <w:szCs w:val="21"/>
                <w:lang w:val="en-US" w:eastAsia="zh-CN"/>
              </w:rPr>
              <w:t>10.58</w:t>
            </w:r>
          </w:p>
        </w:tc>
        <w:tc>
          <w:tcPr>
            <w:tcW w:w="1173" w:type="dxa"/>
            <w:noWrap w:val="0"/>
            <w:vAlign w:val="center"/>
          </w:tcPr>
          <w:p w14:paraId="5E04B740">
            <w:pPr>
              <w:pStyle w:val="37"/>
              <w:spacing w:beforeLines="0" w:afterLines="0" w:line="240" w:lineRule="auto"/>
              <w:rPr>
                <w:rFonts w:hint="default" w:ascii="Times New Roman" w:hAnsi="Times New Roman" w:eastAsia="仿宋_GB2312" w:cs="Times New Roman"/>
                <w:snapToGrid w:val="0"/>
                <w:color w:val="auto"/>
                <w:kern w:val="21"/>
                <w:sz w:val="21"/>
                <w:szCs w:val="21"/>
                <w:lang w:val="en-US" w:eastAsia="zh-CN" w:bidi="ar-SA"/>
              </w:rPr>
            </w:pPr>
            <w:r>
              <w:rPr>
                <w:rFonts w:hint="default" w:ascii="Times New Roman" w:hAnsi="Times New Roman" w:eastAsia="仿宋_GB2312" w:cs="Times New Roman"/>
                <w:snapToGrid w:val="0"/>
                <w:color w:val="auto"/>
                <w:kern w:val="21"/>
                <w:sz w:val="21"/>
                <w:szCs w:val="21"/>
                <w:lang w:val="en-US" w:eastAsia="zh-CN"/>
              </w:rPr>
              <w:t>+</w:t>
            </w:r>
            <w:r>
              <w:rPr>
                <w:rFonts w:hint="eastAsia" w:ascii="Times New Roman" w:hAnsi="Times New Roman" w:eastAsia="仿宋_GB2312" w:cs="Times New Roman"/>
                <w:snapToGrid w:val="0"/>
                <w:color w:val="auto"/>
                <w:kern w:val="21"/>
                <w:sz w:val="21"/>
                <w:szCs w:val="21"/>
                <w:lang w:val="en-US" w:eastAsia="zh-CN"/>
              </w:rPr>
              <w:t>10.58</w:t>
            </w:r>
          </w:p>
        </w:tc>
      </w:tr>
    </w:tbl>
    <w:p w14:paraId="33C64981">
      <w:pPr>
        <w:pStyle w:val="37"/>
        <w:keepNext w:val="0"/>
        <w:keepLines w:val="0"/>
        <w:pageBreakBefore w:val="0"/>
        <w:widowControl w:val="0"/>
        <w:kinsoku/>
        <w:wordWrap/>
        <w:overflowPunct/>
        <w:topLinePunct w:val="0"/>
        <w:autoSpaceDE/>
        <w:autoSpaceDN/>
        <w:bidi w:val="0"/>
        <w:adjustRightInd w:val="0"/>
        <w:snapToGrid w:val="0"/>
        <w:spacing w:beforeLines="0" w:afterLines="0" w:line="240" w:lineRule="auto"/>
        <w:jc w:val="left"/>
        <w:textAlignment w:val="auto"/>
        <w:rPr>
          <w:rFonts w:ascii="宋体" w:hAnsi="宋体" w:eastAsia="黑体"/>
          <w:color w:val="auto"/>
        </w:rPr>
      </w:pPr>
      <w:r>
        <w:rPr>
          <w:rFonts w:hAnsi="宋体"/>
          <w:snapToGrid w:val="0"/>
          <w:color w:val="auto"/>
          <w:kern w:val="21"/>
          <w:szCs w:val="21"/>
        </w:rPr>
        <w:t>注：</w:t>
      </w:r>
      <w:r>
        <w:rPr>
          <w:rFonts w:hAnsi="宋体"/>
          <w:snapToGrid w:val="0"/>
          <w:color w:val="auto"/>
          <w:spacing w:val="-16"/>
          <w:kern w:val="21"/>
          <w:szCs w:val="21"/>
        </w:rPr>
        <w:fldChar w:fldCharType="begin"/>
      </w:r>
      <w:r>
        <w:rPr>
          <w:rFonts w:hAnsi="宋体"/>
          <w:snapToGrid w:val="0"/>
          <w:color w:val="auto"/>
          <w:spacing w:val="-16"/>
          <w:kern w:val="21"/>
          <w:szCs w:val="21"/>
        </w:rPr>
        <w:instrText xml:space="preserve"> = 6 \* GB3 \* MERGEFORMAT </w:instrText>
      </w:r>
      <w:r>
        <w:rPr>
          <w:rFonts w:hAnsi="宋体"/>
          <w:snapToGrid w:val="0"/>
          <w:color w:val="auto"/>
          <w:spacing w:val="-16"/>
          <w:kern w:val="21"/>
          <w:szCs w:val="21"/>
        </w:rPr>
        <w:fldChar w:fldCharType="separate"/>
      </w:r>
      <w:r>
        <w:rPr>
          <w:rFonts w:hint="eastAsia" w:hAnsi="宋体"/>
          <w:color w:val="auto"/>
          <w:szCs w:val="21"/>
        </w:rPr>
        <w:t>⑥</w:t>
      </w:r>
      <w:r>
        <w:rPr>
          <w:rFonts w:hAnsi="宋体"/>
          <w:snapToGrid w:val="0"/>
          <w:color w:val="auto"/>
          <w:spacing w:val="-16"/>
          <w:kern w:val="21"/>
          <w:szCs w:val="21"/>
        </w:rPr>
        <w:fldChar w:fldCharType="end"/>
      </w:r>
      <w:r>
        <w:rPr>
          <w:rFonts w:hAnsi="宋体"/>
          <w:snapToGrid w:val="0"/>
          <w:color w:val="auto"/>
          <w:spacing w:val="-1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1 \* GB3 \* MERGEFORMAT </w:instrText>
      </w:r>
      <w:r>
        <w:rPr>
          <w:rFonts w:hAnsi="宋体"/>
          <w:snapToGrid w:val="0"/>
          <w:color w:val="auto"/>
          <w:spacing w:val="-6"/>
          <w:kern w:val="21"/>
          <w:szCs w:val="21"/>
        </w:rPr>
        <w:fldChar w:fldCharType="separate"/>
      </w:r>
      <w:r>
        <w:rPr>
          <w:rFonts w:hint="eastAsia" w:hAnsi="宋体"/>
          <w:color w:val="auto"/>
          <w:szCs w:val="21"/>
        </w:rPr>
        <w:t>①</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3 \* GB3 \* MERGEFORMAT </w:instrText>
      </w:r>
      <w:r>
        <w:rPr>
          <w:rFonts w:hAnsi="宋体"/>
          <w:snapToGrid w:val="0"/>
          <w:color w:val="auto"/>
          <w:spacing w:val="-6"/>
          <w:kern w:val="21"/>
          <w:szCs w:val="21"/>
        </w:rPr>
        <w:fldChar w:fldCharType="separate"/>
      </w:r>
      <w:r>
        <w:rPr>
          <w:rFonts w:hint="eastAsia" w:hAnsi="宋体"/>
          <w:color w:val="auto"/>
          <w:szCs w:val="21"/>
        </w:rPr>
        <w:t>③</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4 \* GB3 \* MERGEFORMAT </w:instrText>
      </w:r>
      <w:r>
        <w:rPr>
          <w:rFonts w:hAnsi="宋体"/>
          <w:snapToGrid w:val="0"/>
          <w:color w:val="auto"/>
          <w:spacing w:val="-6"/>
          <w:kern w:val="21"/>
          <w:szCs w:val="21"/>
        </w:rPr>
        <w:fldChar w:fldCharType="separate"/>
      </w:r>
      <w:r>
        <w:rPr>
          <w:rFonts w:hint="eastAsia" w:hAnsi="宋体"/>
          <w:color w:val="auto"/>
          <w:szCs w:val="21"/>
        </w:rPr>
        <w:t>④</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16"/>
          <w:kern w:val="21"/>
          <w:szCs w:val="21"/>
        </w:rPr>
        <w:fldChar w:fldCharType="begin"/>
      </w:r>
      <w:r>
        <w:rPr>
          <w:rFonts w:hAnsi="宋体"/>
          <w:snapToGrid w:val="0"/>
          <w:color w:val="auto"/>
          <w:spacing w:val="-16"/>
          <w:kern w:val="21"/>
          <w:szCs w:val="21"/>
        </w:rPr>
        <w:instrText xml:space="preserve"> = 5 \* GB3 \* MERGEFORMAT </w:instrText>
      </w:r>
      <w:r>
        <w:rPr>
          <w:rFonts w:hAnsi="宋体"/>
          <w:snapToGrid w:val="0"/>
          <w:color w:val="auto"/>
          <w:spacing w:val="-16"/>
          <w:kern w:val="21"/>
          <w:szCs w:val="21"/>
        </w:rPr>
        <w:fldChar w:fldCharType="separate"/>
      </w:r>
      <w:r>
        <w:rPr>
          <w:rFonts w:hint="eastAsia" w:hAnsi="宋体"/>
          <w:color w:val="auto"/>
          <w:szCs w:val="21"/>
        </w:rPr>
        <w:t>⑤</w:t>
      </w:r>
      <w:r>
        <w:rPr>
          <w:rFonts w:hAnsi="宋体"/>
          <w:snapToGrid w:val="0"/>
          <w:color w:val="auto"/>
          <w:spacing w:val="-16"/>
          <w:kern w:val="21"/>
          <w:szCs w:val="21"/>
        </w:rPr>
        <w:fldChar w:fldCharType="end"/>
      </w:r>
      <w:r>
        <w:rPr>
          <w:rFonts w:hAnsi="宋体"/>
          <w:snapToGrid w:val="0"/>
          <w:color w:val="auto"/>
          <w:spacing w:val="-1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7 \* GB3 \* MERGEFORMAT </w:instrText>
      </w:r>
      <w:r>
        <w:rPr>
          <w:rFonts w:hAnsi="宋体"/>
          <w:snapToGrid w:val="0"/>
          <w:color w:val="auto"/>
          <w:spacing w:val="-6"/>
          <w:kern w:val="21"/>
          <w:szCs w:val="21"/>
        </w:rPr>
        <w:fldChar w:fldCharType="separate"/>
      </w:r>
      <w:r>
        <w:rPr>
          <w:rFonts w:hint="eastAsia" w:hAnsi="宋体"/>
          <w:color w:val="auto"/>
          <w:szCs w:val="21"/>
        </w:rPr>
        <w:t>⑦</w:t>
      </w:r>
      <w:r>
        <w:rPr>
          <w:rFonts w:hAnsi="宋体"/>
          <w:snapToGrid w:val="0"/>
          <w:color w:val="auto"/>
          <w:spacing w:val="-6"/>
          <w:kern w:val="21"/>
          <w:szCs w:val="21"/>
        </w:rPr>
        <w:fldChar w:fldCharType="end"/>
      </w:r>
      <w:r>
        <w:rPr>
          <w:rFonts w:hAnsi="宋体"/>
          <w:snapToGrid w:val="0"/>
          <w:color w:val="auto"/>
          <w:spacing w:val="-6"/>
          <w:kern w:val="21"/>
          <w:szCs w:val="21"/>
        </w:rPr>
        <w:t>=</w:t>
      </w:r>
      <w:r>
        <w:rPr>
          <w:rFonts w:hAnsi="宋体"/>
          <w:snapToGrid w:val="0"/>
          <w:color w:val="auto"/>
          <w:spacing w:val="-16"/>
          <w:kern w:val="21"/>
          <w:szCs w:val="21"/>
        </w:rPr>
        <w:fldChar w:fldCharType="begin"/>
      </w:r>
      <w:r>
        <w:rPr>
          <w:rFonts w:hAnsi="宋体"/>
          <w:snapToGrid w:val="0"/>
          <w:color w:val="auto"/>
          <w:spacing w:val="-16"/>
          <w:kern w:val="21"/>
          <w:szCs w:val="21"/>
        </w:rPr>
        <w:instrText xml:space="preserve"> = 6 \* GB3 \* MERGEFORMAT </w:instrText>
      </w:r>
      <w:r>
        <w:rPr>
          <w:rFonts w:hAnsi="宋体"/>
          <w:snapToGrid w:val="0"/>
          <w:color w:val="auto"/>
          <w:spacing w:val="-16"/>
          <w:kern w:val="21"/>
          <w:szCs w:val="21"/>
        </w:rPr>
        <w:fldChar w:fldCharType="separate"/>
      </w:r>
      <w:r>
        <w:rPr>
          <w:rFonts w:hint="eastAsia" w:hAnsi="宋体"/>
          <w:color w:val="auto"/>
          <w:szCs w:val="21"/>
        </w:rPr>
        <w:t>⑥</w:t>
      </w:r>
      <w:r>
        <w:rPr>
          <w:rFonts w:hAnsi="宋体"/>
          <w:snapToGrid w:val="0"/>
          <w:color w:val="auto"/>
          <w:spacing w:val="-16"/>
          <w:kern w:val="21"/>
          <w:szCs w:val="21"/>
        </w:rPr>
        <w:fldChar w:fldCharType="end"/>
      </w:r>
      <w:r>
        <w:rPr>
          <w:rFonts w:hAnsi="宋体"/>
          <w:snapToGrid w:val="0"/>
          <w:color w:val="auto"/>
          <w:spacing w:val="-16"/>
          <w:kern w:val="21"/>
          <w:szCs w:val="21"/>
        </w:rPr>
        <w:t>-</w:t>
      </w:r>
      <w:r>
        <w:rPr>
          <w:rFonts w:hAnsi="宋体"/>
          <w:snapToGrid w:val="0"/>
          <w:color w:val="auto"/>
          <w:spacing w:val="-6"/>
          <w:kern w:val="21"/>
          <w:szCs w:val="21"/>
        </w:rPr>
        <w:fldChar w:fldCharType="begin"/>
      </w:r>
      <w:r>
        <w:rPr>
          <w:rFonts w:hAnsi="宋体"/>
          <w:snapToGrid w:val="0"/>
          <w:color w:val="auto"/>
          <w:spacing w:val="-6"/>
          <w:kern w:val="21"/>
          <w:szCs w:val="21"/>
        </w:rPr>
        <w:instrText xml:space="preserve"> = 1 \* GB3 \* MERGEFORMAT </w:instrText>
      </w:r>
      <w:r>
        <w:rPr>
          <w:rFonts w:hAnsi="宋体"/>
          <w:snapToGrid w:val="0"/>
          <w:color w:val="auto"/>
          <w:spacing w:val="-6"/>
          <w:kern w:val="21"/>
          <w:szCs w:val="21"/>
        </w:rPr>
        <w:fldChar w:fldCharType="separate"/>
      </w:r>
      <w:r>
        <w:rPr>
          <w:rFonts w:hint="eastAsia" w:hAnsi="宋体"/>
          <w:color w:val="auto"/>
          <w:szCs w:val="21"/>
        </w:rPr>
        <w:t>①</w:t>
      </w:r>
      <w:r>
        <w:rPr>
          <w:rFonts w:hAnsi="宋体"/>
          <w:snapToGrid w:val="0"/>
          <w:color w:val="auto"/>
          <w:spacing w:val="-6"/>
          <w:kern w:val="21"/>
          <w:szCs w:val="21"/>
        </w:rPr>
        <w:fldChar w:fldCharType="end"/>
      </w:r>
    </w:p>
    <w:sectPr>
      <w:footerReference r:id="rId8" w:type="default"/>
      <w:pgSz w:w="16838" w:h="11906" w:orient="landscape"/>
      <w:pgMar w:top="1531" w:right="1701" w:bottom="1531" w:left="1701" w:header="851"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宋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18030">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roman"/>
    <w:pitch w:val="default"/>
    <w:sig w:usb0="00000000" w:usb1="00000000" w:usb2="00000000" w:usb3="00000000" w:csb0="00000001"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74A2F">
    <w:pPr>
      <w:pStyle w:val="14"/>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9E38B">
    <w:pPr>
      <w:pStyle w:val="14"/>
      <w:framePr w:wrap="around" w:vAnchor="text" w:hAnchor="margin" w:xAlign="center" w:y="1"/>
      <w:rPr>
        <w:rStyle w:val="23"/>
      </w:rPr>
    </w:pPr>
    <w:r>
      <w:fldChar w:fldCharType="begin"/>
    </w:r>
    <w:r>
      <w:rPr>
        <w:rStyle w:val="23"/>
      </w:rPr>
      <w:instrText xml:space="preserve">PAGE  </w:instrText>
    </w:r>
    <w:r>
      <w:fldChar w:fldCharType="end"/>
    </w:r>
  </w:p>
  <w:p w14:paraId="580AAAF2">
    <w:pPr>
      <w:pStyle w:val="1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2A6EA">
    <w:pPr>
      <w:pStyle w:val="14"/>
      <w:ind w:right="360" w:firstLine="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D7F84">
    <w:pPr>
      <w:pStyle w:val="14"/>
      <w:ind w:right="360"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20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85F05A">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206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NIFez/LAQAAnQMAAA4AAAAAAAAAAQAgAAAAHgEAAGRycy9lMm9E&#10;b2MueG1sUEsFBgAAAAAGAAYAWQEAAFsFAAAAAA==&#10;">
              <v:fill on="f" focussize="0,0"/>
              <v:stroke on="f"/>
              <v:imagedata o:title=""/>
              <o:lock v:ext="edit" aspectratio="f"/>
              <v:textbox inset="0mm,0mm,0mm,0mm" style="mso-fit-shape-to-text:t;">
                <w:txbxContent>
                  <w:p w14:paraId="6685F05A">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EF4F3">
    <w:pPr>
      <w:pStyle w:val="14"/>
      <w:ind w:right="360"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20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780D4D">
                          <w:pPr>
                            <w:pStyle w:val="14"/>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205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Am7nBX4QEAAMIDAAAOAAAA&#10;AAAAAAEAIAAAAB4BAABkcnMvZTJvRG9jLnhtbFBLBQYAAAAABgAGAFkBAABxBQAAAAA=&#10;">
              <v:fill on="f" focussize="0,0"/>
              <v:stroke on="f"/>
              <v:imagedata o:title=""/>
              <o:lock v:ext="edit" aspectratio="f"/>
              <v:textbox inset="0mm,0mm,0mm,0mm" style="mso-fit-shape-to-text:t;">
                <w:txbxContent>
                  <w:p w14:paraId="58780D4D">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03C6E">
    <w:pPr>
      <w:pStyle w:val="14"/>
      <w:ind w:right="360"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20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D1D646">
                          <w:pPr>
                            <w:pStyle w:val="14"/>
                          </w:pPr>
                          <w:r>
                            <w:fldChar w:fldCharType="begin"/>
                          </w:r>
                          <w:r>
                            <w:instrText xml:space="preserve"> PAGE  \* MERGEFORMAT </w:instrText>
                          </w:r>
                          <w:r>
                            <w:fldChar w:fldCharType="separate"/>
                          </w:r>
                          <w:r>
                            <w:t>8</w:t>
                          </w:r>
                          <w:r>
                            <w:fldChar w:fldCharType="end"/>
                          </w:r>
                        </w:p>
                      </w:txbxContent>
                    </wps:txbx>
                    <wps:bodyPr vert="horz" wrap="none" lIns="0" tIns="0" rIns="0" bIns="0" anchor="t" anchorCtr="0" upright="0">
                      <a:spAutoFit/>
                    </wps:bodyPr>
                  </wps:wsp>
                </a:graphicData>
              </a:graphic>
            </wp:anchor>
          </w:drawing>
        </mc:Choice>
        <mc:Fallback>
          <w:pict>
            <v:shape id="文本框 205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P4Ho6TgAQAAwgMAAA4AAAAA&#10;AAAAAQAgAAAAHgEAAGRycy9lMm9Eb2MueG1sUEsFBgAAAAAGAAYAWQEAAHAFAAAAAA==&#10;">
              <v:fill on="f" focussize="0,0"/>
              <v:stroke on="f"/>
              <v:imagedata o:title=""/>
              <o:lock v:ext="edit" aspectratio="f"/>
              <v:textbox inset="0mm,0mm,0mm,0mm" style="mso-fit-shape-to-text:t;">
                <w:txbxContent>
                  <w:p w14:paraId="06D1D646">
                    <w:pPr>
                      <w:pStyle w:val="14"/>
                    </w:pPr>
                    <w:r>
                      <w:fldChar w:fldCharType="begin"/>
                    </w:r>
                    <w:r>
                      <w:instrText xml:space="preserve"> PAGE  \* MERGEFORMAT </w:instrText>
                    </w:r>
                    <w:r>
                      <w:fldChar w:fldCharType="separate"/>
                    </w:r>
                    <w:r>
                      <w:t>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813C41"/>
    <w:multiLevelType w:val="singleLevel"/>
    <w:tmpl w:val="80813C41"/>
    <w:lvl w:ilvl="0" w:tentative="0">
      <w:start w:val="2"/>
      <w:numFmt w:val="decimal"/>
      <w:suff w:val="nothing"/>
      <w:lvlText w:val="%1、"/>
      <w:lvlJc w:val="left"/>
    </w:lvl>
  </w:abstractNum>
  <w:abstractNum w:abstractNumId="1">
    <w:nsid w:val="8B98172A"/>
    <w:multiLevelType w:val="singleLevel"/>
    <w:tmpl w:val="8B98172A"/>
    <w:lvl w:ilvl="0" w:tentative="0">
      <w:start w:val="2"/>
      <w:numFmt w:val="decimal"/>
      <w:suff w:val="nothing"/>
      <w:lvlText w:val="%1、"/>
      <w:lvlJc w:val="left"/>
    </w:lvl>
  </w:abstractNum>
  <w:abstractNum w:abstractNumId="2">
    <w:nsid w:val="8DC9455C"/>
    <w:multiLevelType w:val="singleLevel"/>
    <w:tmpl w:val="8DC9455C"/>
    <w:lvl w:ilvl="0" w:tentative="0">
      <w:start w:val="1"/>
      <w:numFmt w:val="lowerLetter"/>
      <w:lvlText w:val="%1."/>
      <w:lvlJc w:val="left"/>
      <w:pPr>
        <w:tabs>
          <w:tab w:val="left" w:pos="312"/>
        </w:tabs>
      </w:pPr>
    </w:lvl>
  </w:abstractNum>
  <w:abstractNum w:abstractNumId="3">
    <w:nsid w:val="9859CD60"/>
    <w:multiLevelType w:val="singleLevel"/>
    <w:tmpl w:val="9859CD60"/>
    <w:lvl w:ilvl="0" w:tentative="0">
      <w:start w:val="1"/>
      <w:numFmt w:val="decimal"/>
      <w:suff w:val="nothing"/>
      <w:lvlText w:val="（%1）"/>
      <w:lvlJc w:val="left"/>
    </w:lvl>
  </w:abstractNum>
  <w:abstractNum w:abstractNumId="4">
    <w:nsid w:val="A256FC24"/>
    <w:multiLevelType w:val="singleLevel"/>
    <w:tmpl w:val="A256FC24"/>
    <w:lvl w:ilvl="0" w:tentative="0">
      <w:start w:val="7"/>
      <w:numFmt w:val="decimal"/>
      <w:suff w:val="nothing"/>
      <w:lvlText w:val="（%1）"/>
      <w:lvlJc w:val="left"/>
    </w:lvl>
  </w:abstractNum>
  <w:abstractNum w:abstractNumId="5">
    <w:nsid w:val="CA95D21F"/>
    <w:multiLevelType w:val="singleLevel"/>
    <w:tmpl w:val="CA95D21F"/>
    <w:lvl w:ilvl="0" w:tentative="0">
      <w:start w:val="1"/>
      <w:numFmt w:val="decimal"/>
      <w:lvlText w:val="%1."/>
      <w:lvlJc w:val="left"/>
      <w:pPr>
        <w:tabs>
          <w:tab w:val="left" w:pos="312"/>
        </w:tabs>
      </w:pPr>
    </w:lvl>
  </w:abstractNum>
  <w:abstractNum w:abstractNumId="6">
    <w:nsid w:val="F7B41C98"/>
    <w:multiLevelType w:val="singleLevel"/>
    <w:tmpl w:val="F7B41C98"/>
    <w:lvl w:ilvl="0" w:tentative="0">
      <w:start w:val="2"/>
      <w:numFmt w:val="decimal"/>
      <w:suff w:val="nothing"/>
      <w:lvlText w:val="%1、"/>
      <w:lvlJc w:val="left"/>
    </w:lvl>
  </w:abstractNum>
  <w:abstractNum w:abstractNumId="7">
    <w:nsid w:val="F8662F6B"/>
    <w:multiLevelType w:val="singleLevel"/>
    <w:tmpl w:val="F8662F6B"/>
    <w:lvl w:ilvl="0" w:tentative="0">
      <w:start w:val="2"/>
      <w:numFmt w:val="decimal"/>
      <w:suff w:val="nothing"/>
      <w:lvlText w:val="（%1）"/>
      <w:lvlJc w:val="left"/>
    </w:lvl>
  </w:abstractNum>
  <w:abstractNum w:abstractNumId="8">
    <w:nsid w:val="00151C01"/>
    <w:multiLevelType w:val="singleLevel"/>
    <w:tmpl w:val="00151C01"/>
    <w:lvl w:ilvl="0" w:tentative="0">
      <w:start w:val="1"/>
      <w:numFmt w:val="decimalEnclosedCircleChinese"/>
      <w:suff w:val="space"/>
      <w:lvlText w:val="%1"/>
      <w:lvlJc w:val="left"/>
      <w:rPr>
        <w:rFonts w:hint="eastAsia"/>
      </w:rPr>
    </w:lvl>
  </w:abstractNum>
  <w:abstractNum w:abstractNumId="9">
    <w:nsid w:val="0BA9F1BC"/>
    <w:multiLevelType w:val="singleLevel"/>
    <w:tmpl w:val="0BA9F1BC"/>
    <w:lvl w:ilvl="0" w:tentative="0">
      <w:start w:val="1"/>
      <w:numFmt w:val="decimal"/>
      <w:suff w:val="nothing"/>
      <w:lvlText w:val="（%1）"/>
      <w:lvlJc w:val="left"/>
    </w:lvl>
  </w:abstractNum>
  <w:abstractNum w:abstractNumId="10">
    <w:nsid w:val="4500D42D"/>
    <w:multiLevelType w:val="singleLevel"/>
    <w:tmpl w:val="4500D42D"/>
    <w:lvl w:ilvl="0" w:tentative="0">
      <w:start w:val="1"/>
      <w:numFmt w:val="decimal"/>
      <w:suff w:val="nothing"/>
      <w:lvlText w:val="（%1）"/>
      <w:lvlJc w:val="left"/>
    </w:lvl>
  </w:abstractNum>
  <w:abstractNum w:abstractNumId="11">
    <w:nsid w:val="59C61BF4"/>
    <w:multiLevelType w:val="singleLevel"/>
    <w:tmpl w:val="59C61BF4"/>
    <w:lvl w:ilvl="0" w:tentative="0">
      <w:start w:val="1"/>
      <w:numFmt w:val="lowerLetter"/>
      <w:lvlText w:val="%1."/>
      <w:lvlJc w:val="left"/>
      <w:pPr>
        <w:tabs>
          <w:tab w:val="left" w:pos="312"/>
        </w:tabs>
      </w:pPr>
    </w:lvl>
  </w:abstractNum>
  <w:num w:numId="1">
    <w:abstractNumId w:val="5"/>
  </w:num>
  <w:num w:numId="2">
    <w:abstractNumId w:val="10"/>
  </w:num>
  <w:num w:numId="3">
    <w:abstractNumId w:val="1"/>
  </w:num>
  <w:num w:numId="4">
    <w:abstractNumId w:val="7"/>
  </w:num>
  <w:num w:numId="5">
    <w:abstractNumId w:val="6"/>
  </w:num>
  <w:num w:numId="6">
    <w:abstractNumId w:val="0"/>
  </w:num>
  <w:num w:numId="7">
    <w:abstractNumId w:val="8"/>
  </w:num>
  <w:num w:numId="8">
    <w:abstractNumId w:val="2"/>
  </w:num>
  <w:num w:numId="9">
    <w:abstractNumId w:val="11"/>
  </w:num>
  <w:num w:numId="10">
    <w:abstractNumId w:val="4"/>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trackedChanges"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RkMTJjZjczYzUwNWNmNWVlZmUzYjk2ZWI4MjU2MzgifQ=="/>
  </w:docVars>
  <w:rsids>
    <w:rsidRoot w:val="00A14947"/>
    <w:rsid w:val="000060B3"/>
    <w:rsid w:val="0004364B"/>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7435"/>
    <w:rsid w:val="0017504D"/>
    <w:rsid w:val="0017671A"/>
    <w:rsid w:val="00177422"/>
    <w:rsid w:val="00184590"/>
    <w:rsid w:val="001870D1"/>
    <w:rsid w:val="0018781E"/>
    <w:rsid w:val="0019262D"/>
    <w:rsid w:val="001A1B35"/>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4557"/>
    <w:rsid w:val="002805AB"/>
    <w:rsid w:val="00284204"/>
    <w:rsid w:val="00291773"/>
    <w:rsid w:val="002A168C"/>
    <w:rsid w:val="002A3DC7"/>
    <w:rsid w:val="002B1485"/>
    <w:rsid w:val="002B49E2"/>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90857"/>
    <w:rsid w:val="003A4BF3"/>
    <w:rsid w:val="003B420D"/>
    <w:rsid w:val="003C6C16"/>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401AE"/>
    <w:rsid w:val="00542E07"/>
    <w:rsid w:val="00545424"/>
    <w:rsid w:val="00554A7B"/>
    <w:rsid w:val="0055572C"/>
    <w:rsid w:val="0056106A"/>
    <w:rsid w:val="005720AE"/>
    <w:rsid w:val="00594D77"/>
    <w:rsid w:val="005969E4"/>
    <w:rsid w:val="005A06B7"/>
    <w:rsid w:val="005A1759"/>
    <w:rsid w:val="005A68A7"/>
    <w:rsid w:val="005D36AB"/>
    <w:rsid w:val="00617CC3"/>
    <w:rsid w:val="006377A6"/>
    <w:rsid w:val="00637A3D"/>
    <w:rsid w:val="006411EF"/>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E12FF"/>
    <w:rsid w:val="006E607E"/>
    <w:rsid w:val="00706C5D"/>
    <w:rsid w:val="00732922"/>
    <w:rsid w:val="0075162E"/>
    <w:rsid w:val="00754034"/>
    <w:rsid w:val="00756556"/>
    <w:rsid w:val="007618C4"/>
    <w:rsid w:val="00767980"/>
    <w:rsid w:val="00770B19"/>
    <w:rsid w:val="0077463F"/>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135F"/>
    <w:rsid w:val="00872D94"/>
    <w:rsid w:val="00880364"/>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32A83"/>
    <w:rsid w:val="00A368DB"/>
    <w:rsid w:val="00A423AA"/>
    <w:rsid w:val="00A53EC6"/>
    <w:rsid w:val="00A55C0F"/>
    <w:rsid w:val="00A8713F"/>
    <w:rsid w:val="00A90BA1"/>
    <w:rsid w:val="00A97A9A"/>
    <w:rsid w:val="00AA0671"/>
    <w:rsid w:val="00AA2531"/>
    <w:rsid w:val="00AB1E09"/>
    <w:rsid w:val="00AB5330"/>
    <w:rsid w:val="00AB7747"/>
    <w:rsid w:val="00AC14CE"/>
    <w:rsid w:val="00AC2A56"/>
    <w:rsid w:val="00AD055E"/>
    <w:rsid w:val="00AD10E6"/>
    <w:rsid w:val="00AD47A7"/>
    <w:rsid w:val="00AF0CBF"/>
    <w:rsid w:val="00AF257F"/>
    <w:rsid w:val="00AF33CF"/>
    <w:rsid w:val="00AF4D50"/>
    <w:rsid w:val="00AF6179"/>
    <w:rsid w:val="00B1295A"/>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704E9"/>
    <w:rsid w:val="00C763C9"/>
    <w:rsid w:val="00C80057"/>
    <w:rsid w:val="00C82232"/>
    <w:rsid w:val="00C82913"/>
    <w:rsid w:val="00C972B1"/>
    <w:rsid w:val="00CA2CCE"/>
    <w:rsid w:val="00CA43FD"/>
    <w:rsid w:val="00CA7EF8"/>
    <w:rsid w:val="00CC489B"/>
    <w:rsid w:val="00CD2BCD"/>
    <w:rsid w:val="00CD3A4C"/>
    <w:rsid w:val="00CE10E9"/>
    <w:rsid w:val="00CE2910"/>
    <w:rsid w:val="00CE5393"/>
    <w:rsid w:val="00CF36BE"/>
    <w:rsid w:val="00CF6000"/>
    <w:rsid w:val="00D003F3"/>
    <w:rsid w:val="00D0364F"/>
    <w:rsid w:val="00D06834"/>
    <w:rsid w:val="00D308ED"/>
    <w:rsid w:val="00D36D86"/>
    <w:rsid w:val="00D428AA"/>
    <w:rsid w:val="00D47977"/>
    <w:rsid w:val="00D50A34"/>
    <w:rsid w:val="00D53EFA"/>
    <w:rsid w:val="00D70859"/>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2656A"/>
    <w:rsid w:val="00E412D0"/>
    <w:rsid w:val="00E56322"/>
    <w:rsid w:val="00E60982"/>
    <w:rsid w:val="00E62C62"/>
    <w:rsid w:val="00E654C1"/>
    <w:rsid w:val="00E65D97"/>
    <w:rsid w:val="00E72A5A"/>
    <w:rsid w:val="00E73354"/>
    <w:rsid w:val="00E9242D"/>
    <w:rsid w:val="00EB5255"/>
    <w:rsid w:val="00EB5C47"/>
    <w:rsid w:val="00ED0639"/>
    <w:rsid w:val="00EF4755"/>
    <w:rsid w:val="00EF7135"/>
    <w:rsid w:val="00F027DB"/>
    <w:rsid w:val="00F14A7A"/>
    <w:rsid w:val="00F22985"/>
    <w:rsid w:val="00F3383E"/>
    <w:rsid w:val="00F465A7"/>
    <w:rsid w:val="00F50B7C"/>
    <w:rsid w:val="00F550E6"/>
    <w:rsid w:val="00F74345"/>
    <w:rsid w:val="00F80A0A"/>
    <w:rsid w:val="00F82B19"/>
    <w:rsid w:val="00F9212D"/>
    <w:rsid w:val="00F965DA"/>
    <w:rsid w:val="00FA406A"/>
    <w:rsid w:val="00FB503A"/>
    <w:rsid w:val="00FB516C"/>
    <w:rsid w:val="00FD0236"/>
    <w:rsid w:val="00FD18F4"/>
    <w:rsid w:val="00FD54DB"/>
    <w:rsid w:val="00FD619F"/>
    <w:rsid w:val="01290F7E"/>
    <w:rsid w:val="015D1E09"/>
    <w:rsid w:val="01711397"/>
    <w:rsid w:val="0192652E"/>
    <w:rsid w:val="019C2363"/>
    <w:rsid w:val="019F27D8"/>
    <w:rsid w:val="01CC11DE"/>
    <w:rsid w:val="01D45E31"/>
    <w:rsid w:val="01EF3980"/>
    <w:rsid w:val="02032EF6"/>
    <w:rsid w:val="020C3AE8"/>
    <w:rsid w:val="02346B0F"/>
    <w:rsid w:val="02507DA5"/>
    <w:rsid w:val="026123C2"/>
    <w:rsid w:val="02697903"/>
    <w:rsid w:val="028E025A"/>
    <w:rsid w:val="02963DFC"/>
    <w:rsid w:val="02E80AFB"/>
    <w:rsid w:val="02F96569"/>
    <w:rsid w:val="03070FE3"/>
    <w:rsid w:val="031B43B9"/>
    <w:rsid w:val="03451A01"/>
    <w:rsid w:val="03D251BA"/>
    <w:rsid w:val="03DF1222"/>
    <w:rsid w:val="03EA7B21"/>
    <w:rsid w:val="04003C23"/>
    <w:rsid w:val="044107BC"/>
    <w:rsid w:val="04506C39"/>
    <w:rsid w:val="047B4BFC"/>
    <w:rsid w:val="04900898"/>
    <w:rsid w:val="04A2669A"/>
    <w:rsid w:val="04A41A0C"/>
    <w:rsid w:val="04A70542"/>
    <w:rsid w:val="04C05AF4"/>
    <w:rsid w:val="04C23FCE"/>
    <w:rsid w:val="04CE1CC4"/>
    <w:rsid w:val="04DA6A4F"/>
    <w:rsid w:val="04EB5ADF"/>
    <w:rsid w:val="05040012"/>
    <w:rsid w:val="05581D3C"/>
    <w:rsid w:val="0567073C"/>
    <w:rsid w:val="05964123"/>
    <w:rsid w:val="05983258"/>
    <w:rsid w:val="05F83EAE"/>
    <w:rsid w:val="0636392C"/>
    <w:rsid w:val="063E7D85"/>
    <w:rsid w:val="06547701"/>
    <w:rsid w:val="067601CC"/>
    <w:rsid w:val="068A3933"/>
    <w:rsid w:val="068E5105"/>
    <w:rsid w:val="06B54562"/>
    <w:rsid w:val="06C4362D"/>
    <w:rsid w:val="06F91194"/>
    <w:rsid w:val="07155C37"/>
    <w:rsid w:val="07293586"/>
    <w:rsid w:val="07295285"/>
    <w:rsid w:val="07636392"/>
    <w:rsid w:val="076E3F95"/>
    <w:rsid w:val="07770C56"/>
    <w:rsid w:val="07A6180E"/>
    <w:rsid w:val="07C4557D"/>
    <w:rsid w:val="07DF6B2F"/>
    <w:rsid w:val="07E37AE3"/>
    <w:rsid w:val="07E937A6"/>
    <w:rsid w:val="080E3B55"/>
    <w:rsid w:val="083022E2"/>
    <w:rsid w:val="083F2C6A"/>
    <w:rsid w:val="08746660"/>
    <w:rsid w:val="08A83B52"/>
    <w:rsid w:val="08B47DF9"/>
    <w:rsid w:val="08E15698"/>
    <w:rsid w:val="092217DD"/>
    <w:rsid w:val="09382B3D"/>
    <w:rsid w:val="093A7294"/>
    <w:rsid w:val="094559F1"/>
    <w:rsid w:val="09684744"/>
    <w:rsid w:val="09725D78"/>
    <w:rsid w:val="09C770A0"/>
    <w:rsid w:val="09C85629"/>
    <w:rsid w:val="09E4535D"/>
    <w:rsid w:val="0A15050F"/>
    <w:rsid w:val="0A17152B"/>
    <w:rsid w:val="0A263993"/>
    <w:rsid w:val="0A2D3AC2"/>
    <w:rsid w:val="0A40746F"/>
    <w:rsid w:val="0A427110"/>
    <w:rsid w:val="0A4A6D32"/>
    <w:rsid w:val="0A517CAA"/>
    <w:rsid w:val="0A5842C4"/>
    <w:rsid w:val="0A7B45D3"/>
    <w:rsid w:val="0A825391"/>
    <w:rsid w:val="0AA755DF"/>
    <w:rsid w:val="0AE30209"/>
    <w:rsid w:val="0B120D44"/>
    <w:rsid w:val="0B4E34C6"/>
    <w:rsid w:val="0B64718D"/>
    <w:rsid w:val="0B6A5913"/>
    <w:rsid w:val="0B6D6042"/>
    <w:rsid w:val="0B830474"/>
    <w:rsid w:val="0B884C29"/>
    <w:rsid w:val="0B8C5990"/>
    <w:rsid w:val="0BA13B48"/>
    <w:rsid w:val="0BA53A2D"/>
    <w:rsid w:val="0BB5793C"/>
    <w:rsid w:val="0BB815A9"/>
    <w:rsid w:val="0BC415A1"/>
    <w:rsid w:val="0BD27BF6"/>
    <w:rsid w:val="0BDC6D23"/>
    <w:rsid w:val="0C193B0A"/>
    <w:rsid w:val="0C3B3C7D"/>
    <w:rsid w:val="0C6D3E1F"/>
    <w:rsid w:val="0C706DB8"/>
    <w:rsid w:val="0CA25376"/>
    <w:rsid w:val="0CA42EF9"/>
    <w:rsid w:val="0CAB2EAE"/>
    <w:rsid w:val="0CBE7041"/>
    <w:rsid w:val="0D272A7A"/>
    <w:rsid w:val="0D621C7D"/>
    <w:rsid w:val="0D8F1E27"/>
    <w:rsid w:val="0D9F61BC"/>
    <w:rsid w:val="0DB37F58"/>
    <w:rsid w:val="0DDB0985"/>
    <w:rsid w:val="0E122CD4"/>
    <w:rsid w:val="0E282C34"/>
    <w:rsid w:val="0E480FA0"/>
    <w:rsid w:val="0E73034D"/>
    <w:rsid w:val="0E772D33"/>
    <w:rsid w:val="0EB2020F"/>
    <w:rsid w:val="0F13775A"/>
    <w:rsid w:val="0F5F45FE"/>
    <w:rsid w:val="0F6A6B1F"/>
    <w:rsid w:val="0F9A112B"/>
    <w:rsid w:val="0FAC730D"/>
    <w:rsid w:val="0FBD3BDA"/>
    <w:rsid w:val="0FBF0E36"/>
    <w:rsid w:val="0FFE1D4D"/>
    <w:rsid w:val="10194E1A"/>
    <w:rsid w:val="106D2F64"/>
    <w:rsid w:val="10AA73F0"/>
    <w:rsid w:val="10B63710"/>
    <w:rsid w:val="10BF497B"/>
    <w:rsid w:val="10E24B93"/>
    <w:rsid w:val="10E45667"/>
    <w:rsid w:val="10F10820"/>
    <w:rsid w:val="111C2F7A"/>
    <w:rsid w:val="1147239C"/>
    <w:rsid w:val="11665CA1"/>
    <w:rsid w:val="117B0D8C"/>
    <w:rsid w:val="118E4121"/>
    <w:rsid w:val="11A82AF2"/>
    <w:rsid w:val="11CC15E8"/>
    <w:rsid w:val="11CF6580"/>
    <w:rsid w:val="121019F1"/>
    <w:rsid w:val="12130B10"/>
    <w:rsid w:val="121E2ADF"/>
    <w:rsid w:val="122E5E1C"/>
    <w:rsid w:val="12381CB5"/>
    <w:rsid w:val="124F3E7D"/>
    <w:rsid w:val="129C545E"/>
    <w:rsid w:val="12EA3A9D"/>
    <w:rsid w:val="13497394"/>
    <w:rsid w:val="135B2065"/>
    <w:rsid w:val="13765865"/>
    <w:rsid w:val="13951726"/>
    <w:rsid w:val="13960848"/>
    <w:rsid w:val="13CE1E9D"/>
    <w:rsid w:val="13D711FA"/>
    <w:rsid w:val="13F07C77"/>
    <w:rsid w:val="14341F5C"/>
    <w:rsid w:val="14396509"/>
    <w:rsid w:val="14A625C4"/>
    <w:rsid w:val="14C310C4"/>
    <w:rsid w:val="14DD2C3C"/>
    <w:rsid w:val="15222F00"/>
    <w:rsid w:val="152D7EC7"/>
    <w:rsid w:val="15301945"/>
    <w:rsid w:val="15673B02"/>
    <w:rsid w:val="156E3637"/>
    <w:rsid w:val="1594066F"/>
    <w:rsid w:val="15976BB6"/>
    <w:rsid w:val="15B36506"/>
    <w:rsid w:val="15B56D57"/>
    <w:rsid w:val="15BE749A"/>
    <w:rsid w:val="15C46F63"/>
    <w:rsid w:val="16087E1D"/>
    <w:rsid w:val="1628142A"/>
    <w:rsid w:val="162A607A"/>
    <w:rsid w:val="16341AEF"/>
    <w:rsid w:val="169C3C7F"/>
    <w:rsid w:val="16DD05BB"/>
    <w:rsid w:val="16EB2C60"/>
    <w:rsid w:val="174F0F7F"/>
    <w:rsid w:val="17701D14"/>
    <w:rsid w:val="17735226"/>
    <w:rsid w:val="17791472"/>
    <w:rsid w:val="179E7583"/>
    <w:rsid w:val="17AD7A77"/>
    <w:rsid w:val="17D525A0"/>
    <w:rsid w:val="183E4C35"/>
    <w:rsid w:val="18623212"/>
    <w:rsid w:val="186759AB"/>
    <w:rsid w:val="187F281D"/>
    <w:rsid w:val="189F624C"/>
    <w:rsid w:val="18AA5AD5"/>
    <w:rsid w:val="18BA663E"/>
    <w:rsid w:val="18D705BE"/>
    <w:rsid w:val="18D7266B"/>
    <w:rsid w:val="1940610A"/>
    <w:rsid w:val="198A6011"/>
    <w:rsid w:val="198F6FDC"/>
    <w:rsid w:val="19AC3E96"/>
    <w:rsid w:val="19C21C4E"/>
    <w:rsid w:val="19C65CD1"/>
    <w:rsid w:val="1A1C66C0"/>
    <w:rsid w:val="1A42393B"/>
    <w:rsid w:val="1A5F124B"/>
    <w:rsid w:val="1A727145"/>
    <w:rsid w:val="1A7F1C80"/>
    <w:rsid w:val="1A90547E"/>
    <w:rsid w:val="1A9A4079"/>
    <w:rsid w:val="1AAD45DE"/>
    <w:rsid w:val="1AB75BA5"/>
    <w:rsid w:val="1AD76FB2"/>
    <w:rsid w:val="1ADB399D"/>
    <w:rsid w:val="1B001DD6"/>
    <w:rsid w:val="1B046F80"/>
    <w:rsid w:val="1B3267B5"/>
    <w:rsid w:val="1B40161D"/>
    <w:rsid w:val="1B441859"/>
    <w:rsid w:val="1B4B63C3"/>
    <w:rsid w:val="1B4C57EB"/>
    <w:rsid w:val="1B6606B1"/>
    <w:rsid w:val="1B7F1479"/>
    <w:rsid w:val="1B80591D"/>
    <w:rsid w:val="1BC46583"/>
    <w:rsid w:val="1BD015B2"/>
    <w:rsid w:val="1BE547F8"/>
    <w:rsid w:val="1BE7037F"/>
    <w:rsid w:val="1C2269D4"/>
    <w:rsid w:val="1C3708A1"/>
    <w:rsid w:val="1C3A73A6"/>
    <w:rsid w:val="1C5E7925"/>
    <w:rsid w:val="1CBF6A46"/>
    <w:rsid w:val="1CC23D13"/>
    <w:rsid w:val="1CDD401B"/>
    <w:rsid w:val="1CE17469"/>
    <w:rsid w:val="1CFD070F"/>
    <w:rsid w:val="1CFE11EF"/>
    <w:rsid w:val="1D0453B6"/>
    <w:rsid w:val="1D4125FF"/>
    <w:rsid w:val="1D4B5AB7"/>
    <w:rsid w:val="1D573933"/>
    <w:rsid w:val="1D5F6196"/>
    <w:rsid w:val="1D6132A5"/>
    <w:rsid w:val="1D683148"/>
    <w:rsid w:val="1D695499"/>
    <w:rsid w:val="1D8E56D5"/>
    <w:rsid w:val="1DF92FB2"/>
    <w:rsid w:val="1E2E10A3"/>
    <w:rsid w:val="1E325366"/>
    <w:rsid w:val="1E7644ED"/>
    <w:rsid w:val="1E7A43DA"/>
    <w:rsid w:val="1EB167ED"/>
    <w:rsid w:val="1ED64F62"/>
    <w:rsid w:val="1EF103DF"/>
    <w:rsid w:val="1F1A7E37"/>
    <w:rsid w:val="1F416406"/>
    <w:rsid w:val="1FE22A40"/>
    <w:rsid w:val="1FE7539E"/>
    <w:rsid w:val="202C2DAE"/>
    <w:rsid w:val="2030319F"/>
    <w:rsid w:val="204D5FEA"/>
    <w:rsid w:val="20547378"/>
    <w:rsid w:val="20671BE0"/>
    <w:rsid w:val="20963CB8"/>
    <w:rsid w:val="20A81A1B"/>
    <w:rsid w:val="20B07FB6"/>
    <w:rsid w:val="20B1201C"/>
    <w:rsid w:val="20B646FB"/>
    <w:rsid w:val="20BA0B33"/>
    <w:rsid w:val="20C50CB2"/>
    <w:rsid w:val="20CC33B3"/>
    <w:rsid w:val="210E4DB2"/>
    <w:rsid w:val="213B74B1"/>
    <w:rsid w:val="214850CE"/>
    <w:rsid w:val="215A2310"/>
    <w:rsid w:val="215C64E4"/>
    <w:rsid w:val="219C4B3B"/>
    <w:rsid w:val="21AD3D9E"/>
    <w:rsid w:val="21B3155B"/>
    <w:rsid w:val="21DE318A"/>
    <w:rsid w:val="21E23F8C"/>
    <w:rsid w:val="21EF5B80"/>
    <w:rsid w:val="22544673"/>
    <w:rsid w:val="225704F2"/>
    <w:rsid w:val="22576990"/>
    <w:rsid w:val="22BB548D"/>
    <w:rsid w:val="22CB55B2"/>
    <w:rsid w:val="22D60519"/>
    <w:rsid w:val="22D622C7"/>
    <w:rsid w:val="22F47480"/>
    <w:rsid w:val="230447CE"/>
    <w:rsid w:val="23264FFC"/>
    <w:rsid w:val="233306D6"/>
    <w:rsid w:val="234123CF"/>
    <w:rsid w:val="236B1BCD"/>
    <w:rsid w:val="23912A21"/>
    <w:rsid w:val="239D1036"/>
    <w:rsid w:val="239E338E"/>
    <w:rsid w:val="23C232D7"/>
    <w:rsid w:val="23DE1C48"/>
    <w:rsid w:val="23DE7685"/>
    <w:rsid w:val="240210CD"/>
    <w:rsid w:val="242A6ACA"/>
    <w:rsid w:val="244860B9"/>
    <w:rsid w:val="24501D18"/>
    <w:rsid w:val="24605007"/>
    <w:rsid w:val="247104F9"/>
    <w:rsid w:val="24782AD4"/>
    <w:rsid w:val="247F5456"/>
    <w:rsid w:val="24A761B3"/>
    <w:rsid w:val="24BF09F7"/>
    <w:rsid w:val="24F05739"/>
    <w:rsid w:val="24FE13C2"/>
    <w:rsid w:val="25045EF0"/>
    <w:rsid w:val="25115838"/>
    <w:rsid w:val="252D53FE"/>
    <w:rsid w:val="25565941"/>
    <w:rsid w:val="256D7EB1"/>
    <w:rsid w:val="25896D09"/>
    <w:rsid w:val="25AB4D7D"/>
    <w:rsid w:val="25B76726"/>
    <w:rsid w:val="25D5565D"/>
    <w:rsid w:val="25E53A11"/>
    <w:rsid w:val="25EC2D81"/>
    <w:rsid w:val="25F81124"/>
    <w:rsid w:val="2605034D"/>
    <w:rsid w:val="264520BD"/>
    <w:rsid w:val="26650304"/>
    <w:rsid w:val="26955FF5"/>
    <w:rsid w:val="26AF5308"/>
    <w:rsid w:val="26CA5693"/>
    <w:rsid w:val="26CD330B"/>
    <w:rsid w:val="26E56F7C"/>
    <w:rsid w:val="26F70A5D"/>
    <w:rsid w:val="273A4A8A"/>
    <w:rsid w:val="276F1C0A"/>
    <w:rsid w:val="277057A2"/>
    <w:rsid w:val="27800EF3"/>
    <w:rsid w:val="279F537D"/>
    <w:rsid w:val="27BC71D8"/>
    <w:rsid w:val="27CB13DA"/>
    <w:rsid w:val="27E126B6"/>
    <w:rsid w:val="27E92A9C"/>
    <w:rsid w:val="27EB09A4"/>
    <w:rsid w:val="28043EC1"/>
    <w:rsid w:val="2813374E"/>
    <w:rsid w:val="28180C8B"/>
    <w:rsid w:val="28387D1D"/>
    <w:rsid w:val="283F692F"/>
    <w:rsid w:val="284F4252"/>
    <w:rsid w:val="28520641"/>
    <w:rsid w:val="287466EB"/>
    <w:rsid w:val="287D13C0"/>
    <w:rsid w:val="28A30E9D"/>
    <w:rsid w:val="28B130A5"/>
    <w:rsid w:val="28E026ED"/>
    <w:rsid w:val="28E72153"/>
    <w:rsid w:val="2903193C"/>
    <w:rsid w:val="29206EB8"/>
    <w:rsid w:val="29355D21"/>
    <w:rsid w:val="29465307"/>
    <w:rsid w:val="29595666"/>
    <w:rsid w:val="296A5517"/>
    <w:rsid w:val="29782698"/>
    <w:rsid w:val="29874881"/>
    <w:rsid w:val="29E325E0"/>
    <w:rsid w:val="2A2B55D0"/>
    <w:rsid w:val="2A452503"/>
    <w:rsid w:val="2A5C35C9"/>
    <w:rsid w:val="2A716218"/>
    <w:rsid w:val="2AD94E62"/>
    <w:rsid w:val="2B011CF0"/>
    <w:rsid w:val="2B2572A2"/>
    <w:rsid w:val="2B42645B"/>
    <w:rsid w:val="2B5D25F0"/>
    <w:rsid w:val="2B7037B2"/>
    <w:rsid w:val="2BA70CA4"/>
    <w:rsid w:val="2BA936A8"/>
    <w:rsid w:val="2BAE2D45"/>
    <w:rsid w:val="2BBD6F52"/>
    <w:rsid w:val="2BC453B2"/>
    <w:rsid w:val="2C131A2D"/>
    <w:rsid w:val="2C315A5A"/>
    <w:rsid w:val="2C4B1C25"/>
    <w:rsid w:val="2C4F42E8"/>
    <w:rsid w:val="2C9B6EC4"/>
    <w:rsid w:val="2C9E20A7"/>
    <w:rsid w:val="2CA15849"/>
    <w:rsid w:val="2CA25434"/>
    <w:rsid w:val="2CCB6C14"/>
    <w:rsid w:val="2D1C4D7A"/>
    <w:rsid w:val="2D3D7284"/>
    <w:rsid w:val="2D4D6D49"/>
    <w:rsid w:val="2D550250"/>
    <w:rsid w:val="2D5E11CC"/>
    <w:rsid w:val="2D7220E9"/>
    <w:rsid w:val="2D742437"/>
    <w:rsid w:val="2D9E56F5"/>
    <w:rsid w:val="2DAE631A"/>
    <w:rsid w:val="2DC56D72"/>
    <w:rsid w:val="2DCC0752"/>
    <w:rsid w:val="2DE8297D"/>
    <w:rsid w:val="2DF2452A"/>
    <w:rsid w:val="2DF45946"/>
    <w:rsid w:val="2E440A2C"/>
    <w:rsid w:val="2E667F96"/>
    <w:rsid w:val="2E6B73EB"/>
    <w:rsid w:val="2E70537D"/>
    <w:rsid w:val="2E8226AB"/>
    <w:rsid w:val="2E837570"/>
    <w:rsid w:val="2E8452CD"/>
    <w:rsid w:val="2ECC2AF4"/>
    <w:rsid w:val="2F0C46EC"/>
    <w:rsid w:val="2F316182"/>
    <w:rsid w:val="2F341106"/>
    <w:rsid w:val="2F4528E5"/>
    <w:rsid w:val="2F655284"/>
    <w:rsid w:val="2F8A6913"/>
    <w:rsid w:val="2F8B7A5E"/>
    <w:rsid w:val="2F9D2FAA"/>
    <w:rsid w:val="2FA00162"/>
    <w:rsid w:val="2FD065E6"/>
    <w:rsid w:val="2FD96870"/>
    <w:rsid w:val="2FFD5337"/>
    <w:rsid w:val="300F0BC6"/>
    <w:rsid w:val="30191A45"/>
    <w:rsid w:val="3037399C"/>
    <w:rsid w:val="304907CE"/>
    <w:rsid w:val="30580BC9"/>
    <w:rsid w:val="3073453D"/>
    <w:rsid w:val="30760C45"/>
    <w:rsid w:val="307E5B33"/>
    <w:rsid w:val="30AD7229"/>
    <w:rsid w:val="30E07C03"/>
    <w:rsid w:val="30ED47D9"/>
    <w:rsid w:val="311A57AA"/>
    <w:rsid w:val="311E2ED7"/>
    <w:rsid w:val="315619EE"/>
    <w:rsid w:val="315C449C"/>
    <w:rsid w:val="31706BF7"/>
    <w:rsid w:val="319C0B7F"/>
    <w:rsid w:val="31B82709"/>
    <w:rsid w:val="31D05482"/>
    <w:rsid w:val="31E57E30"/>
    <w:rsid w:val="31F34E50"/>
    <w:rsid w:val="3201358C"/>
    <w:rsid w:val="32035783"/>
    <w:rsid w:val="32400B34"/>
    <w:rsid w:val="324A67B5"/>
    <w:rsid w:val="325E0DB4"/>
    <w:rsid w:val="32711187"/>
    <w:rsid w:val="3298235F"/>
    <w:rsid w:val="329E6876"/>
    <w:rsid w:val="32EF4E6B"/>
    <w:rsid w:val="32F9505A"/>
    <w:rsid w:val="3307027A"/>
    <w:rsid w:val="331662AF"/>
    <w:rsid w:val="3328091C"/>
    <w:rsid w:val="332A51B0"/>
    <w:rsid w:val="332C3757"/>
    <w:rsid w:val="332D083C"/>
    <w:rsid w:val="333015F2"/>
    <w:rsid w:val="334B6320"/>
    <w:rsid w:val="3375631E"/>
    <w:rsid w:val="33980383"/>
    <w:rsid w:val="339F04B3"/>
    <w:rsid w:val="33A55097"/>
    <w:rsid w:val="33D67E77"/>
    <w:rsid w:val="33D934D4"/>
    <w:rsid w:val="33E84317"/>
    <w:rsid w:val="33FE2F6A"/>
    <w:rsid w:val="340E07E5"/>
    <w:rsid w:val="34235BF7"/>
    <w:rsid w:val="344A6670"/>
    <w:rsid w:val="3454129D"/>
    <w:rsid w:val="346E2CA2"/>
    <w:rsid w:val="348517E1"/>
    <w:rsid w:val="348A4CBF"/>
    <w:rsid w:val="34993154"/>
    <w:rsid w:val="34A121BD"/>
    <w:rsid w:val="34BD4078"/>
    <w:rsid w:val="34C277A8"/>
    <w:rsid w:val="350F11F7"/>
    <w:rsid w:val="354D34E1"/>
    <w:rsid w:val="358C5FA8"/>
    <w:rsid w:val="35947CC9"/>
    <w:rsid w:val="35C15DF1"/>
    <w:rsid w:val="35DB3A8C"/>
    <w:rsid w:val="35DF717A"/>
    <w:rsid w:val="35FD26CA"/>
    <w:rsid w:val="36074A7F"/>
    <w:rsid w:val="36711F6F"/>
    <w:rsid w:val="368B4C20"/>
    <w:rsid w:val="36923549"/>
    <w:rsid w:val="3699743B"/>
    <w:rsid w:val="36A165F4"/>
    <w:rsid w:val="36A909C4"/>
    <w:rsid w:val="36AC716F"/>
    <w:rsid w:val="36B55EFA"/>
    <w:rsid w:val="36B75FBF"/>
    <w:rsid w:val="36BD0C45"/>
    <w:rsid w:val="36DA1F2E"/>
    <w:rsid w:val="36DA2765"/>
    <w:rsid w:val="36FA4102"/>
    <w:rsid w:val="370E1BD7"/>
    <w:rsid w:val="37470E04"/>
    <w:rsid w:val="379453F2"/>
    <w:rsid w:val="37C84E93"/>
    <w:rsid w:val="37E00298"/>
    <w:rsid w:val="382E532C"/>
    <w:rsid w:val="38470D39"/>
    <w:rsid w:val="38815554"/>
    <w:rsid w:val="38827B29"/>
    <w:rsid w:val="3883188D"/>
    <w:rsid w:val="38B302F9"/>
    <w:rsid w:val="38F12CD3"/>
    <w:rsid w:val="38F61E87"/>
    <w:rsid w:val="38F94775"/>
    <w:rsid w:val="39157B54"/>
    <w:rsid w:val="392971ED"/>
    <w:rsid w:val="39325651"/>
    <w:rsid w:val="39785946"/>
    <w:rsid w:val="398A71FA"/>
    <w:rsid w:val="39A300E5"/>
    <w:rsid w:val="39B822CE"/>
    <w:rsid w:val="39BE4456"/>
    <w:rsid w:val="39C32ABB"/>
    <w:rsid w:val="39D04BBC"/>
    <w:rsid w:val="39E20E4D"/>
    <w:rsid w:val="39F00587"/>
    <w:rsid w:val="3A696E6F"/>
    <w:rsid w:val="3A856C01"/>
    <w:rsid w:val="3A872856"/>
    <w:rsid w:val="3AB111F7"/>
    <w:rsid w:val="3ACD1DA9"/>
    <w:rsid w:val="3AD62FBD"/>
    <w:rsid w:val="3AEC57BB"/>
    <w:rsid w:val="3B0B62B0"/>
    <w:rsid w:val="3B3763D1"/>
    <w:rsid w:val="3B7F0790"/>
    <w:rsid w:val="3B8506DA"/>
    <w:rsid w:val="3C177780"/>
    <w:rsid w:val="3C2854E9"/>
    <w:rsid w:val="3C2F6E1E"/>
    <w:rsid w:val="3C3E77E2"/>
    <w:rsid w:val="3C4F64BA"/>
    <w:rsid w:val="3C8F139E"/>
    <w:rsid w:val="3CA82892"/>
    <w:rsid w:val="3CD77A1C"/>
    <w:rsid w:val="3CDA245A"/>
    <w:rsid w:val="3CF24EEF"/>
    <w:rsid w:val="3CF4186F"/>
    <w:rsid w:val="3CFA5CFF"/>
    <w:rsid w:val="3D1E06B7"/>
    <w:rsid w:val="3D48463A"/>
    <w:rsid w:val="3DC42B5C"/>
    <w:rsid w:val="3E23240C"/>
    <w:rsid w:val="3E3F6B1A"/>
    <w:rsid w:val="3E6F7551"/>
    <w:rsid w:val="3E7A4524"/>
    <w:rsid w:val="3E8F460D"/>
    <w:rsid w:val="3EB37434"/>
    <w:rsid w:val="3EDA0523"/>
    <w:rsid w:val="3EED0D15"/>
    <w:rsid w:val="3F116709"/>
    <w:rsid w:val="3F541D09"/>
    <w:rsid w:val="3FA26634"/>
    <w:rsid w:val="3FA7706D"/>
    <w:rsid w:val="3FAA1096"/>
    <w:rsid w:val="3FAD78F0"/>
    <w:rsid w:val="3FCE45FA"/>
    <w:rsid w:val="401069C0"/>
    <w:rsid w:val="401C5F21"/>
    <w:rsid w:val="401E03B0"/>
    <w:rsid w:val="4024246B"/>
    <w:rsid w:val="402F0778"/>
    <w:rsid w:val="40354D62"/>
    <w:rsid w:val="405368AD"/>
    <w:rsid w:val="405C03BC"/>
    <w:rsid w:val="407A6407"/>
    <w:rsid w:val="40AE7F87"/>
    <w:rsid w:val="40B53057"/>
    <w:rsid w:val="40ED56DD"/>
    <w:rsid w:val="41173388"/>
    <w:rsid w:val="413C67FF"/>
    <w:rsid w:val="41421E3F"/>
    <w:rsid w:val="4173149A"/>
    <w:rsid w:val="41BD0549"/>
    <w:rsid w:val="41E51A4C"/>
    <w:rsid w:val="4200449D"/>
    <w:rsid w:val="421E792A"/>
    <w:rsid w:val="423A3BCC"/>
    <w:rsid w:val="424221C8"/>
    <w:rsid w:val="424E57D2"/>
    <w:rsid w:val="42640756"/>
    <w:rsid w:val="427E2DBC"/>
    <w:rsid w:val="429E7478"/>
    <w:rsid w:val="42A854AF"/>
    <w:rsid w:val="42B26C49"/>
    <w:rsid w:val="42C00C75"/>
    <w:rsid w:val="43094D4C"/>
    <w:rsid w:val="433A6FE6"/>
    <w:rsid w:val="43480868"/>
    <w:rsid w:val="4350713C"/>
    <w:rsid w:val="436653E0"/>
    <w:rsid w:val="4369773A"/>
    <w:rsid w:val="43C16C43"/>
    <w:rsid w:val="43C4431A"/>
    <w:rsid w:val="43D013C5"/>
    <w:rsid w:val="43D6734F"/>
    <w:rsid w:val="43ED2746"/>
    <w:rsid w:val="44060901"/>
    <w:rsid w:val="443B7D84"/>
    <w:rsid w:val="44541E7F"/>
    <w:rsid w:val="44867251"/>
    <w:rsid w:val="44B951CC"/>
    <w:rsid w:val="44C740FD"/>
    <w:rsid w:val="44CD14E0"/>
    <w:rsid w:val="44EA6E8B"/>
    <w:rsid w:val="44F20B0B"/>
    <w:rsid w:val="452E5F4C"/>
    <w:rsid w:val="454D7F3F"/>
    <w:rsid w:val="45550E92"/>
    <w:rsid w:val="455E2C9D"/>
    <w:rsid w:val="45612018"/>
    <w:rsid w:val="457E0AB0"/>
    <w:rsid w:val="458946E9"/>
    <w:rsid w:val="45A47C0E"/>
    <w:rsid w:val="45D975F0"/>
    <w:rsid w:val="45E67D86"/>
    <w:rsid w:val="45EB778E"/>
    <w:rsid w:val="46113492"/>
    <w:rsid w:val="4654654E"/>
    <w:rsid w:val="46577FD6"/>
    <w:rsid w:val="46D955A7"/>
    <w:rsid w:val="47133957"/>
    <w:rsid w:val="477C07C1"/>
    <w:rsid w:val="477C3399"/>
    <w:rsid w:val="479B31A2"/>
    <w:rsid w:val="47A07E0C"/>
    <w:rsid w:val="47EE0EEF"/>
    <w:rsid w:val="47F46BC7"/>
    <w:rsid w:val="47FB390E"/>
    <w:rsid w:val="47FE17F4"/>
    <w:rsid w:val="48145A4A"/>
    <w:rsid w:val="4834180C"/>
    <w:rsid w:val="48597AA1"/>
    <w:rsid w:val="48654F91"/>
    <w:rsid w:val="4870272E"/>
    <w:rsid w:val="4880045B"/>
    <w:rsid w:val="48B819A3"/>
    <w:rsid w:val="48B87E6C"/>
    <w:rsid w:val="48BD16AF"/>
    <w:rsid w:val="48CE2234"/>
    <w:rsid w:val="48E272DB"/>
    <w:rsid w:val="48EC3D42"/>
    <w:rsid w:val="48EE1869"/>
    <w:rsid w:val="49061C42"/>
    <w:rsid w:val="494E7BD9"/>
    <w:rsid w:val="497B2CDD"/>
    <w:rsid w:val="49CC7EB8"/>
    <w:rsid w:val="49D52248"/>
    <w:rsid w:val="49D74998"/>
    <w:rsid w:val="49DC7715"/>
    <w:rsid w:val="49ED54CE"/>
    <w:rsid w:val="4A023139"/>
    <w:rsid w:val="4A141104"/>
    <w:rsid w:val="4A2D287A"/>
    <w:rsid w:val="4A3063D8"/>
    <w:rsid w:val="4A7B576F"/>
    <w:rsid w:val="4AB97C24"/>
    <w:rsid w:val="4AC24E86"/>
    <w:rsid w:val="4AD96F68"/>
    <w:rsid w:val="4AE02064"/>
    <w:rsid w:val="4AE66C9B"/>
    <w:rsid w:val="4AF561A9"/>
    <w:rsid w:val="4AFA406F"/>
    <w:rsid w:val="4B0F7073"/>
    <w:rsid w:val="4B38501D"/>
    <w:rsid w:val="4B4216C5"/>
    <w:rsid w:val="4B8A1D1C"/>
    <w:rsid w:val="4BA601D9"/>
    <w:rsid w:val="4BC52D55"/>
    <w:rsid w:val="4BCD6E4F"/>
    <w:rsid w:val="4BF9319D"/>
    <w:rsid w:val="4BFA5F71"/>
    <w:rsid w:val="4BFC604B"/>
    <w:rsid w:val="4C4A0649"/>
    <w:rsid w:val="4C4B4628"/>
    <w:rsid w:val="4C52779C"/>
    <w:rsid w:val="4C5A3A1A"/>
    <w:rsid w:val="4C7E5ECA"/>
    <w:rsid w:val="4C876AA5"/>
    <w:rsid w:val="4CB90351"/>
    <w:rsid w:val="4D050CD7"/>
    <w:rsid w:val="4D0E00FB"/>
    <w:rsid w:val="4D176606"/>
    <w:rsid w:val="4DBC3274"/>
    <w:rsid w:val="4DC70076"/>
    <w:rsid w:val="4DDF1AE9"/>
    <w:rsid w:val="4DEC4FB0"/>
    <w:rsid w:val="4DF0398D"/>
    <w:rsid w:val="4DFD1815"/>
    <w:rsid w:val="4E075D8A"/>
    <w:rsid w:val="4E091C0D"/>
    <w:rsid w:val="4E132759"/>
    <w:rsid w:val="4E452C4D"/>
    <w:rsid w:val="4E532C11"/>
    <w:rsid w:val="4E553E46"/>
    <w:rsid w:val="4E7939C1"/>
    <w:rsid w:val="4EC00FAD"/>
    <w:rsid w:val="4F18195B"/>
    <w:rsid w:val="4F3A75B6"/>
    <w:rsid w:val="4F516A8A"/>
    <w:rsid w:val="4F8151E4"/>
    <w:rsid w:val="4F850C9A"/>
    <w:rsid w:val="4F9843DC"/>
    <w:rsid w:val="4FBC7205"/>
    <w:rsid w:val="4FC62A8C"/>
    <w:rsid w:val="4FCC0D44"/>
    <w:rsid w:val="4FDF63AF"/>
    <w:rsid w:val="4FE20F0D"/>
    <w:rsid w:val="4FE51552"/>
    <w:rsid w:val="4FE87012"/>
    <w:rsid w:val="504E494E"/>
    <w:rsid w:val="50504C4B"/>
    <w:rsid w:val="507D463B"/>
    <w:rsid w:val="507F601D"/>
    <w:rsid w:val="509C6E7C"/>
    <w:rsid w:val="50A2190A"/>
    <w:rsid w:val="50AF7B2F"/>
    <w:rsid w:val="50BE2588"/>
    <w:rsid w:val="50C71676"/>
    <w:rsid w:val="50EA6DB9"/>
    <w:rsid w:val="51164890"/>
    <w:rsid w:val="51512D17"/>
    <w:rsid w:val="5156768D"/>
    <w:rsid w:val="5162104E"/>
    <w:rsid w:val="51637D74"/>
    <w:rsid w:val="517B18B7"/>
    <w:rsid w:val="51A71A66"/>
    <w:rsid w:val="51CD32A5"/>
    <w:rsid w:val="51D93FD7"/>
    <w:rsid w:val="51E22514"/>
    <w:rsid w:val="520078CE"/>
    <w:rsid w:val="523B30B9"/>
    <w:rsid w:val="525E180D"/>
    <w:rsid w:val="52CD7D70"/>
    <w:rsid w:val="52D41ACF"/>
    <w:rsid w:val="52E773DC"/>
    <w:rsid w:val="537806AC"/>
    <w:rsid w:val="538118DB"/>
    <w:rsid w:val="53A039CC"/>
    <w:rsid w:val="53A1505A"/>
    <w:rsid w:val="53D17DBD"/>
    <w:rsid w:val="54063E08"/>
    <w:rsid w:val="540A3BE5"/>
    <w:rsid w:val="543437E8"/>
    <w:rsid w:val="5440755D"/>
    <w:rsid w:val="548A2EB0"/>
    <w:rsid w:val="54CF254E"/>
    <w:rsid w:val="54EB4EAE"/>
    <w:rsid w:val="54ED5461"/>
    <w:rsid w:val="54F41F1E"/>
    <w:rsid w:val="54F42E5F"/>
    <w:rsid w:val="54F73313"/>
    <w:rsid w:val="54F80955"/>
    <w:rsid w:val="551E4C5A"/>
    <w:rsid w:val="551F4169"/>
    <w:rsid w:val="552232DF"/>
    <w:rsid w:val="55466445"/>
    <w:rsid w:val="555170A7"/>
    <w:rsid w:val="55600FA9"/>
    <w:rsid w:val="55764C4E"/>
    <w:rsid w:val="5587536D"/>
    <w:rsid w:val="558F63CF"/>
    <w:rsid w:val="559B174B"/>
    <w:rsid w:val="559E2D0F"/>
    <w:rsid w:val="55B55408"/>
    <w:rsid w:val="55BE2938"/>
    <w:rsid w:val="55CE0CF4"/>
    <w:rsid w:val="55CE6CAA"/>
    <w:rsid w:val="55D63DB0"/>
    <w:rsid w:val="55E4608E"/>
    <w:rsid w:val="55EE55FF"/>
    <w:rsid w:val="55F315DC"/>
    <w:rsid w:val="561F63BF"/>
    <w:rsid w:val="563B2EA4"/>
    <w:rsid w:val="563F753A"/>
    <w:rsid w:val="564477C4"/>
    <w:rsid w:val="56837A94"/>
    <w:rsid w:val="56A0449D"/>
    <w:rsid w:val="56B22A9C"/>
    <w:rsid w:val="56D300A9"/>
    <w:rsid w:val="56DC443D"/>
    <w:rsid w:val="56F300F3"/>
    <w:rsid w:val="56F4466A"/>
    <w:rsid w:val="571A3AD4"/>
    <w:rsid w:val="57431005"/>
    <w:rsid w:val="57443638"/>
    <w:rsid w:val="575743CB"/>
    <w:rsid w:val="575D76D4"/>
    <w:rsid w:val="576525B3"/>
    <w:rsid w:val="57973475"/>
    <w:rsid w:val="57B72A76"/>
    <w:rsid w:val="57B942FE"/>
    <w:rsid w:val="57C3426C"/>
    <w:rsid w:val="57C40C9E"/>
    <w:rsid w:val="57CE1F93"/>
    <w:rsid w:val="57FF4992"/>
    <w:rsid w:val="581D02DA"/>
    <w:rsid w:val="587873A1"/>
    <w:rsid w:val="58801E3E"/>
    <w:rsid w:val="588743D1"/>
    <w:rsid w:val="5887701A"/>
    <w:rsid w:val="58964949"/>
    <w:rsid w:val="58AE691E"/>
    <w:rsid w:val="58AE699D"/>
    <w:rsid w:val="58D02D39"/>
    <w:rsid w:val="599C0E6D"/>
    <w:rsid w:val="59A65848"/>
    <w:rsid w:val="59C0439F"/>
    <w:rsid w:val="59DF6790"/>
    <w:rsid w:val="5A512369"/>
    <w:rsid w:val="5A557999"/>
    <w:rsid w:val="5AAF3572"/>
    <w:rsid w:val="5AB45EF3"/>
    <w:rsid w:val="5ABE2233"/>
    <w:rsid w:val="5ACE0213"/>
    <w:rsid w:val="5ADB7BB3"/>
    <w:rsid w:val="5AE87C8F"/>
    <w:rsid w:val="5AED1AE5"/>
    <w:rsid w:val="5B0171D9"/>
    <w:rsid w:val="5B150ED7"/>
    <w:rsid w:val="5B2B4280"/>
    <w:rsid w:val="5B787068"/>
    <w:rsid w:val="5B887F17"/>
    <w:rsid w:val="5BAD213A"/>
    <w:rsid w:val="5BC76675"/>
    <w:rsid w:val="5BD713F9"/>
    <w:rsid w:val="5BDF5D95"/>
    <w:rsid w:val="5BFE7528"/>
    <w:rsid w:val="5C0A5747"/>
    <w:rsid w:val="5C6E0683"/>
    <w:rsid w:val="5C7E485A"/>
    <w:rsid w:val="5CB34C55"/>
    <w:rsid w:val="5CBC05E2"/>
    <w:rsid w:val="5CC3529A"/>
    <w:rsid w:val="5CFC04B2"/>
    <w:rsid w:val="5CFC1F34"/>
    <w:rsid w:val="5D0314A6"/>
    <w:rsid w:val="5D341C71"/>
    <w:rsid w:val="5D3748DD"/>
    <w:rsid w:val="5D3A0F85"/>
    <w:rsid w:val="5D3F223B"/>
    <w:rsid w:val="5D4E350B"/>
    <w:rsid w:val="5D775E79"/>
    <w:rsid w:val="5D80466C"/>
    <w:rsid w:val="5DA530EC"/>
    <w:rsid w:val="5DB26EB1"/>
    <w:rsid w:val="5DDE15EE"/>
    <w:rsid w:val="5E2467F1"/>
    <w:rsid w:val="5E287173"/>
    <w:rsid w:val="5E355FC4"/>
    <w:rsid w:val="5E4F3C33"/>
    <w:rsid w:val="5E6A3A83"/>
    <w:rsid w:val="5E9414BA"/>
    <w:rsid w:val="5EDE77F3"/>
    <w:rsid w:val="5F1A2B43"/>
    <w:rsid w:val="5F36567E"/>
    <w:rsid w:val="5F5C5FB8"/>
    <w:rsid w:val="5F5E109E"/>
    <w:rsid w:val="5F6266B2"/>
    <w:rsid w:val="5F686A40"/>
    <w:rsid w:val="5F6B5569"/>
    <w:rsid w:val="5F795ED8"/>
    <w:rsid w:val="5F842877"/>
    <w:rsid w:val="5F92277B"/>
    <w:rsid w:val="5F972372"/>
    <w:rsid w:val="5FB837BB"/>
    <w:rsid w:val="5FBC7B73"/>
    <w:rsid w:val="5FC25BBF"/>
    <w:rsid w:val="5FD033BF"/>
    <w:rsid w:val="60114363"/>
    <w:rsid w:val="605A54E6"/>
    <w:rsid w:val="60625289"/>
    <w:rsid w:val="6065639B"/>
    <w:rsid w:val="608F2E78"/>
    <w:rsid w:val="60A14C9E"/>
    <w:rsid w:val="60CC405A"/>
    <w:rsid w:val="61182C82"/>
    <w:rsid w:val="6119200B"/>
    <w:rsid w:val="6147343A"/>
    <w:rsid w:val="61474A42"/>
    <w:rsid w:val="614C4F26"/>
    <w:rsid w:val="615F2EAC"/>
    <w:rsid w:val="61785D1C"/>
    <w:rsid w:val="61A346A2"/>
    <w:rsid w:val="61D40127"/>
    <w:rsid w:val="61E215D8"/>
    <w:rsid w:val="61EA46BE"/>
    <w:rsid w:val="620F32A0"/>
    <w:rsid w:val="621B3775"/>
    <w:rsid w:val="6220263B"/>
    <w:rsid w:val="62364782"/>
    <w:rsid w:val="627A6484"/>
    <w:rsid w:val="62A648D5"/>
    <w:rsid w:val="62F0200C"/>
    <w:rsid w:val="634A36E8"/>
    <w:rsid w:val="638A09FE"/>
    <w:rsid w:val="63912164"/>
    <w:rsid w:val="6394356A"/>
    <w:rsid w:val="63952BB5"/>
    <w:rsid w:val="63A55B7C"/>
    <w:rsid w:val="63B7344F"/>
    <w:rsid w:val="63C61B2C"/>
    <w:rsid w:val="63CF0862"/>
    <w:rsid w:val="63D40BE9"/>
    <w:rsid w:val="64102431"/>
    <w:rsid w:val="646A10C5"/>
    <w:rsid w:val="64746C6E"/>
    <w:rsid w:val="647C7732"/>
    <w:rsid w:val="64A5243A"/>
    <w:rsid w:val="64A96370"/>
    <w:rsid w:val="64D62737"/>
    <w:rsid w:val="64E738E4"/>
    <w:rsid w:val="64F531DE"/>
    <w:rsid w:val="650F0D44"/>
    <w:rsid w:val="65373578"/>
    <w:rsid w:val="653D1C18"/>
    <w:rsid w:val="655414BB"/>
    <w:rsid w:val="65660525"/>
    <w:rsid w:val="65696CE3"/>
    <w:rsid w:val="65774B46"/>
    <w:rsid w:val="65815627"/>
    <w:rsid w:val="660F19FF"/>
    <w:rsid w:val="660F4A36"/>
    <w:rsid w:val="661B0AFE"/>
    <w:rsid w:val="662808E4"/>
    <w:rsid w:val="662A1850"/>
    <w:rsid w:val="662A5CC8"/>
    <w:rsid w:val="66517EB4"/>
    <w:rsid w:val="66613222"/>
    <w:rsid w:val="666557B4"/>
    <w:rsid w:val="666C6226"/>
    <w:rsid w:val="66790D2C"/>
    <w:rsid w:val="66867C11"/>
    <w:rsid w:val="66BA2932"/>
    <w:rsid w:val="66DB4955"/>
    <w:rsid w:val="66F911A9"/>
    <w:rsid w:val="671F124A"/>
    <w:rsid w:val="67397B5E"/>
    <w:rsid w:val="6757118A"/>
    <w:rsid w:val="6777376F"/>
    <w:rsid w:val="677A33C6"/>
    <w:rsid w:val="677E4A78"/>
    <w:rsid w:val="679D36D8"/>
    <w:rsid w:val="67B63DF5"/>
    <w:rsid w:val="681F6961"/>
    <w:rsid w:val="68403510"/>
    <w:rsid w:val="68610A2F"/>
    <w:rsid w:val="687F1D93"/>
    <w:rsid w:val="68805514"/>
    <w:rsid w:val="68820EEB"/>
    <w:rsid w:val="68A26867"/>
    <w:rsid w:val="68C301C4"/>
    <w:rsid w:val="68E45C8F"/>
    <w:rsid w:val="69163295"/>
    <w:rsid w:val="69316E2F"/>
    <w:rsid w:val="694E2071"/>
    <w:rsid w:val="69556EEC"/>
    <w:rsid w:val="695E4CF5"/>
    <w:rsid w:val="69681247"/>
    <w:rsid w:val="696D1EDE"/>
    <w:rsid w:val="69766163"/>
    <w:rsid w:val="697A3B33"/>
    <w:rsid w:val="69B86EBD"/>
    <w:rsid w:val="69D44760"/>
    <w:rsid w:val="69E2467A"/>
    <w:rsid w:val="6A27322B"/>
    <w:rsid w:val="6A520EC7"/>
    <w:rsid w:val="6A690733"/>
    <w:rsid w:val="6A9726F6"/>
    <w:rsid w:val="6AC06455"/>
    <w:rsid w:val="6ACB54B0"/>
    <w:rsid w:val="6AE42382"/>
    <w:rsid w:val="6AF87E20"/>
    <w:rsid w:val="6B08343F"/>
    <w:rsid w:val="6B2B4A32"/>
    <w:rsid w:val="6B322639"/>
    <w:rsid w:val="6B330E85"/>
    <w:rsid w:val="6B777044"/>
    <w:rsid w:val="6B880E62"/>
    <w:rsid w:val="6B8D2F88"/>
    <w:rsid w:val="6B8F5BF6"/>
    <w:rsid w:val="6BAD555D"/>
    <w:rsid w:val="6BAF1EEA"/>
    <w:rsid w:val="6BAF4478"/>
    <w:rsid w:val="6BE747E0"/>
    <w:rsid w:val="6BEB5233"/>
    <w:rsid w:val="6BF317E2"/>
    <w:rsid w:val="6BFE74C5"/>
    <w:rsid w:val="6C022DB1"/>
    <w:rsid w:val="6C2D70F8"/>
    <w:rsid w:val="6C374C4E"/>
    <w:rsid w:val="6C636C38"/>
    <w:rsid w:val="6C7F16C7"/>
    <w:rsid w:val="6C8E4755"/>
    <w:rsid w:val="6CDA788A"/>
    <w:rsid w:val="6CF90658"/>
    <w:rsid w:val="6D030460"/>
    <w:rsid w:val="6D0A1681"/>
    <w:rsid w:val="6D0B5A8F"/>
    <w:rsid w:val="6D371181"/>
    <w:rsid w:val="6D543AE1"/>
    <w:rsid w:val="6D61626C"/>
    <w:rsid w:val="6D7A7255"/>
    <w:rsid w:val="6DAF0D17"/>
    <w:rsid w:val="6DB34098"/>
    <w:rsid w:val="6DB545B6"/>
    <w:rsid w:val="6DE02FB4"/>
    <w:rsid w:val="6E362D77"/>
    <w:rsid w:val="6E3F209B"/>
    <w:rsid w:val="6E514CED"/>
    <w:rsid w:val="6E9879FD"/>
    <w:rsid w:val="6EAF1563"/>
    <w:rsid w:val="6EB563D5"/>
    <w:rsid w:val="6EC814B5"/>
    <w:rsid w:val="6ED8429D"/>
    <w:rsid w:val="6ED92677"/>
    <w:rsid w:val="6EE67DB6"/>
    <w:rsid w:val="6F225983"/>
    <w:rsid w:val="6F6501CA"/>
    <w:rsid w:val="6F6B5112"/>
    <w:rsid w:val="6F8C7562"/>
    <w:rsid w:val="6F9248F7"/>
    <w:rsid w:val="6FBF73B3"/>
    <w:rsid w:val="6FE416D5"/>
    <w:rsid w:val="6FF43359"/>
    <w:rsid w:val="6FFC5590"/>
    <w:rsid w:val="700F3CEF"/>
    <w:rsid w:val="70127ACB"/>
    <w:rsid w:val="701E69D1"/>
    <w:rsid w:val="706976BE"/>
    <w:rsid w:val="706D1DD0"/>
    <w:rsid w:val="70801449"/>
    <w:rsid w:val="70856B87"/>
    <w:rsid w:val="709B37D5"/>
    <w:rsid w:val="70B8073C"/>
    <w:rsid w:val="70D527EE"/>
    <w:rsid w:val="7116414B"/>
    <w:rsid w:val="712901F6"/>
    <w:rsid w:val="714E7019"/>
    <w:rsid w:val="715B5300"/>
    <w:rsid w:val="717B0BE4"/>
    <w:rsid w:val="71B11389"/>
    <w:rsid w:val="71C3762B"/>
    <w:rsid w:val="71C54FAD"/>
    <w:rsid w:val="71C73B68"/>
    <w:rsid w:val="71D27F8A"/>
    <w:rsid w:val="71F45626"/>
    <w:rsid w:val="72553024"/>
    <w:rsid w:val="728F134A"/>
    <w:rsid w:val="73122968"/>
    <w:rsid w:val="731F5D5E"/>
    <w:rsid w:val="73500C73"/>
    <w:rsid w:val="73710EFB"/>
    <w:rsid w:val="73C10D0D"/>
    <w:rsid w:val="73C51AD5"/>
    <w:rsid w:val="73F13E37"/>
    <w:rsid w:val="741E793C"/>
    <w:rsid w:val="74341F76"/>
    <w:rsid w:val="74493C73"/>
    <w:rsid w:val="745E3944"/>
    <w:rsid w:val="74642F35"/>
    <w:rsid w:val="74704D88"/>
    <w:rsid w:val="74996C40"/>
    <w:rsid w:val="74A933D7"/>
    <w:rsid w:val="74E05C5A"/>
    <w:rsid w:val="74FF73DD"/>
    <w:rsid w:val="75023E22"/>
    <w:rsid w:val="753533CB"/>
    <w:rsid w:val="754B452A"/>
    <w:rsid w:val="754F78C4"/>
    <w:rsid w:val="757A1C0A"/>
    <w:rsid w:val="75A650F5"/>
    <w:rsid w:val="75AA7A45"/>
    <w:rsid w:val="75C567D4"/>
    <w:rsid w:val="75CE4A51"/>
    <w:rsid w:val="76104D5D"/>
    <w:rsid w:val="76224E84"/>
    <w:rsid w:val="76337E65"/>
    <w:rsid w:val="7635099D"/>
    <w:rsid w:val="766823AB"/>
    <w:rsid w:val="76842349"/>
    <w:rsid w:val="76B4739E"/>
    <w:rsid w:val="76B96E5A"/>
    <w:rsid w:val="76C75323"/>
    <w:rsid w:val="76E757A2"/>
    <w:rsid w:val="77062C53"/>
    <w:rsid w:val="77187289"/>
    <w:rsid w:val="77305F61"/>
    <w:rsid w:val="774F31B8"/>
    <w:rsid w:val="77762421"/>
    <w:rsid w:val="77A0339C"/>
    <w:rsid w:val="77B56B1F"/>
    <w:rsid w:val="77CB7931"/>
    <w:rsid w:val="780F09F4"/>
    <w:rsid w:val="781A5E8B"/>
    <w:rsid w:val="78283BA0"/>
    <w:rsid w:val="78301B43"/>
    <w:rsid w:val="783F4B1F"/>
    <w:rsid w:val="7844495E"/>
    <w:rsid w:val="786D5A56"/>
    <w:rsid w:val="78A90480"/>
    <w:rsid w:val="78F17421"/>
    <w:rsid w:val="791328E8"/>
    <w:rsid w:val="791D747D"/>
    <w:rsid w:val="792620AF"/>
    <w:rsid w:val="797309E8"/>
    <w:rsid w:val="79BC5D3D"/>
    <w:rsid w:val="7A0D5B55"/>
    <w:rsid w:val="7A3249E0"/>
    <w:rsid w:val="7A364017"/>
    <w:rsid w:val="7A8265E1"/>
    <w:rsid w:val="7A8A30FA"/>
    <w:rsid w:val="7A8D7B6F"/>
    <w:rsid w:val="7A954353"/>
    <w:rsid w:val="7AA564F5"/>
    <w:rsid w:val="7AE155BA"/>
    <w:rsid w:val="7AF570B1"/>
    <w:rsid w:val="7B000E04"/>
    <w:rsid w:val="7B13652F"/>
    <w:rsid w:val="7B257C64"/>
    <w:rsid w:val="7B686D42"/>
    <w:rsid w:val="7B841746"/>
    <w:rsid w:val="7B997BCB"/>
    <w:rsid w:val="7BEE3352"/>
    <w:rsid w:val="7C2365D4"/>
    <w:rsid w:val="7C6C15C3"/>
    <w:rsid w:val="7C6C5AC7"/>
    <w:rsid w:val="7C6E4C43"/>
    <w:rsid w:val="7CA62243"/>
    <w:rsid w:val="7CC6544B"/>
    <w:rsid w:val="7CC676F6"/>
    <w:rsid w:val="7CEA5711"/>
    <w:rsid w:val="7D0239FF"/>
    <w:rsid w:val="7D2A690E"/>
    <w:rsid w:val="7D5E40CD"/>
    <w:rsid w:val="7D6640CF"/>
    <w:rsid w:val="7D6E075E"/>
    <w:rsid w:val="7D983576"/>
    <w:rsid w:val="7DA73D28"/>
    <w:rsid w:val="7DAA32A9"/>
    <w:rsid w:val="7DBE5952"/>
    <w:rsid w:val="7DC616E6"/>
    <w:rsid w:val="7DCA301C"/>
    <w:rsid w:val="7DCD56F2"/>
    <w:rsid w:val="7DD0308E"/>
    <w:rsid w:val="7DDC16B6"/>
    <w:rsid w:val="7DFC1D56"/>
    <w:rsid w:val="7DFE0DAA"/>
    <w:rsid w:val="7E097FCF"/>
    <w:rsid w:val="7E1F4BFD"/>
    <w:rsid w:val="7E3037AE"/>
    <w:rsid w:val="7E4E37AA"/>
    <w:rsid w:val="7E521A14"/>
    <w:rsid w:val="7E7C4D99"/>
    <w:rsid w:val="7E88063C"/>
    <w:rsid w:val="7E997407"/>
    <w:rsid w:val="7EE949B8"/>
    <w:rsid w:val="7EFB0260"/>
    <w:rsid w:val="7F001CE7"/>
    <w:rsid w:val="7F145D08"/>
    <w:rsid w:val="7F2D4191"/>
    <w:rsid w:val="7FBE7B96"/>
    <w:rsid w:val="7FC41213"/>
    <w:rsid w:val="7FC70142"/>
    <w:rsid w:val="7FE4078B"/>
    <w:rsid w:val="7FE47E50"/>
    <w:rsid w:val="7FFB4E8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ocked="1"/>
    <w:lsdException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qFormat="1" w:unhideWhenUsed="0" w:uiPriority="0" w:semiHidden="0" w:name="Salutation" w:locked="1"/>
    <w:lsdException w:qFormat="1" w:unhideWhenUsed="0" w:uiPriority="0" w:semiHidden="0" w:name="Date"/>
    <w:lsdException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ocked="1"/>
    <w:lsdException w:unhideWhenUsed="0" w:uiPriority="0" w:semiHidden="0" w:name="Body Text Indent 3" w:locked="1"/>
    <w:lsdException w:unhideWhenUsed="0" w:uiPriority="0" w:semiHidden="0" w:name="Block Text" w:locked="1"/>
    <w:lsdException w:unhideWhenUsed="0" w:uiPriority="0" w:semiHidden="0" w:name="Hyperlink" w:locked="1"/>
    <w:lsdException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99"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qFormat="1" w:unhideWhenUsed="0" w:uiPriority="0"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locked/>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4">
    <w:name w:val="heading 2"/>
    <w:basedOn w:val="1"/>
    <w:next w:val="1"/>
    <w:autoRedefine/>
    <w:qFormat/>
    <w:locked/>
    <w:uiPriority w:val="0"/>
    <w:pPr>
      <w:widowControl/>
      <w:spacing w:before="100" w:beforeAutospacing="1" w:after="100" w:afterAutospacing="1"/>
      <w:jc w:val="left"/>
      <w:outlineLvl w:val="1"/>
    </w:pPr>
    <w:rPr>
      <w:rFonts w:ascii="宋体" w:hAnsi="宋体" w:cs="宋体"/>
      <w:b/>
      <w:bCs/>
      <w:kern w:val="0"/>
      <w:sz w:val="36"/>
      <w:szCs w:val="36"/>
    </w:rPr>
  </w:style>
  <w:style w:type="paragraph" w:styleId="5">
    <w:name w:val="heading 4"/>
    <w:basedOn w:val="1"/>
    <w:next w:val="1"/>
    <w:autoRedefine/>
    <w:qFormat/>
    <w:locked/>
    <w:uiPriority w:val="0"/>
    <w:pPr>
      <w:keepNext/>
      <w:keepLines/>
      <w:spacing w:before="280" w:after="290" w:line="376" w:lineRule="auto"/>
      <w:outlineLvl w:val="3"/>
    </w:pPr>
    <w:rPr>
      <w:rFonts w:ascii="Calibri Light" w:hAnsi="Calibri Light"/>
      <w:b/>
      <w:bCs/>
      <w:sz w:val="28"/>
      <w:szCs w:val="28"/>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link w:val="26"/>
    <w:autoRedefine/>
    <w:qFormat/>
    <w:uiPriority w:val="0"/>
    <w:pPr>
      <w:widowControl/>
      <w:snapToGrid w:val="0"/>
      <w:spacing w:before="60" w:after="160" w:line="259" w:lineRule="auto"/>
      <w:ind w:right="113"/>
    </w:pPr>
    <w:rPr>
      <w:kern w:val="0"/>
      <w:sz w:val="18"/>
      <w:szCs w:val="20"/>
    </w:rPr>
  </w:style>
  <w:style w:type="paragraph" w:styleId="6">
    <w:name w:val="annotation text"/>
    <w:basedOn w:val="1"/>
    <w:link w:val="25"/>
    <w:autoRedefine/>
    <w:semiHidden/>
    <w:qFormat/>
    <w:uiPriority w:val="0"/>
    <w:pPr>
      <w:jc w:val="left"/>
    </w:pPr>
    <w:rPr>
      <w:kern w:val="0"/>
      <w:sz w:val="24"/>
      <w:szCs w:val="20"/>
    </w:rPr>
  </w:style>
  <w:style w:type="paragraph" w:styleId="7">
    <w:name w:val="Salutation"/>
    <w:basedOn w:val="1"/>
    <w:next w:val="1"/>
    <w:autoRedefine/>
    <w:qFormat/>
    <w:locked/>
    <w:uiPriority w:val="0"/>
    <w:rPr>
      <w:rFonts w:ascii="宋体" w:hAnsi="华文宋体"/>
      <w:sz w:val="28"/>
    </w:rPr>
  </w:style>
  <w:style w:type="paragraph" w:styleId="8">
    <w:name w:val="Body Text Indent"/>
    <w:basedOn w:val="1"/>
    <w:link w:val="27"/>
    <w:autoRedefine/>
    <w:qFormat/>
    <w:uiPriority w:val="0"/>
    <w:pPr>
      <w:spacing w:after="120"/>
      <w:ind w:left="420" w:leftChars="200"/>
    </w:pPr>
    <w:rPr>
      <w:kern w:val="0"/>
      <w:sz w:val="24"/>
      <w:szCs w:val="20"/>
    </w:rPr>
  </w:style>
  <w:style w:type="paragraph" w:styleId="9">
    <w:name w:val="Plain Text"/>
    <w:basedOn w:val="1"/>
    <w:next w:val="7"/>
    <w:autoRedefine/>
    <w:qFormat/>
    <w:locked/>
    <w:uiPriority w:val="99"/>
    <w:rPr>
      <w:rFonts w:ascii="宋体" w:hAnsi="Courier New"/>
      <w:szCs w:val="21"/>
    </w:rPr>
  </w:style>
  <w:style w:type="paragraph" w:styleId="10">
    <w:name w:val="Date"/>
    <w:basedOn w:val="1"/>
    <w:next w:val="1"/>
    <w:link w:val="28"/>
    <w:autoRedefine/>
    <w:qFormat/>
    <w:uiPriority w:val="0"/>
    <w:pPr>
      <w:ind w:left="100" w:leftChars="2500"/>
    </w:pPr>
    <w:rPr>
      <w:kern w:val="0"/>
      <w:sz w:val="24"/>
      <w:szCs w:val="20"/>
    </w:rPr>
  </w:style>
  <w:style w:type="paragraph" w:styleId="11">
    <w:name w:val="Body Text Indent 2"/>
    <w:basedOn w:val="1"/>
    <w:next w:val="12"/>
    <w:autoRedefine/>
    <w:qFormat/>
    <w:locked/>
    <w:uiPriority w:val="0"/>
    <w:pPr>
      <w:spacing w:after="120" w:afterLines="0" w:line="480" w:lineRule="auto"/>
      <w:ind w:left="420" w:leftChars="200"/>
    </w:pPr>
    <w:rPr>
      <w:rFonts w:ascii="Times New Roman" w:hAnsi="Times New Roman" w:eastAsia="宋体" w:cs="Times New Roman"/>
    </w:rPr>
  </w:style>
  <w:style w:type="paragraph" w:styleId="12">
    <w:name w:val="Body Text First Indent 2"/>
    <w:basedOn w:val="8"/>
    <w:autoRedefine/>
    <w:qFormat/>
    <w:locked/>
    <w:uiPriority w:val="0"/>
    <w:pPr>
      <w:ind w:firstLine="420" w:firstLineChars="200"/>
    </w:pPr>
    <w:rPr>
      <w:rFonts w:ascii="Times New Roman" w:hAnsi="Times New Roman" w:eastAsia="宋体" w:cs="Times New Roman"/>
    </w:rPr>
  </w:style>
  <w:style w:type="paragraph" w:styleId="13">
    <w:name w:val="Balloon Text"/>
    <w:basedOn w:val="1"/>
    <w:link w:val="29"/>
    <w:autoRedefine/>
    <w:semiHidden/>
    <w:qFormat/>
    <w:uiPriority w:val="0"/>
    <w:rPr>
      <w:kern w:val="0"/>
      <w:sz w:val="18"/>
      <w:szCs w:val="20"/>
    </w:rPr>
  </w:style>
  <w:style w:type="paragraph" w:styleId="14">
    <w:name w:val="footer"/>
    <w:basedOn w:val="1"/>
    <w:link w:val="30"/>
    <w:autoRedefine/>
    <w:qFormat/>
    <w:uiPriority w:val="99"/>
    <w:pPr>
      <w:tabs>
        <w:tab w:val="center" w:pos="4153"/>
        <w:tab w:val="right" w:pos="8306"/>
      </w:tabs>
      <w:snapToGrid w:val="0"/>
      <w:jc w:val="left"/>
    </w:pPr>
    <w:rPr>
      <w:kern w:val="0"/>
      <w:sz w:val="18"/>
      <w:szCs w:val="20"/>
    </w:rPr>
  </w:style>
  <w:style w:type="paragraph" w:styleId="15">
    <w:name w:val="header"/>
    <w:basedOn w:val="1"/>
    <w:link w:val="31"/>
    <w:autoRedefine/>
    <w:qFormat/>
    <w:uiPriority w:val="0"/>
    <w:pPr>
      <w:pBdr>
        <w:bottom w:val="single" w:color="auto" w:sz="6" w:space="1"/>
      </w:pBdr>
      <w:tabs>
        <w:tab w:val="center" w:pos="4153"/>
        <w:tab w:val="right" w:pos="8306"/>
      </w:tabs>
      <w:snapToGrid w:val="0"/>
      <w:jc w:val="center"/>
    </w:pPr>
    <w:rPr>
      <w:kern w:val="0"/>
      <w:sz w:val="18"/>
      <w:szCs w:val="20"/>
    </w:rPr>
  </w:style>
  <w:style w:type="paragraph" w:styleId="16">
    <w:name w:val="toc 1"/>
    <w:basedOn w:val="1"/>
    <w:next w:val="1"/>
    <w:autoRedefine/>
    <w:qFormat/>
    <w:locked/>
    <w:uiPriority w:val="0"/>
    <w:rPr>
      <w:rFonts w:ascii="Times New Roman" w:hAnsi="Times New Roman" w:eastAsia="宋体"/>
      <w:sz w:val="24"/>
    </w:rPr>
  </w:style>
  <w:style w:type="paragraph" w:styleId="17">
    <w:name w:val="Normal (Web)"/>
    <w:basedOn w:val="1"/>
    <w:link w:val="32"/>
    <w:autoRedefine/>
    <w:qFormat/>
    <w:uiPriority w:val="0"/>
    <w:pPr>
      <w:widowControl/>
      <w:spacing w:before="100" w:beforeAutospacing="1" w:after="100" w:afterAutospacing="1"/>
      <w:jc w:val="left"/>
    </w:pPr>
    <w:rPr>
      <w:rFonts w:ascii="宋体" w:hAnsi="宋体"/>
      <w:kern w:val="0"/>
      <w:sz w:val="24"/>
      <w:szCs w:val="20"/>
    </w:rPr>
  </w:style>
  <w:style w:type="paragraph" w:styleId="18">
    <w:name w:val="annotation subject"/>
    <w:basedOn w:val="6"/>
    <w:next w:val="6"/>
    <w:link w:val="33"/>
    <w:autoRedefine/>
    <w:semiHidden/>
    <w:qFormat/>
    <w:uiPriority w:val="0"/>
    <w:rPr>
      <w:b/>
      <w:sz w:val="24"/>
      <w:szCs w:val="20"/>
    </w:rPr>
  </w:style>
  <w:style w:type="table" w:styleId="20">
    <w:name w:val="Table Grid"/>
    <w:basedOn w:val="19"/>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locked/>
    <w:uiPriority w:val="0"/>
    <w:rPr>
      <w:b/>
    </w:rPr>
  </w:style>
  <w:style w:type="character" w:styleId="23">
    <w:name w:val="page number"/>
    <w:basedOn w:val="21"/>
    <w:autoRedefine/>
    <w:qFormat/>
    <w:locked/>
    <w:uiPriority w:val="0"/>
  </w:style>
  <w:style w:type="character" w:styleId="24">
    <w:name w:val="annotation reference"/>
    <w:autoRedefine/>
    <w:semiHidden/>
    <w:qFormat/>
    <w:uiPriority w:val="0"/>
    <w:rPr>
      <w:sz w:val="21"/>
    </w:rPr>
  </w:style>
  <w:style w:type="character" w:customStyle="1" w:styleId="25">
    <w:name w:val="批注文字 Char"/>
    <w:link w:val="6"/>
    <w:autoRedefine/>
    <w:qFormat/>
    <w:locked/>
    <w:uiPriority w:val="0"/>
    <w:rPr>
      <w:rFonts w:ascii="Times New Roman" w:hAnsi="Times New Roman" w:eastAsia="宋体"/>
      <w:sz w:val="24"/>
    </w:rPr>
  </w:style>
  <w:style w:type="character" w:customStyle="1" w:styleId="26">
    <w:name w:val="正文文本 Char"/>
    <w:link w:val="2"/>
    <w:autoRedefine/>
    <w:qFormat/>
    <w:locked/>
    <w:uiPriority w:val="0"/>
    <w:rPr>
      <w:sz w:val="18"/>
    </w:rPr>
  </w:style>
  <w:style w:type="character" w:customStyle="1" w:styleId="27">
    <w:name w:val="正文文本缩进 Char"/>
    <w:link w:val="8"/>
    <w:autoRedefine/>
    <w:semiHidden/>
    <w:qFormat/>
    <w:locked/>
    <w:uiPriority w:val="0"/>
    <w:rPr>
      <w:rFonts w:ascii="Times New Roman" w:hAnsi="Times New Roman" w:eastAsia="宋体"/>
      <w:sz w:val="24"/>
    </w:rPr>
  </w:style>
  <w:style w:type="character" w:customStyle="1" w:styleId="28">
    <w:name w:val="日期 Char"/>
    <w:link w:val="10"/>
    <w:autoRedefine/>
    <w:qFormat/>
    <w:locked/>
    <w:uiPriority w:val="0"/>
    <w:rPr>
      <w:rFonts w:ascii="Times New Roman" w:hAnsi="Times New Roman" w:eastAsia="宋体"/>
      <w:sz w:val="24"/>
    </w:rPr>
  </w:style>
  <w:style w:type="character" w:customStyle="1" w:styleId="29">
    <w:name w:val="批注框文本 Char"/>
    <w:link w:val="13"/>
    <w:autoRedefine/>
    <w:semiHidden/>
    <w:qFormat/>
    <w:locked/>
    <w:uiPriority w:val="0"/>
    <w:rPr>
      <w:rFonts w:ascii="Times New Roman" w:hAnsi="Times New Roman" w:eastAsia="宋体"/>
      <w:sz w:val="18"/>
    </w:rPr>
  </w:style>
  <w:style w:type="character" w:customStyle="1" w:styleId="30">
    <w:name w:val="页脚 Char"/>
    <w:link w:val="14"/>
    <w:autoRedefine/>
    <w:qFormat/>
    <w:locked/>
    <w:uiPriority w:val="99"/>
    <w:rPr>
      <w:sz w:val="18"/>
    </w:rPr>
  </w:style>
  <w:style w:type="character" w:customStyle="1" w:styleId="31">
    <w:name w:val="页眉 Char"/>
    <w:link w:val="15"/>
    <w:autoRedefine/>
    <w:qFormat/>
    <w:locked/>
    <w:uiPriority w:val="0"/>
    <w:rPr>
      <w:sz w:val="18"/>
    </w:rPr>
  </w:style>
  <w:style w:type="character" w:customStyle="1" w:styleId="32">
    <w:name w:val="普通(网站) Char"/>
    <w:link w:val="17"/>
    <w:autoRedefine/>
    <w:qFormat/>
    <w:locked/>
    <w:uiPriority w:val="0"/>
    <w:rPr>
      <w:rFonts w:ascii="宋体" w:hAnsi="宋体" w:eastAsia="宋体"/>
      <w:sz w:val="24"/>
    </w:rPr>
  </w:style>
  <w:style w:type="character" w:customStyle="1" w:styleId="33">
    <w:name w:val="批注主题 Char"/>
    <w:link w:val="18"/>
    <w:autoRedefine/>
    <w:semiHidden/>
    <w:qFormat/>
    <w:locked/>
    <w:uiPriority w:val="0"/>
    <w:rPr>
      <w:rFonts w:ascii="Times New Roman" w:hAnsi="Times New Roman" w:eastAsia="宋体"/>
      <w:b/>
      <w:kern w:val="2"/>
      <w:sz w:val="24"/>
    </w:rPr>
  </w:style>
  <w:style w:type="character" w:customStyle="1" w:styleId="34">
    <w:name w:val="页脚 字符"/>
    <w:basedOn w:val="21"/>
    <w:autoRedefine/>
    <w:qFormat/>
    <w:uiPriority w:val="99"/>
  </w:style>
  <w:style w:type="character" w:customStyle="1" w:styleId="35">
    <w:name w:val="正文文本 字符1"/>
    <w:autoRedefine/>
    <w:semiHidden/>
    <w:qFormat/>
    <w:uiPriority w:val="0"/>
    <w:rPr>
      <w:rFonts w:ascii="Times New Roman" w:hAnsi="Times New Roman" w:eastAsia="宋体"/>
      <w:sz w:val="24"/>
    </w:rPr>
  </w:style>
  <w:style w:type="character" w:customStyle="1" w:styleId="36">
    <w:name w:val="表格 Char"/>
    <w:link w:val="37"/>
    <w:autoRedefine/>
    <w:qFormat/>
    <w:locked/>
    <w:uiPriority w:val="0"/>
    <w:rPr>
      <w:rFonts w:ascii="宋体"/>
      <w:sz w:val="21"/>
    </w:rPr>
  </w:style>
  <w:style w:type="paragraph" w:customStyle="1" w:styleId="37">
    <w:name w:val="表格"/>
    <w:basedOn w:val="1"/>
    <w:next w:val="1"/>
    <w:link w:val="36"/>
    <w:autoRedefine/>
    <w:qFormat/>
    <w:uiPriority w:val="0"/>
    <w:pPr>
      <w:adjustRightInd w:val="0"/>
      <w:snapToGrid w:val="0"/>
      <w:spacing w:beforeLines="10" w:afterLines="10" w:line="259" w:lineRule="auto"/>
      <w:jc w:val="center"/>
    </w:pPr>
    <w:rPr>
      <w:rFonts w:ascii="宋体"/>
      <w:kern w:val="0"/>
      <w:szCs w:val="20"/>
    </w:rPr>
  </w:style>
  <w:style w:type="character" w:customStyle="1" w:styleId="38">
    <w:name w:val="日期 字符"/>
    <w:autoRedefine/>
    <w:semiHidden/>
    <w:qFormat/>
    <w:uiPriority w:val="0"/>
    <w:rPr>
      <w:rFonts w:ascii="Times New Roman" w:hAnsi="Times New Roman" w:eastAsia="宋体"/>
      <w:sz w:val="24"/>
    </w:rPr>
  </w:style>
  <w:style w:type="character" w:customStyle="1" w:styleId="39">
    <w:name w:val="批注文字 字符1"/>
    <w:autoRedefine/>
    <w:semiHidden/>
    <w:qFormat/>
    <w:uiPriority w:val="0"/>
    <w:rPr>
      <w:rFonts w:ascii="Times New Roman" w:hAnsi="Times New Roman" w:eastAsia="宋体"/>
      <w:sz w:val="24"/>
    </w:rPr>
  </w:style>
  <w:style w:type="paragraph" w:customStyle="1" w:styleId="40">
    <w:name w:val="正文_1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
    <w:name w:val="普通(网站)2"/>
    <w:basedOn w:val="1"/>
    <w:autoRedefine/>
    <w:qFormat/>
    <w:uiPriority w:val="0"/>
    <w:pPr>
      <w:widowControl/>
      <w:spacing w:before="100" w:beforeAutospacing="1" w:after="100" w:afterAutospacing="1"/>
      <w:jc w:val="left"/>
    </w:pPr>
    <w:rPr>
      <w:rFonts w:ascii="宋体" w:hAnsi="宋体"/>
      <w:sz w:val="24"/>
      <w:szCs w:val="20"/>
    </w:rPr>
  </w:style>
  <w:style w:type="paragraph" w:customStyle="1" w:styleId="42">
    <w:name w:val="报告表正文"/>
    <w:basedOn w:val="43"/>
    <w:autoRedefine/>
    <w:qFormat/>
    <w:uiPriority w:val="0"/>
    <w:pPr>
      <w:ind w:firstLine="200" w:firstLineChars="200"/>
      <w:jc w:val="left"/>
    </w:pPr>
    <w:rPr>
      <w:rFonts w:ascii="Times New Roman" w:hAnsi="Times New Roman"/>
      <w:szCs w:val="24"/>
    </w:rPr>
  </w:style>
  <w:style w:type="paragraph" w:customStyle="1" w:styleId="43">
    <w:name w:val="列表1"/>
    <w:basedOn w:val="1"/>
    <w:autoRedefine/>
    <w:qFormat/>
    <w:uiPriority w:val="0"/>
    <w:pPr>
      <w:spacing w:line="400" w:lineRule="exact"/>
      <w:jc w:val="center"/>
    </w:pPr>
    <w:rPr>
      <w:rFonts w:ascii="宋体" w:hAnsi="宋体" w:eastAsia="仿宋_GB2312"/>
      <w:sz w:val="24"/>
      <w:szCs w:val="20"/>
    </w:rPr>
  </w:style>
  <w:style w:type="paragraph" w:customStyle="1" w:styleId="44">
    <w:name w:val="正式文本"/>
    <w:basedOn w:val="1"/>
    <w:autoRedefine/>
    <w:qFormat/>
    <w:uiPriority w:val="0"/>
    <w:pPr>
      <w:adjustRightInd w:val="0"/>
      <w:snapToGrid w:val="0"/>
      <w:spacing w:line="360" w:lineRule="auto"/>
      <w:ind w:firstLine="420" w:firstLineChars="200"/>
      <w:jc w:val="left"/>
    </w:pPr>
    <w:rPr>
      <w:bCs/>
      <w:szCs w:val="21"/>
    </w:rPr>
  </w:style>
  <w:style w:type="paragraph" w:customStyle="1" w:styleId="45">
    <w:name w:val="xl27"/>
    <w:basedOn w:val="1"/>
    <w:next w:val="46"/>
    <w:autoRedefine/>
    <w:qFormat/>
    <w:uiPriority w:val="99"/>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18030" w:hAnsi="???-18030" w:cs="???-18030"/>
      <w:kern w:val="0"/>
    </w:rPr>
  </w:style>
  <w:style w:type="paragraph" w:customStyle="1" w:styleId="46">
    <w:name w:val="A正文"/>
    <w:basedOn w:val="1"/>
    <w:autoRedefine/>
    <w:qFormat/>
    <w:uiPriority w:val="0"/>
    <w:pPr>
      <w:widowControl/>
      <w:spacing w:line="360" w:lineRule="auto"/>
      <w:ind w:firstLine="200" w:firstLineChars="200"/>
      <w:jc w:val="left"/>
    </w:pPr>
    <w:rPr>
      <w:rFonts w:ascii="宋体" w:hAnsi="宋体" w:cs="宋体"/>
      <w:sz w:val="24"/>
      <w:szCs w:val="24"/>
    </w:rPr>
  </w:style>
  <w:style w:type="paragraph" w:customStyle="1" w:styleId="47">
    <w:name w:val="表头。图尾"/>
    <w:basedOn w:val="1"/>
    <w:next w:val="1"/>
    <w:autoRedefine/>
    <w:qFormat/>
    <w:uiPriority w:val="0"/>
    <w:pPr>
      <w:keepNext/>
      <w:jc w:val="center"/>
    </w:pPr>
    <w:rPr>
      <w:b/>
      <w:spacing w:val="10"/>
      <w:kern w:val="21"/>
      <w:szCs w:val="21"/>
    </w:rPr>
  </w:style>
  <w:style w:type="paragraph" w:customStyle="1" w:styleId="48">
    <w:name w:val="表格内格式"/>
    <w:basedOn w:val="1"/>
    <w:autoRedefine/>
    <w:qFormat/>
    <w:uiPriority w:val="0"/>
    <w:pPr>
      <w:adjustRightInd w:val="0"/>
      <w:snapToGrid w:val="0"/>
      <w:spacing w:before="60"/>
      <w:jc w:val="center"/>
    </w:pPr>
    <w:rPr>
      <w:rFonts w:cs="宋体"/>
      <w:snapToGrid w:val="0"/>
      <w:sz w:val="18"/>
      <w:szCs w:val="21"/>
    </w:rPr>
  </w:style>
  <w:style w:type="paragraph" w:customStyle="1" w:styleId="49">
    <w:name w:val="p16"/>
    <w:basedOn w:val="1"/>
    <w:autoRedefine/>
    <w:qFormat/>
    <w:uiPriority w:val="0"/>
    <w:pPr>
      <w:widowControl/>
      <w:spacing w:line="500" w:lineRule="atLeast"/>
      <w:jc w:val="left"/>
    </w:pPr>
    <w:rPr>
      <w:b/>
      <w:bCs/>
      <w:color w:val="000000"/>
      <w:kern w:val="0"/>
      <w:sz w:val="24"/>
    </w:rPr>
  </w:style>
  <w:style w:type="paragraph" w:customStyle="1" w:styleId="50">
    <w:name w:val="正文加粗"/>
    <w:basedOn w:val="42"/>
    <w:autoRedefine/>
    <w:qFormat/>
    <w:uiPriority w:val="0"/>
    <w:pPr>
      <w:ind w:firstLine="482"/>
    </w:pPr>
    <w:rPr>
      <w:b/>
    </w:rPr>
  </w:style>
  <w:style w:type="paragraph" w:customStyle="1" w:styleId="51">
    <w:name w:val="Table Text"/>
    <w:basedOn w:val="1"/>
    <w:autoRedefine/>
    <w:semiHidden/>
    <w:qFormat/>
    <w:uiPriority w:val="0"/>
    <w:rPr>
      <w:rFonts w:ascii="宋体" w:hAnsi="宋体" w:eastAsia="宋体" w:cs="宋体"/>
      <w:sz w:val="24"/>
      <w:szCs w:val="24"/>
      <w:lang w:val="en-US" w:eastAsia="en-US" w:bidi="ar-SA"/>
    </w:rPr>
  </w:style>
  <w:style w:type="table" w:customStyle="1" w:styleId="52">
    <w:name w:val="Table Normal"/>
    <w:autoRedefine/>
    <w:unhideWhenUsed/>
    <w:qFormat/>
    <w:uiPriority w:val="0"/>
    <w:tblPr>
      <w:tblCellMar>
        <w:top w:w="0" w:type="dxa"/>
        <w:left w:w="0" w:type="dxa"/>
        <w:bottom w:w="0" w:type="dxa"/>
        <w:right w:w="0" w:type="dxa"/>
      </w:tblCellMar>
    </w:tblPr>
  </w:style>
  <w:style w:type="paragraph" w:customStyle="1" w:styleId="53">
    <w:name w:val="Default"/>
    <w:autoRedefine/>
    <w:qFormat/>
    <w:uiPriority w:val="0"/>
    <w:pPr>
      <w:widowControl w:val="0"/>
      <w:autoSpaceDE w:val="0"/>
      <w:autoSpaceDN w:val="0"/>
      <w:adjustRightInd w:val="0"/>
    </w:pPr>
    <w:rPr>
      <w:rFonts w:ascii="宋体" w:hAnsi="Calibri" w:eastAsia="宋体" w:cs="Times New Roman"/>
      <w:kern w:val="2"/>
      <w:sz w:val="24"/>
      <w:szCs w:val="22"/>
      <w:lang w:val="en-US" w:eastAsia="zh-CN" w:bidi="ar-SA"/>
    </w:rPr>
  </w:style>
  <w:style w:type="character" w:customStyle="1" w:styleId="54">
    <w:name w:val="fontstyle01"/>
    <w:basedOn w:val="21"/>
    <w:autoRedefine/>
    <w:qFormat/>
    <w:uiPriority w:val="0"/>
    <w:rPr>
      <w:rFonts w:hint="eastAsia" w:ascii="宋体" w:hAnsi="宋体" w:eastAsia="宋体"/>
      <w:color w:val="000000"/>
      <w:sz w:val="24"/>
      <w:szCs w:val="24"/>
    </w:rPr>
  </w:style>
  <w:style w:type="character" w:customStyle="1" w:styleId="55">
    <w:name w:val="fontstyle21"/>
    <w:basedOn w:val="21"/>
    <w:autoRedefine/>
    <w:qFormat/>
    <w:uiPriority w:val="0"/>
    <w:rPr>
      <w:rFonts w:hint="default" w:ascii="TimesNewRomanPSMT" w:hAnsi="TimesNewRomanPSMT"/>
      <w:color w:val="000000"/>
      <w:sz w:val="24"/>
      <w:szCs w:val="24"/>
    </w:rPr>
  </w:style>
  <w:style w:type="paragraph" w:customStyle="1" w:styleId="56">
    <w:name w:val="正文 + 仿宋_GB2312"/>
    <w:basedOn w:val="1"/>
    <w:autoRedefine/>
    <w:qFormat/>
    <w:uiPriority w:val="0"/>
    <w:pPr>
      <w:ind w:firstLine="480" w:firstLineChars="200"/>
    </w:pPr>
    <w:rPr>
      <w:rFonts w:ascii="仿宋_GB2312" w:eastAsia="仿宋_GB2312"/>
      <w:szCs w:val="24"/>
    </w:rPr>
  </w:style>
  <w:style w:type="paragraph" w:customStyle="1" w:styleId="57">
    <w:name w:val="图表 标题"/>
    <w:autoRedefine/>
    <w:qFormat/>
    <w:uiPriority w:val="0"/>
    <w:pPr>
      <w:widowControl w:val="0"/>
      <w:spacing w:beforeLines="20" w:afterLines="20"/>
      <w:jc w:val="center"/>
    </w:pPr>
    <w:rPr>
      <w:rFonts w:ascii="Times New Roman" w:hAnsi="Times New Roman" w:eastAsia="仿宋_GB2312" w:cs="Times New Roman"/>
      <w:b/>
      <w:kern w:val="2"/>
      <w:sz w:val="24"/>
      <w:szCs w:val="24"/>
      <w:lang w:val="en-US" w:eastAsia="zh-CN" w:bidi="ar-SA"/>
    </w:rPr>
  </w:style>
  <w:style w:type="paragraph" w:customStyle="1" w:styleId="58">
    <w:name w:val="Table Paragraph"/>
    <w:basedOn w:val="1"/>
    <w:autoRedefine/>
    <w:unhideWhenUsed/>
    <w:qFormat/>
    <w:uiPriority w:val="1"/>
    <w:pPr>
      <w:spacing w:beforeLines="0" w:afterLines="0"/>
    </w:pPr>
    <w:rPr>
      <w:rFonts w:hint="default"/>
      <w:sz w:val="24"/>
    </w:rPr>
  </w:style>
  <w:style w:type="paragraph" w:customStyle="1" w:styleId="59">
    <w:name w:val="预案正文"/>
    <w:basedOn w:val="1"/>
    <w:autoRedefine/>
    <w:unhideWhenUsed/>
    <w:qFormat/>
    <w:uiPriority w:val="99"/>
    <w:pPr>
      <w:spacing w:beforeLines="0" w:afterLines="0" w:line="360" w:lineRule="auto"/>
      <w:ind w:firstLine="200" w:firstLineChars="200"/>
    </w:pPr>
    <w:rPr>
      <w:rFonts w:ascii="宋体"/>
      <w:kern w:val="0"/>
      <w:sz w:val="24"/>
    </w:rPr>
  </w:style>
  <w:style w:type="paragraph" w:customStyle="1" w:styleId="60">
    <w:name w:val="WPSOffice手动目录 1"/>
    <w:autoRedefine/>
    <w:qFormat/>
    <w:uiPriority w:val="0"/>
    <w:pPr>
      <w:ind w:leftChars="0"/>
    </w:pPr>
    <w:rPr>
      <w:rFonts w:ascii="Times New Roman" w:hAnsi="Times New Roman" w:eastAsia="宋体" w:cs="Times New Roman"/>
      <w:sz w:val="20"/>
      <w:szCs w:val="20"/>
    </w:rPr>
  </w:style>
  <w:style w:type="paragraph" w:customStyle="1" w:styleId="61">
    <w:name w:val="第一、五章 表格正文"/>
    <w:basedOn w:val="6"/>
    <w:autoRedefine/>
    <w:qFormat/>
    <w:uiPriority w:val="0"/>
    <w:pPr>
      <w:jc w:val="center"/>
    </w:pPr>
    <w:rPr>
      <w:rFonts w:eastAsia="仿宋_GB231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7" Type="http://schemas.openxmlformats.org/officeDocument/2006/relationships/fontTable" Target="fontTable.xml"/><Relationship Id="rId66" Type="http://schemas.openxmlformats.org/officeDocument/2006/relationships/numbering" Target="numbering.xml"/><Relationship Id="rId65" Type="http://schemas.openxmlformats.org/officeDocument/2006/relationships/customXml" Target="../customXml/item1.xml"/><Relationship Id="rId64" Type="http://schemas.openxmlformats.org/officeDocument/2006/relationships/image" Target="media/image37.png"/><Relationship Id="rId63" Type="http://schemas.openxmlformats.org/officeDocument/2006/relationships/image" Target="media/image36.png"/><Relationship Id="rId62" Type="http://schemas.openxmlformats.org/officeDocument/2006/relationships/image" Target="media/image35.png"/><Relationship Id="rId61" Type="http://schemas.openxmlformats.org/officeDocument/2006/relationships/image" Target="media/image34.png"/><Relationship Id="rId60" Type="http://schemas.openxmlformats.org/officeDocument/2006/relationships/image" Target="media/image33.png"/><Relationship Id="rId6" Type="http://schemas.openxmlformats.org/officeDocument/2006/relationships/footer" Target="footer4.xml"/><Relationship Id="rId59" Type="http://schemas.openxmlformats.org/officeDocument/2006/relationships/image" Target="media/image32.png"/><Relationship Id="rId58" Type="http://schemas.openxmlformats.org/officeDocument/2006/relationships/image" Target="media/image31.png"/><Relationship Id="rId57" Type="http://schemas.openxmlformats.org/officeDocument/2006/relationships/image" Target="media/image30.png"/><Relationship Id="rId56" Type="http://schemas.openxmlformats.org/officeDocument/2006/relationships/image" Target="media/image29.png"/><Relationship Id="rId55" Type="http://schemas.openxmlformats.org/officeDocument/2006/relationships/image" Target="media/image28.wmf"/><Relationship Id="rId54" Type="http://schemas.openxmlformats.org/officeDocument/2006/relationships/oleObject" Target="embeddings/oleObject18.bin"/><Relationship Id="rId53" Type="http://schemas.openxmlformats.org/officeDocument/2006/relationships/image" Target="media/image27.wmf"/><Relationship Id="rId52" Type="http://schemas.openxmlformats.org/officeDocument/2006/relationships/oleObject" Target="embeddings/oleObject17.bin"/><Relationship Id="rId51" Type="http://schemas.openxmlformats.org/officeDocument/2006/relationships/image" Target="media/image26.wmf"/><Relationship Id="rId50" Type="http://schemas.openxmlformats.org/officeDocument/2006/relationships/oleObject" Target="embeddings/oleObject16.bin"/><Relationship Id="rId5" Type="http://schemas.openxmlformats.org/officeDocument/2006/relationships/footer" Target="footer3.xml"/><Relationship Id="rId49" Type="http://schemas.openxmlformats.org/officeDocument/2006/relationships/image" Target="media/image25.wmf"/><Relationship Id="rId48" Type="http://schemas.openxmlformats.org/officeDocument/2006/relationships/oleObject" Target="embeddings/oleObject15.bin"/><Relationship Id="rId47" Type="http://schemas.openxmlformats.org/officeDocument/2006/relationships/image" Target="media/image24.wmf"/><Relationship Id="rId46" Type="http://schemas.openxmlformats.org/officeDocument/2006/relationships/oleObject" Target="embeddings/oleObject14.bin"/><Relationship Id="rId45" Type="http://schemas.openxmlformats.org/officeDocument/2006/relationships/image" Target="media/image23.wmf"/><Relationship Id="rId44" Type="http://schemas.openxmlformats.org/officeDocument/2006/relationships/oleObject" Target="embeddings/oleObject13.bin"/><Relationship Id="rId43" Type="http://schemas.openxmlformats.org/officeDocument/2006/relationships/image" Target="media/image22.wmf"/><Relationship Id="rId42" Type="http://schemas.openxmlformats.org/officeDocument/2006/relationships/oleObject" Target="embeddings/oleObject12.bin"/><Relationship Id="rId41" Type="http://schemas.openxmlformats.org/officeDocument/2006/relationships/image" Target="media/image21.wmf"/><Relationship Id="rId40" Type="http://schemas.openxmlformats.org/officeDocument/2006/relationships/oleObject" Target="embeddings/oleObject11.bin"/><Relationship Id="rId4" Type="http://schemas.openxmlformats.org/officeDocument/2006/relationships/footer" Target="footer2.xml"/><Relationship Id="rId39" Type="http://schemas.openxmlformats.org/officeDocument/2006/relationships/image" Target="media/image20.wmf"/><Relationship Id="rId38" Type="http://schemas.openxmlformats.org/officeDocument/2006/relationships/oleObject" Target="embeddings/oleObject10.bin"/><Relationship Id="rId37" Type="http://schemas.openxmlformats.org/officeDocument/2006/relationships/image" Target="media/image19.wmf"/><Relationship Id="rId36" Type="http://schemas.openxmlformats.org/officeDocument/2006/relationships/oleObject" Target="embeddings/oleObject9.bin"/><Relationship Id="rId35" Type="http://schemas.openxmlformats.org/officeDocument/2006/relationships/image" Target="media/image18.wmf"/><Relationship Id="rId34" Type="http://schemas.openxmlformats.org/officeDocument/2006/relationships/oleObject" Target="embeddings/oleObject8.bin"/><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wmf"/><Relationship Id="rId3" Type="http://schemas.openxmlformats.org/officeDocument/2006/relationships/footer" Target="footer1.xml"/><Relationship Id="rId29" Type="http://schemas.openxmlformats.org/officeDocument/2006/relationships/oleObject" Target="embeddings/oleObject7.bin"/><Relationship Id="rId28" Type="http://schemas.openxmlformats.org/officeDocument/2006/relationships/image" Target="media/image13.png"/><Relationship Id="rId27" Type="http://schemas.openxmlformats.org/officeDocument/2006/relationships/image" Target="media/image12.png"/><Relationship Id="rId26" Type="http://schemas.openxmlformats.org/officeDocument/2006/relationships/image" Target="media/image11.jpeg"/><Relationship Id="rId25" Type="http://schemas.openxmlformats.org/officeDocument/2006/relationships/image" Target="media/image10.png"/><Relationship Id="rId24" Type="http://schemas.openxmlformats.org/officeDocument/2006/relationships/image" Target="media/image9.png"/><Relationship Id="rId23" Type="http://schemas.openxmlformats.org/officeDocument/2006/relationships/image" Target="media/image8.wmf"/><Relationship Id="rId22" Type="http://schemas.openxmlformats.org/officeDocument/2006/relationships/oleObject" Target="embeddings/oleObject6.bin"/><Relationship Id="rId21" Type="http://schemas.openxmlformats.org/officeDocument/2006/relationships/image" Target="media/image7.wmf"/><Relationship Id="rId20" Type="http://schemas.openxmlformats.org/officeDocument/2006/relationships/oleObject" Target="embeddings/oleObject5.bin"/><Relationship Id="rId2" Type="http://schemas.openxmlformats.org/officeDocument/2006/relationships/settings" Target="settings.xml"/><Relationship Id="rId19" Type="http://schemas.openxmlformats.org/officeDocument/2006/relationships/image" Target="media/image6.wmf"/><Relationship Id="rId18" Type="http://schemas.openxmlformats.org/officeDocument/2006/relationships/oleObject" Target="embeddings/oleObject4.bin"/><Relationship Id="rId17" Type="http://schemas.openxmlformats.org/officeDocument/2006/relationships/image" Target="media/image5.wmf"/><Relationship Id="rId16" Type="http://schemas.openxmlformats.org/officeDocument/2006/relationships/oleObject" Target="embeddings/oleObject3.bin"/><Relationship Id="rId15" Type="http://schemas.openxmlformats.org/officeDocument/2006/relationships/image" Target="media/image4.wmf"/><Relationship Id="rId14" Type="http://schemas.openxmlformats.org/officeDocument/2006/relationships/oleObject" Target="embeddings/oleObject2.bin"/><Relationship Id="rId13" Type="http://schemas.openxmlformats.org/officeDocument/2006/relationships/image" Target="media/image3.wmf"/><Relationship Id="rId12" Type="http://schemas.openxmlformats.org/officeDocument/2006/relationships/oleObject" Target="embeddings/oleObject1.bin"/><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Template>
  <Company>微软中国</Company>
  <Pages>74</Pages>
  <Words>12822</Words>
  <Characters>13883</Characters>
  <Lines>13</Lines>
  <Paragraphs>3</Paragraphs>
  <TotalTime>23</TotalTime>
  <ScaleCrop>false</ScaleCrop>
  <LinksUpToDate>false</LinksUpToDate>
  <CharactersWithSpaces>13999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2020-12-24T01:29:00Z</dcterms:created>
  <dc:creator>lhj</dc:creator>
  <cp:lastModifiedBy>企业用户_493559583</cp:lastModifiedBy>
  <cp:lastPrinted>2020-12-29T02:43:00Z</cp:lastPrinted>
  <dcterms:modified xsi:type="dcterms:W3CDTF">2026-04-28T10:21:01Z</dcterms:modified>
  <dc:title>附件2</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5E7734D70F6F432083BA7425B6D53457_13</vt:lpwstr>
  </property>
  <property fmtid="{D5CDD505-2E9C-101B-9397-08002B2CF9AE}" pid="4" name="KSOTemplateDocerSaveRecord">
    <vt:lpwstr>eyJoZGlkIjoiYmRkMTJjZjczYzUwNWNmNWVlZmUzYjk2ZWI4MjU2MzgiLCJ1c2VySWQiOiIxNjc5NDUwMzgyIn0=</vt:lpwstr>
  </property>
</Properties>
</file>