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AC4574">
      <w:pPr>
        <w:rPr>
          <w:rFonts w:ascii="仿宋_GB2312" w:hAnsi="仿宋_GB2312" w:eastAsia="仿宋_GB2312" w:cs="仿宋_GB2312"/>
          <w:color w:val="auto"/>
          <w:sz w:val="36"/>
          <w:szCs w:val="36"/>
        </w:rPr>
      </w:pPr>
    </w:p>
    <w:p w14:paraId="4C7320D7">
      <w:pPr>
        <w:rPr>
          <w:rFonts w:ascii="仿宋_GB2312" w:hAnsi="仿宋_GB2312" w:eastAsia="仿宋_GB2312" w:cs="仿宋_GB2312"/>
          <w:color w:val="auto"/>
          <w:sz w:val="36"/>
          <w:szCs w:val="36"/>
        </w:rPr>
      </w:pPr>
    </w:p>
    <w:p w14:paraId="2A5F41B8">
      <w:pPr>
        <w:rPr>
          <w:rFonts w:ascii="仿宋_GB2312" w:hAnsi="仿宋_GB2312" w:eastAsia="仿宋_GB2312" w:cs="仿宋_GB2312"/>
          <w:color w:val="auto"/>
          <w:sz w:val="36"/>
          <w:szCs w:val="36"/>
        </w:rPr>
      </w:pPr>
    </w:p>
    <w:p w14:paraId="055B901D">
      <w:pPr>
        <w:rPr>
          <w:rFonts w:ascii="仿宋_GB2312" w:hAnsi="仿宋_GB2312" w:eastAsia="仿宋_GB2312" w:cs="仿宋_GB2312"/>
          <w:color w:val="auto"/>
          <w:sz w:val="36"/>
          <w:szCs w:val="36"/>
        </w:rPr>
      </w:pPr>
    </w:p>
    <w:p w14:paraId="5CEF6005">
      <w:pPr>
        <w:rPr>
          <w:rFonts w:hint="eastAsia" w:ascii="仿宋_GB2312" w:hAnsi="仿宋_GB2312" w:eastAsia="仿宋_GB2312" w:cs="仿宋_GB2312"/>
          <w:color w:val="auto"/>
          <w:sz w:val="36"/>
          <w:szCs w:val="36"/>
        </w:rPr>
      </w:pPr>
    </w:p>
    <w:p w14:paraId="2AB1C3BC">
      <w:pPr>
        <w:keepNext w:val="0"/>
        <w:keepLines w:val="0"/>
        <w:widowControl/>
        <w:suppressLineNumbers w:val="0"/>
        <w:jc w:val="left"/>
        <w:rPr>
          <w:rFonts w:hint="eastAsia" w:ascii="方正小标宋_GBK" w:eastAsia="方正小标宋_GBK"/>
          <w:bCs/>
          <w:color w:val="auto"/>
          <w:sz w:val="72"/>
          <w:szCs w:val="72"/>
        </w:rPr>
      </w:pPr>
      <w:r>
        <w:rPr>
          <w:rFonts w:hint="eastAsia"/>
          <w:color w:val="auto"/>
          <w:sz w:val="72"/>
          <w:szCs w:val="72"/>
        </w:rPr>
        <w:t>建设项目环境影响报告表</w:t>
      </w:r>
    </w:p>
    <w:p w14:paraId="080AA098">
      <w:pPr>
        <w:adjustRightInd w:val="0"/>
        <w:snapToGrid w:val="0"/>
        <w:spacing w:before="192" w:beforeLines="80"/>
        <w:jc w:val="center"/>
        <w:rPr>
          <w:rFonts w:hint="eastAsia" w:ascii="楷体_GB2312" w:eastAsia="楷体_GB2312"/>
          <w:bCs/>
          <w:color w:val="auto"/>
          <w:sz w:val="48"/>
          <w:szCs w:val="48"/>
        </w:rPr>
      </w:pPr>
      <w:r>
        <w:rPr>
          <w:rFonts w:hint="eastAsia" w:ascii="楷体_GB2312" w:eastAsia="楷体_GB2312"/>
          <w:bCs/>
          <w:color w:val="auto"/>
          <w:sz w:val="48"/>
          <w:szCs w:val="48"/>
        </w:rPr>
        <w:t>（污染影响类）</w:t>
      </w:r>
    </w:p>
    <w:p w14:paraId="248BAEB0">
      <w:pPr>
        <w:jc w:val="center"/>
        <w:rPr>
          <w:rFonts w:hint="eastAsia" w:ascii="仿宋" w:hAnsi="仿宋" w:eastAsia="仿宋" w:cs="仿宋"/>
          <w:color w:val="auto"/>
          <w:sz w:val="44"/>
          <w:szCs w:val="44"/>
        </w:rPr>
      </w:pPr>
    </w:p>
    <w:p w14:paraId="0F934CBB">
      <w:pPr>
        <w:jc w:val="center"/>
        <w:rPr>
          <w:rFonts w:hint="eastAsia" w:ascii="仿宋" w:hAnsi="仿宋" w:eastAsia="仿宋" w:cs="仿宋"/>
          <w:color w:val="auto"/>
          <w:sz w:val="44"/>
          <w:szCs w:val="44"/>
        </w:rPr>
      </w:pPr>
    </w:p>
    <w:p w14:paraId="7B173393">
      <w:pPr>
        <w:jc w:val="center"/>
        <w:rPr>
          <w:rFonts w:eastAsia="仿宋"/>
          <w:color w:val="auto"/>
          <w:sz w:val="44"/>
          <w:szCs w:val="44"/>
        </w:rPr>
      </w:pPr>
    </w:p>
    <w:p w14:paraId="639C4422">
      <w:pPr>
        <w:jc w:val="center"/>
        <w:rPr>
          <w:rFonts w:eastAsia="仿宋"/>
          <w:color w:val="auto"/>
          <w:sz w:val="44"/>
          <w:szCs w:val="44"/>
        </w:rPr>
      </w:pPr>
    </w:p>
    <w:p w14:paraId="4772308C">
      <w:pPr>
        <w:jc w:val="center"/>
        <w:rPr>
          <w:rFonts w:eastAsia="仿宋"/>
          <w:color w:val="auto"/>
          <w:sz w:val="44"/>
          <w:szCs w:val="44"/>
        </w:rPr>
      </w:pPr>
    </w:p>
    <w:p w14:paraId="344194E3">
      <w:pPr>
        <w:jc w:val="center"/>
        <w:rPr>
          <w:rFonts w:eastAsia="仿宋"/>
          <w:color w:val="auto"/>
          <w:sz w:val="44"/>
          <w:szCs w:val="44"/>
        </w:rPr>
      </w:pPr>
    </w:p>
    <w:p w14:paraId="1ACD540A">
      <w:pPr>
        <w:spacing w:line="288" w:lineRule="auto"/>
        <w:jc w:val="center"/>
        <w:rPr>
          <w:rFonts w:eastAsia="仿宋_GB2312"/>
          <w:color w:val="auto"/>
          <w:sz w:val="36"/>
          <w:szCs w:val="36"/>
          <w:u w:val="single"/>
        </w:rPr>
      </w:pPr>
      <w:r>
        <w:rPr>
          <w:rFonts w:eastAsia="仿宋_GB2312"/>
          <w:color w:val="auto"/>
          <w:sz w:val="36"/>
          <w:szCs w:val="36"/>
        </w:rPr>
        <w:t>项目名称</w:t>
      </w:r>
      <w:r>
        <w:rPr>
          <w:rFonts w:hint="eastAsia" w:eastAsia="仿宋_GB2312"/>
          <w:color w:val="auto"/>
          <w:sz w:val="36"/>
          <w:szCs w:val="36"/>
        </w:rPr>
        <w:t>：</w:t>
      </w:r>
      <w:r>
        <w:rPr>
          <w:rFonts w:hint="eastAsia" w:eastAsia="仿宋_GB2312"/>
          <w:color w:val="auto"/>
          <w:sz w:val="36"/>
          <w:szCs w:val="36"/>
          <w:u w:val="single"/>
        </w:rPr>
        <w:t>池州中器再生资源有限公司餐厨</w:t>
      </w:r>
      <w:r>
        <w:rPr>
          <w:rFonts w:hint="eastAsia" w:eastAsia="仿宋_GB2312"/>
          <w:color w:val="auto"/>
          <w:sz w:val="36"/>
          <w:szCs w:val="36"/>
          <w:u w:val="single"/>
          <w:lang w:eastAsia="zh-CN"/>
        </w:rPr>
        <w:t>垃圾和</w:t>
      </w:r>
      <w:r>
        <w:rPr>
          <w:rFonts w:hint="eastAsia" w:eastAsia="仿宋_GB2312"/>
          <w:color w:val="auto"/>
          <w:sz w:val="36"/>
          <w:szCs w:val="36"/>
          <w:u w:val="single"/>
        </w:rPr>
        <w:t>废弃油脂收集初加工项目</w:t>
      </w:r>
    </w:p>
    <w:p w14:paraId="7A498D76">
      <w:pPr>
        <w:widowControl/>
        <w:spacing w:line="288" w:lineRule="auto"/>
        <w:jc w:val="center"/>
        <w:rPr>
          <w:rFonts w:eastAsia="仿宋_GB2312"/>
          <w:color w:val="auto"/>
          <w:sz w:val="36"/>
          <w:szCs w:val="36"/>
          <w:u w:val="single"/>
        </w:rPr>
      </w:pPr>
      <w:r>
        <w:rPr>
          <w:rFonts w:eastAsia="仿宋_GB2312"/>
          <w:color w:val="auto"/>
          <w:sz w:val="36"/>
          <w:szCs w:val="36"/>
        </w:rPr>
        <w:t>建设单位（盖章）：</w:t>
      </w:r>
      <w:r>
        <w:rPr>
          <w:rFonts w:hint="eastAsia" w:eastAsia="仿宋_GB2312"/>
          <w:color w:val="auto"/>
          <w:sz w:val="36"/>
          <w:szCs w:val="36"/>
          <w:u w:val="single"/>
        </w:rPr>
        <w:t>池州中器再生资源有限公司</w:t>
      </w:r>
    </w:p>
    <w:p w14:paraId="2A350345">
      <w:pPr>
        <w:spacing w:line="288" w:lineRule="auto"/>
        <w:jc w:val="center"/>
        <w:rPr>
          <w:rFonts w:hint="eastAsia" w:ascii="仿宋_GB2312" w:eastAsia="仿宋_GB2312"/>
          <w:color w:val="auto"/>
          <w:sz w:val="36"/>
          <w:szCs w:val="36"/>
          <w:u w:val="single"/>
        </w:rPr>
      </w:pPr>
      <w:r>
        <w:rPr>
          <w:rFonts w:eastAsia="仿宋_GB2312"/>
          <w:color w:val="auto"/>
          <w:sz w:val="36"/>
          <w:szCs w:val="36"/>
        </w:rPr>
        <w:t>编制日期：</w:t>
      </w:r>
      <w:r>
        <w:rPr>
          <w:rFonts w:eastAsia="仿宋_GB2312"/>
          <w:color w:val="auto"/>
          <w:sz w:val="36"/>
          <w:szCs w:val="36"/>
          <w:u w:val="single"/>
        </w:rPr>
        <w:t>202</w:t>
      </w:r>
      <w:r>
        <w:rPr>
          <w:rFonts w:hint="eastAsia" w:eastAsia="仿宋_GB2312"/>
          <w:color w:val="auto"/>
          <w:sz w:val="36"/>
          <w:szCs w:val="36"/>
          <w:u w:val="single"/>
          <w:lang w:val="en-US" w:eastAsia="zh-CN"/>
        </w:rPr>
        <w:t>6</w:t>
      </w:r>
      <w:r>
        <w:rPr>
          <w:rFonts w:eastAsia="仿宋_GB2312"/>
          <w:color w:val="auto"/>
          <w:sz w:val="36"/>
          <w:szCs w:val="36"/>
          <w:u w:val="single"/>
        </w:rPr>
        <w:t>年</w:t>
      </w:r>
      <w:r>
        <w:rPr>
          <w:rFonts w:hint="eastAsia" w:eastAsia="仿宋_GB2312"/>
          <w:color w:val="auto"/>
          <w:sz w:val="36"/>
          <w:szCs w:val="36"/>
          <w:u w:val="single"/>
          <w:lang w:val="en-US" w:eastAsia="zh-CN"/>
        </w:rPr>
        <w:t>1</w:t>
      </w:r>
      <w:r>
        <w:rPr>
          <w:rFonts w:eastAsia="仿宋_GB2312"/>
          <w:color w:val="auto"/>
          <w:sz w:val="36"/>
          <w:szCs w:val="36"/>
          <w:u w:val="single"/>
        </w:rPr>
        <w:t>月</w:t>
      </w:r>
    </w:p>
    <w:p w14:paraId="7509C287">
      <w:pPr>
        <w:adjustRightInd w:val="0"/>
        <w:snapToGrid w:val="0"/>
        <w:spacing w:line="288" w:lineRule="auto"/>
        <w:jc w:val="center"/>
        <w:rPr>
          <w:rFonts w:ascii="仿宋_GB2312" w:eastAsia="仿宋_GB2312"/>
          <w:color w:val="auto"/>
          <w:sz w:val="36"/>
          <w:szCs w:val="36"/>
          <w:u w:val="single"/>
        </w:rPr>
      </w:pPr>
      <w:bookmarkStart w:id="0" w:name="_Hlk57884087"/>
    </w:p>
    <w:p w14:paraId="758E4954">
      <w:pPr>
        <w:adjustRightInd w:val="0"/>
        <w:snapToGrid w:val="0"/>
        <w:spacing w:line="288" w:lineRule="auto"/>
        <w:jc w:val="center"/>
        <w:rPr>
          <w:rFonts w:ascii="仿宋_GB2312" w:eastAsia="仿宋_GB2312"/>
          <w:color w:val="auto"/>
          <w:sz w:val="36"/>
          <w:szCs w:val="36"/>
        </w:rPr>
      </w:pPr>
    </w:p>
    <w:p w14:paraId="4ABB970B">
      <w:pPr>
        <w:adjustRightInd w:val="0"/>
        <w:snapToGrid w:val="0"/>
        <w:spacing w:line="288" w:lineRule="auto"/>
        <w:jc w:val="center"/>
        <w:rPr>
          <w:rFonts w:ascii="仿宋_GB2312" w:eastAsia="仿宋_GB2312"/>
          <w:color w:val="auto"/>
          <w:sz w:val="36"/>
          <w:szCs w:val="36"/>
        </w:rPr>
      </w:pPr>
    </w:p>
    <w:p w14:paraId="7AD51ED7">
      <w:pPr>
        <w:adjustRightInd w:val="0"/>
        <w:snapToGrid w:val="0"/>
        <w:spacing w:line="288" w:lineRule="auto"/>
        <w:jc w:val="center"/>
        <w:rPr>
          <w:rFonts w:ascii="仿宋_GB2312" w:eastAsia="仿宋_GB2312"/>
          <w:color w:val="auto"/>
          <w:sz w:val="36"/>
          <w:szCs w:val="36"/>
        </w:rPr>
      </w:pPr>
    </w:p>
    <w:bookmarkEnd w:id="0"/>
    <w:p w14:paraId="5EC892F9">
      <w:pPr>
        <w:adjustRightInd w:val="0"/>
        <w:snapToGrid w:val="0"/>
        <w:spacing w:line="288" w:lineRule="auto"/>
        <w:jc w:val="center"/>
        <w:rPr>
          <w:rFonts w:hint="eastAsia" w:ascii="楷体_GB2312" w:eastAsia="楷体_GB2312"/>
          <w:color w:val="auto"/>
          <w:sz w:val="36"/>
          <w:szCs w:val="36"/>
        </w:rPr>
      </w:pPr>
      <w:r>
        <w:rPr>
          <w:rFonts w:hint="eastAsia" w:ascii="楷体_GB2312" w:eastAsia="楷体_GB2312"/>
          <w:color w:val="auto"/>
          <w:sz w:val="36"/>
          <w:szCs w:val="36"/>
        </w:rPr>
        <w:t>中华人民共和国生态环境部制</w:t>
      </w:r>
    </w:p>
    <w:p w14:paraId="12C8D481">
      <w:pPr>
        <w:adjustRightInd w:val="0"/>
        <w:snapToGrid w:val="0"/>
        <w:spacing w:line="288" w:lineRule="auto"/>
        <w:ind w:firstLine="1040"/>
        <w:rPr>
          <w:rFonts w:ascii="仿宋_GB2312" w:eastAsia="仿宋_GB2312"/>
          <w:color w:val="auto"/>
          <w:sz w:val="36"/>
          <w:szCs w:val="36"/>
        </w:rPr>
        <w:sectPr>
          <w:footerReference r:id="rId3" w:type="default"/>
          <w:footerReference r:id="rId4" w:type="even"/>
          <w:pgSz w:w="11906" w:h="16838"/>
          <w:pgMar w:top="1701" w:right="1531" w:bottom="1701" w:left="1531" w:header="851" w:footer="1077" w:gutter="0"/>
          <w:pgNumType w:start="3"/>
          <w:cols w:space="720" w:num="1"/>
          <w:docGrid w:linePitch="312" w:charSpace="0"/>
        </w:sectPr>
      </w:pPr>
    </w:p>
    <w:p w14:paraId="3915D84F">
      <w:pPr>
        <w:pStyle w:val="25"/>
        <w:jc w:val="center"/>
        <w:outlineLvl w:val="0"/>
        <w:rPr>
          <w:rFonts w:hint="eastAsia" w:ascii="黑体" w:hAnsi="黑体" w:eastAsia="黑体"/>
          <w:snapToGrid w:val="0"/>
          <w:color w:val="auto"/>
          <w:sz w:val="30"/>
          <w:szCs w:val="30"/>
        </w:rPr>
      </w:pPr>
      <w:r>
        <w:rPr>
          <w:rFonts w:hint="eastAsia" w:ascii="黑体" w:hAnsi="黑体" w:eastAsia="黑体"/>
          <w:snapToGrid w:val="0"/>
          <w:color w:val="auto"/>
          <w:sz w:val="30"/>
          <w:szCs w:val="30"/>
        </w:rPr>
        <w:t>一、建设项目基本情况</w:t>
      </w:r>
    </w:p>
    <w:tbl>
      <w:tblPr>
        <w:tblStyle w:val="28"/>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999"/>
        <w:gridCol w:w="2825"/>
        <w:gridCol w:w="2036"/>
        <w:gridCol w:w="3010"/>
      </w:tblGrid>
      <w:tr w14:paraId="6062BF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169" w:type="dxa"/>
            <w:tcMar>
              <w:top w:w="16" w:type="dxa"/>
              <w:left w:w="16" w:type="dxa"/>
              <w:right w:w="16" w:type="dxa"/>
            </w:tcMar>
            <w:vAlign w:val="center"/>
          </w:tcPr>
          <w:p w14:paraId="76CD3A9C">
            <w:pPr>
              <w:adjustRightInd w:val="0"/>
              <w:snapToGrid w:val="0"/>
              <w:jc w:val="center"/>
              <w:rPr>
                <w:color w:val="auto"/>
                <w:sz w:val="24"/>
              </w:rPr>
            </w:pPr>
            <w:r>
              <w:rPr>
                <w:color w:val="auto"/>
                <w:sz w:val="24"/>
              </w:rPr>
              <w:t>建设项目名称</w:t>
            </w:r>
          </w:p>
        </w:tc>
        <w:tc>
          <w:tcPr>
            <w:tcW w:w="7701" w:type="dxa"/>
            <w:gridSpan w:val="3"/>
            <w:vAlign w:val="center"/>
          </w:tcPr>
          <w:p w14:paraId="2EF76071">
            <w:pPr>
              <w:adjustRightInd w:val="0"/>
              <w:snapToGrid w:val="0"/>
              <w:jc w:val="center"/>
              <w:rPr>
                <w:color w:val="auto"/>
                <w:sz w:val="24"/>
              </w:rPr>
            </w:pPr>
            <w:r>
              <w:rPr>
                <w:rFonts w:hint="eastAsia"/>
                <w:color w:val="auto"/>
                <w:sz w:val="24"/>
              </w:rPr>
              <w:t>池州中器再生资源有限公司</w:t>
            </w:r>
            <w:r>
              <w:rPr>
                <w:rFonts w:hint="eastAsia"/>
                <w:color w:val="auto"/>
                <w:sz w:val="24"/>
                <w:highlight w:val="none"/>
              </w:rPr>
              <w:t>餐厨</w:t>
            </w:r>
            <w:r>
              <w:rPr>
                <w:rFonts w:hint="eastAsia"/>
                <w:color w:val="auto"/>
                <w:sz w:val="24"/>
                <w:highlight w:val="none"/>
                <w:lang w:val="en-US" w:eastAsia="zh-CN"/>
              </w:rPr>
              <w:t>垃圾和</w:t>
            </w:r>
            <w:r>
              <w:rPr>
                <w:rFonts w:hint="eastAsia"/>
                <w:color w:val="auto"/>
                <w:sz w:val="24"/>
                <w:highlight w:val="none"/>
              </w:rPr>
              <w:t>废弃油脂收集</w:t>
            </w:r>
            <w:r>
              <w:rPr>
                <w:rFonts w:hint="eastAsia"/>
                <w:color w:val="auto"/>
                <w:sz w:val="24"/>
                <w:highlight w:val="none"/>
                <w:lang w:eastAsia="zh-CN"/>
              </w:rPr>
              <w:t>、</w:t>
            </w:r>
            <w:r>
              <w:rPr>
                <w:rFonts w:hint="eastAsia"/>
                <w:color w:val="auto"/>
                <w:sz w:val="24"/>
                <w:highlight w:val="none"/>
              </w:rPr>
              <w:t>初加工项目</w:t>
            </w:r>
          </w:p>
        </w:tc>
      </w:tr>
      <w:tr w14:paraId="531B41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169" w:type="dxa"/>
            <w:tcMar>
              <w:top w:w="16" w:type="dxa"/>
              <w:left w:w="16" w:type="dxa"/>
              <w:right w:w="16" w:type="dxa"/>
            </w:tcMar>
            <w:vAlign w:val="center"/>
          </w:tcPr>
          <w:p w14:paraId="67C02B40">
            <w:pPr>
              <w:adjustRightInd w:val="0"/>
              <w:snapToGrid w:val="0"/>
              <w:jc w:val="center"/>
              <w:rPr>
                <w:color w:val="auto"/>
                <w:sz w:val="24"/>
              </w:rPr>
            </w:pPr>
            <w:r>
              <w:rPr>
                <w:color w:val="auto"/>
                <w:sz w:val="24"/>
              </w:rPr>
              <w:t>项目代码</w:t>
            </w:r>
          </w:p>
        </w:tc>
        <w:tc>
          <w:tcPr>
            <w:tcW w:w="7701" w:type="dxa"/>
            <w:gridSpan w:val="3"/>
            <w:vAlign w:val="center"/>
          </w:tcPr>
          <w:p w14:paraId="0E7B4C42">
            <w:pPr>
              <w:adjustRightInd w:val="0"/>
              <w:snapToGrid w:val="0"/>
              <w:jc w:val="center"/>
              <w:rPr>
                <w:rFonts w:hint="default" w:eastAsia="宋体"/>
                <w:color w:val="auto"/>
                <w:sz w:val="24"/>
                <w:lang w:val="en-US" w:eastAsia="zh-CN"/>
              </w:rPr>
            </w:pPr>
            <w:r>
              <w:rPr>
                <w:rFonts w:hint="eastAsia"/>
                <w:color w:val="auto"/>
                <w:sz w:val="24"/>
                <w:lang w:val="en-US" w:eastAsia="zh-CN"/>
              </w:rPr>
              <w:t>2505-341721-04-01-658065</w:t>
            </w:r>
          </w:p>
        </w:tc>
      </w:tr>
      <w:tr w14:paraId="4064C1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169" w:type="dxa"/>
            <w:tcMar>
              <w:top w:w="16" w:type="dxa"/>
              <w:left w:w="16" w:type="dxa"/>
              <w:right w:w="16" w:type="dxa"/>
            </w:tcMar>
            <w:vAlign w:val="center"/>
          </w:tcPr>
          <w:p w14:paraId="756D2A50">
            <w:pPr>
              <w:adjustRightInd w:val="0"/>
              <w:snapToGrid w:val="0"/>
              <w:jc w:val="center"/>
              <w:rPr>
                <w:color w:val="auto"/>
                <w:sz w:val="24"/>
              </w:rPr>
            </w:pPr>
            <w:r>
              <w:rPr>
                <w:color w:val="auto"/>
                <w:sz w:val="24"/>
              </w:rPr>
              <w:t>建设单位联系人</w:t>
            </w:r>
          </w:p>
        </w:tc>
        <w:tc>
          <w:tcPr>
            <w:tcW w:w="2918" w:type="dxa"/>
            <w:vAlign w:val="center"/>
          </w:tcPr>
          <w:p w14:paraId="0E23403E">
            <w:pPr>
              <w:adjustRightInd w:val="0"/>
              <w:snapToGrid w:val="0"/>
              <w:jc w:val="center"/>
              <w:rPr>
                <w:rFonts w:hint="eastAsia" w:eastAsia="宋体"/>
                <w:color w:val="auto"/>
                <w:sz w:val="24"/>
                <w:lang w:eastAsia="zh-CN"/>
              </w:rPr>
            </w:pPr>
            <w:r>
              <w:rPr>
                <w:rFonts w:hint="eastAsia"/>
                <w:color w:val="auto"/>
                <w:sz w:val="24"/>
              </w:rPr>
              <w:t>崔阳阳</w:t>
            </w:r>
          </w:p>
        </w:tc>
        <w:tc>
          <w:tcPr>
            <w:tcW w:w="2004" w:type="dxa"/>
            <w:vAlign w:val="center"/>
          </w:tcPr>
          <w:p w14:paraId="13D8158C">
            <w:pPr>
              <w:adjustRightInd w:val="0"/>
              <w:snapToGrid w:val="0"/>
              <w:jc w:val="center"/>
              <w:rPr>
                <w:color w:val="auto"/>
                <w:sz w:val="24"/>
              </w:rPr>
            </w:pPr>
            <w:r>
              <w:rPr>
                <w:color w:val="auto"/>
                <w:sz w:val="24"/>
              </w:rPr>
              <w:t>联系方式</w:t>
            </w:r>
          </w:p>
        </w:tc>
        <w:tc>
          <w:tcPr>
            <w:tcW w:w="2779" w:type="dxa"/>
            <w:vAlign w:val="center"/>
          </w:tcPr>
          <w:p w14:paraId="5338590D">
            <w:pPr>
              <w:adjustRightInd w:val="0"/>
              <w:snapToGrid w:val="0"/>
              <w:jc w:val="center"/>
              <w:rPr>
                <w:rFonts w:hint="default" w:eastAsia="宋体"/>
                <w:color w:val="auto"/>
                <w:sz w:val="24"/>
                <w:lang w:val="en-US" w:eastAsia="zh-CN"/>
              </w:rPr>
            </w:pPr>
            <w:r>
              <w:rPr>
                <w:rFonts w:hint="eastAsia" w:eastAsia="仿宋_GB2312"/>
                <w:color w:val="auto"/>
                <w:sz w:val="24"/>
                <w:highlight w:val="none"/>
              </w:rPr>
              <w:t>13917453852</w:t>
            </w:r>
          </w:p>
        </w:tc>
      </w:tr>
      <w:tr w14:paraId="6BEDE2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169" w:type="dxa"/>
            <w:tcMar>
              <w:top w:w="16" w:type="dxa"/>
              <w:left w:w="16" w:type="dxa"/>
              <w:right w:w="16" w:type="dxa"/>
            </w:tcMar>
            <w:vAlign w:val="center"/>
          </w:tcPr>
          <w:p w14:paraId="5B19306D">
            <w:pPr>
              <w:adjustRightInd w:val="0"/>
              <w:snapToGrid w:val="0"/>
              <w:jc w:val="center"/>
              <w:rPr>
                <w:color w:val="auto"/>
                <w:sz w:val="24"/>
              </w:rPr>
            </w:pPr>
            <w:r>
              <w:rPr>
                <w:color w:val="auto"/>
                <w:sz w:val="24"/>
              </w:rPr>
              <w:t>建设地点</w:t>
            </w:r>
          </w:p>
        </w:tc>
        <w:tc>
          <w:tcPr>
            <w:tcW w:w="7701" w:type="dxa"/>
            <w:gridSpan w:val="3"/>
            <w:vAlign w:val="center"/>
          </w:tcPr>
          <w:p w14:paraId="49010B06">
            <w:pPr>
              <w:adjustRightInd w:val="0"/>
              <w:snapToGrid w:val="0"/>
              <w:jc w:val="center"/>
              <w:rPr>
                <w:rFonts w:hint="eastAsia" w:eastAsia="宋体"/>
                <w:color w:val="auto"/>
                <w:sz w:val="24"/>
                <w:lang w:val="en-US" w:eastAsia="zh-CN"/>
              </w:rPr>
            </w:pPr>
            <w:r>
              <w:rPr>
                <w:rFonts w:hint="eastAsia"/>
                <w:color w:val="auto"/>
                <w:sz w:val="24"/>
                <w:lang w:val="en-US" w:eastAsia="zh-CN"/>
              </w:rPr>
              <w:t>安徽东至经济开发区</w:t>
            </w:r>
            <w:r>
              <w:rPr>
                <w:rFonts w:hint="eastAsia"/>
                <w:color w:val="auto"/>
                <w:sz w:val="24"/>
                <w:lang w:eastAsia="zh-CN"/>
              </w:rPr>
              <w:t>（池州市</w:t>
            </w:r>
            <w:r>
              <w:rPr>
                <w:rFonts w:hint="eastAsia"/>
                <w:color w:val="auto"/>
                <w:sz w:val="24"/>
                <w:lang w:val="en-US" w:eastAsia="zh-CN"/>
              </w:rPr>
              <w:t>东至县香隅镇黄山村境内</w:t>
            </w:r>
            <w:r>
              <w:rPr>
                <w:rFonts w:hint="eastAsia"/>
                <w:color w:val="auto"/>
                <w:sz w:val="24"/>
                <w:lang w:eastAsia="zh-CN"/>
              </w:rPr>
              <w:t>）</w:t>
            </w:r>
          </w:p>
        </w:tc>
      </w:tr>
      <w:tr w14:paraId="541DC71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169" w:type="dxa"/>
            <w:tcMar>
              <w:top w:w="16" w:type="dxa"/>
              <w:left w:w="16" w:type="dxa"/>
              <w:right w:w="16" w:type="dxa"/>
            </w:tcMar>
            <w:vAlign w:val="center"/>
          </w:tcPr>
          <w:p w14:paraId="6786A0EC">
            <w:pPr>
              <w:adjustRightInd w:val="0"/>
              <w:snapToGrid w:val="0"/>
              <w:jc w:val="center"/>
              <w:rPr>
                <w:color w:val="auto"/>
                <w:sz w:val="24"/>
              </w:rPr>
            </w:pPr>
            <w:r>
              <w:rPr>
                <w:color w:val="auto"/>
                <w:sz w:val="24"/>
              </w:rPr>
              <w:t>地理坐标</w:t>
            </w:r>
          </w:p>
        </w:tc>
        <w:tc>
          <w:tcPr>
            <w:tcW w:w="7701" w:type="dxa"/>
            <w:gridSpan w:val="3"/>
            <w:vAlign w:val="center"/>
          </w:tcPr>
          <w:p w14:paraId="1A927E9B">
            <w:pPr>
              <w:jc w:val="center"/>
              <w:rPr>
                <w:color w:val="auto"/>
                <w:sz w:val="24"/>
              </w:rPr>
            </w:pPr>
            <w:r>
              <w:rPr>
                <w:color w:val="auto"/>
                <w:sz w:val="24"/>
              </w:rPr>
              <w:t>（</w:t>
            </w:r>
            <w:r>
              <w:rPr>
                <w:color w:val="auto"/>
                <w:sz w:val="24"/>
                <w:u w:val="single"/>
              </w:rPr>
              <w:t>11</w:t>
            </w:r>
            <w:r>
              <w:rPr>
                <w:rFonts w:hint="eastAsia"/>
                <w:color w:val="auto"/>
                <w:sz w:val="24"/>
                <w:u w:val="single"/>
                <w:lang w:val="en-US" w:eastAsia="zh-CN"/>
              </w:rPr>
              <w:t>6</w:t>
            </w:r>
            <w:r>
              <w:rPr>
                <w:color w:val="auto"/>
                <w:sz w:val="24"/>
              </w:rPr>
              <w:t>度</w:t>
            </w:r>
            <w:r>
              <w:rPr>
                <w:rFonts w:hint="eastAsia"/>
                <w:color w:val="auto"/>
                <w:sz w:val="24"/>
                <w:u w:val="single"/>
                <w:lang w:val="en-US" w:eastAsia="zh-CN"/>
              </w:rPr>
              <w:t>49</w:t>
            </w:r>
            <w:r>
              <w:rPr>
                <w:color w:val="auto"/>
                <w:sz w:val="24"/>
              </w:rPr>
              <w:t>分</w:t>
            </w:r>
            <w:r>
              <w:rPr>
                <w:rFonts w:hint="eastAsia"/>
                <w:color w:val="auto"/>
                <w:sz w:val="24"/>
                <w:u w:val="single"/>
                <w:lang w:val="en-US" w:eastAsia="zh-CN"/>
              </w:rPr>
              <w:t>2.53</w:t>
            </w:r>
            <w:r>
              <w:rPr>
                <w:color w:val="auto"/>
                <w:sz w:val="24"/>
              </w:rPr>
              <w:t>秒，</w:t>
            </w:r>
            <w:r>
              <w:rPr>
                <w:rFonts w:hint="eastAsia"/>
                <w:color w:val="auto"/>
                <w:sz w:val="24"/>
                <w:u w:val="single"/>
                <w:lang w:val="en-US" w:eastAsia="zh-CN"/>
              </w:rPr>
              <w:t>30</w:t>
            </w:r>
            <w:r>
              <w:rPr>
                <w:color w:val="auto"/>
                <w:sz w:val="24"/>
              </w:rPr>
              <w:t>度</w:t>
            </w:r>
            <w:r>
              <w:rPr>
                <w:rFonts w:hint="eastAsia"/>
                <w:color w:val="auto"/>
                <w:sz w:val="24"/>
                <w:u w:val="single"/>
                <w:lang w:val="en-US" w:eastAsia="zh-CN"/>
              </w:rPr>
              <w:t>5</w:t>
            </w:r>
            <w:r>
              <w:rPr>
                <w:color w:val="auto"/>
                <w:sz w:val="24"/>
              </w:rPr>
              <w:t>分</w:t>
            </w:r>
            <w:r>
              <w:rPr>
                <w:rFonts w:hint="eastAsia"/>
                <w:color w:val="auto"/>
                <w:sz w:val="24"/>
                <w:u w:val="single"/>
                <w:lang w:val="en-US" w:eastAsia="zh-CN"/>
              </w:rPr>
              <w:t>14.770</w:t>
            </w:r>
            <w:r>
              <w:rPr>
                <w:color w:val="auto"/>
                <w:sz w:val="24"/>
              </w:rPr>
              <w:t>秒）</w:t>
            </w:r>
          </w:p>
        </w:tc>
      </w:tr>
      <w:tr w14:paraId="6361BD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1169" w:type="dxa"/>
            <w:tcMar>
              <w:top w:w="16" w:type="dxa"/>
              <w:left w:w="16" w:type="dxa"/>
              <w:right w:w="16" w:type="dxa"/>
            </w:tcMar>
            <w:vAlign w:val="center"/>
          </w:tcPr>
          <w:p w14:paraId="61C2AECD">
            <w:pPr>
              <w:adjustRightInd w:val="0"/>
              <w:snapToGrid w:val="0"/>
              <w:jc w:val="center"/>
              <w:rPr>
                <w:color w:val="auto"/>
                <w:sz w:val="24"/>
              </w:rPr>
            </w:pPr>
            <w:r>
              <w:rPr>
                <w:color w:val="auto"/>
                <w:sz w:val="24"/>
              </w:rPr>
              <w:t>国民经济</w:t>
            </w:r>
          </w:p>
          <w:p w14:paraId="5DD06F9F">
            <w:pPr>
              <w:adjustRightInd w:val="0"/>
              <w:snapToGrid w:val="0"/>
              <w:jc w:val="center"/>
              <w:rPr>
                <w:color w:val="auto"/>
                <w:sz w:val="24"/>
              </w:rPr>
            </w:pPr>
            <w:r>
              <w:rPr>
                <w:color w:val="auto"/>
                <w:sz w:val="24"/>
              </w:rPr>
              <w:t>行业类别</w:t>
            </w:r>
          </w:p>
        </w:tc>
        <w:tc>
          <w:tcPr>
            <w:tcW w:w="2918" w:type="dxa"/>
            <w:vAlign w:val="center"/>
          </w:tcPr>
          <w:p w14:paraId="02DDBB6C">
            <w:pPr>
              <w:adjustRightInd w:val="0"/>
              <w:snapToGrid w:val="0"/>
              <w:jc w:val="center"/>
              <w:rPr>
                <w:rFonts w:hint="eastAsia" w:eastAsia="宋体"/>
                <w:color w:val="auto"/>
                <w:sz w:val="24"/>
                <w:lang w:val="en-US" w:eastAsia="zh-CN"/>
              </w:rPr>
            </w:pPr>
            <w:r>
              <w:rPr>
                <w:rFonts w:hint="eastAsia"/>
                <w:color w:val="auto"/>
                <w:sz w:val="24"/>
                <w:lang w:val="en-US" w:eastAsia="zh-CN"/>
              </w:rPr>
              <w:t>N7820 环境卫生管理</w:t>
            </w:r>
          </w:p>
        </w:tc>
        <w:tc>
          <w:tcPr>
            <w:tcW w:w="2004" w:type="dxa"/>
            <w:vAlign w:val="center"/>
          </w:tcPr>
          <w:p w14:paraId="4EB0490A">
            <w:pPr>
              <w:adjustRightInd w:val="0"/>
              <w:snapToGrid w:val="0"/>
              <w:jc w:val="center"/>
              <w:rPr>
                <w:color w:val="auto"/>
                <w:sz w:val="24"/>
              </w:rPr>
            </w:pPr>
            <w:bookmarkStart w:id="1" w:name="_Hlk49843745"/>
            <w:r>
              <w:rPr>
                <w:color w:val="auto"/>
                <w:sz w:val="24"/>
              </w:rPr>
              <w:t>建设项目</w:t>
            </w:r>
          </w:p>
          <w:p w14:paraId="4F8CD4E8">
            <w:pPr>
              <w:adjustRightInd w:val="0"/>
              <w:snapToGrid w:val="0"/>
              <w:jc w:val="center"/>
              <w:rPr>
                <w:color w:val="auto"/>
                <w:sz w:val="24"/>
              </w:rPr>
            </w:pPr>
            <w:r>
              <w:rPr>
                <w:color w:val="auto"/>
                <w:sz w:val="24"/>
              </w:rPr>
              <w:t>行业类别</w:t>
            </w:r>
            <w:bookmarkEnd w:id="1"/>
          </w:p>
        </w:tc>
        <w:tc>
          <w:tcPr>
            <w:tcW w:w="2779" w:type="dxa"/>
            <w:vAlign w:val="center"/>
          </w:tcPr>
          <w:p w14:paraId="4C6A7332">
            <w:pPr>
              <w:adjustRightInd w:val="0"/>
              <w:snapToGrid w:val="0"/>
              <w:jc w:val="center"/>
              <w:rPr>
                <w:rFonts w:hint="eastAsia"/>
                <w:color w:val="auto"/>
                <w:sz w:val="24"/>
                <w:lang w:eastAsia="zh-CN"/>
              </w:rPr>
            </w:pPr>
            <w:r>
              <w:rPr>
                <w:rFonts w:hint="eastAsia"/>
                <w:color w:val="auto"/>
                <w:sz w:val="24"/>
                <w:lang w:eastAsia="zh-CN"/>
              </w:rPr>
              <w:t>四十八、公共设施管理业</w:t>
            </w:r>
          </w:p>
          <w:p w14:paraId="152AB16B">
            <w:pPr>
              <w:adjustRightInd w:val="0"/>
              <w:snapToGrid w:val="0"/>
              <w:jc w:val="center"/>
              <w:rPr>
                <w:rFonts w:hint="default" w:eastAsia="宋体"/>
                <w:color w:val="auto"/>
                <w:sz w:val="24"/>
                <w:lang w:val="en-US" w:eastAsia="zh-CN"/>
              </w:rPr>
            </w:pPr>
            <w:r>
              <w:rPr>
                <w:rFonts w:hint="eastAsia"/>
                <w:color w:val="auto"/>
                <w:sz w:val="24"/>
                <w:lang w:val="en-US" w:eastAsia="zh-CN"/>
              </w:rPr>
              <w:t>105-生活垃圾（含餐厨废弃物）集中处置（生物垃圾发电除外），其他处置方式日处置能力50吨以下10及以上</w:t>
            </w:r>
          </w:p>
        </w:tc>
      </w:tr>
      <w:tr w14:paraId="744B5EA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1169" w:type="dxa"/>
            <w:tcMar>
              <w:top w:w="16" w:type="dxa"/>
              <w:left w:w="16" w:type="dxa"/>
              <w:right w:w="16" w:type="dxa"/>
            </w:tcMar>
            <w:vAlign w:val="center"/>
          </w:tcPr>
          <w:p w14:paraId="4A086E58">
            <w:pPr>
              <w:adjustRightInd w:val="0"/>
              <w:snapToGrid w:val="0"/>
              <w:jc w:val="center"/>
              <w:rPr>
                <w:color w:val="auto"/>
                <w:sz w:val="24"/>
              </w:rPr>
            </w:pPr>
            <w:r>
              <w:rPr>
                <w:color w:val="auto"/>
                <w:sz w:val="24"/>
              </w:rPr>
              <w:t>建设性质</w:t>
            </w:r>
          </w:p>
        </w:tc>
        <w:tc>
          <w:tcPr>
            <w:tcW w:w="2918" w:type="dxa"/>
            <w:vAlign w:val="center"/>
          </w:tcPr>
          <w:p w14:paraId="23434179">
            <w:pPr>
              <w:jc w:val="left"/>
              <w:rPr>
                <w:color w:val="auto"/>
                <w:sz w:val="24"/>
              </w:rPr>
            </w:pPr>
            <w:r>
              <w:rPr>
                <w:color w:val="auto"/>
                <w:sz w:val="24"/>
              </w:rPr>
              <w:sym w:font="Wingdings 2" w:char="0052"/>
            </w:r>
            <w:r>
              <w:rPr>
                <w:color w:val="auto"/>
                <w:sz w:val="24"/>
              </w:rPr>
              <w:t>新建（迁建）</w:t>
            </w:r>
          </w:p>
          <w:p w14:paraId="701CD6BC">
            <w:pPr>
              <w:jc w:val="left"/>
              <w:rPr>
                <w:color w:val="auto"/>
                <w:sz w:val="24"/>
              </w:rPr>
            </w:pPr>
            <w:r>
              <w:rPr>
                <w:rFonts w:hint="eastAsia"/>
                <w:color w:val="auto"/>
                <w:sz w:val="24"/>
              </w:rPr>
              <w:t>□</w:t>
            </w:r>
            <w:r>
              <w:rPr>
                <w:color w:val="auto"/>
                <w:sz w:val="24"/>
              </w:rPr>
              <w:t>改建</w:t>
            </w:r>
          </w:p>
          <w:p w14:paraId="47D8AEF8">
            <w:pPr>
              <w:jc w:val="left"/>
              <w:rPr>
                <w:color w:val="auto"/>
                <w:sz w:val="24"/>
              </w:rPr>
            </w:pPr>
            <w:r>
              <w:rPr>
                <w:rFonts w:hint="eastAsia"/>
                <w:color w:val="auto"/>
                <w:sz w:val="24"/>
                <w:lang w:eastAsia="zh-CN"/>
              </w:rPr>
              <w:t>□</w:t>
            </w:r>
            <w:r>
              <w:rPr>
                <w:color w:val="auto"/>
                <w:sz w:val="24"/>
              </w:rPr>
              <w:t>扩建</w:t>
            </w:r>
          </w:p>
          <w:p w14:paraId="5E86299C">
            <w:pPr>
              <w:jc w:val="left"/>
              <w:rPr>
                <w:color w:val="auto"/>
                <w:sz w:val="24"/>
              </w:rPr>
            </w:pPr>
            <w:r>
              <w:rPr>
                <w:rFonts w:hint="eastAsia"/>
                <w:color w:val="auto"/>
                <w:sz w:val="24"/>
              </w:rPr>
              <w:t>□</w:t>
            </w:r>
            <w:r>
              <w:rPr>
                <w:color w:val="auto"/>
                <w:sz w:val="24"/>
              </w:rPr>
              <w:t>技术改造</w:t>
            </w:r>
          </w:p>
        </w:tc>
        <w:tc>
          <w:tcPr>
            <w:tcW w:w="2004" w:type="dxa"/>
            <w:vAlign w:val="center"/>
          </w:tcPr>
          <w:p w14:paraId="42CE164A">
            <w:pPr>
              <w:adjustRightInd w:val="0"/>
              <w:snapToGrid w:val="0"/>
              <w:jc w:val="center"/>
              <w:rPr>
                <w:color w:val="auto"/>
                <w:sz w:val="24"/>
              </w:rPr>
            </w:pPr>
            <w:r>
              <w:rPr>
                <w:color w:val="auto"/>
                <w:sz w:val="24"/>
              </w:rPr>
              <w:t>建设项目</w:t>
            </w:r>
          </w:p>
          <w:p w14:paraId="59CF1521">
            <w:pPr>
              <w:adjustRightInd w:val="0"/>
              <w:snapToGrid w:val="0"/>
              <w:jc w:val="center"/>
              <w:rPr>
                <w:color w:val="auto"/>
                <w:sz w:val="24"/>
              </w:rPr>
            </w:pPr>
            <w:r>
              <w:rPr>
                <w:color w:val="auto"/>
                <w:sz w:val="24"/>
              </w:rPr>
              <w:t>申报情形</w:t>
            </w:r>
          </w:p>
        </w:tc>
        <w:tc>
          <w:tcPr>
            <w:tcW w:w="2779" w:type="dxa"/>
            <w:vAlign w:val="center"/>
          </w:tcPr>
          <w:p w14:paraId="5F4A1048">
            <w:pPr>
              <w:jc w:val="left"/>
              <w:rPr>
                <w:color w:val="auto"/>
                <w:sz w:val="24"/>
              </w:rPr>
            </w:pPr>
            <w:r>
              <w:rPr>
                <w:color w:val="auto"/>
                <w:sz w:val="24"/>
              </w:rPr>
              <w:sym w:font="Wingdings 2" w:char="0052"/>
            </w:r>
            <w:r>
              <w:rPr>
                <w:color w:val="auto"/>
                <w:sz w:val="24"/>
              </w:rPr>
              <w:t xml:space="preserve">首次申报项目             </w:t>
            </w:r>
          </w:p>
          <w:p w14:paraId="35697E27">
            <w:pPr>
              <w:jc w:val="left"/>
              <w:rPr>
                <w:color w:val="auto"/>
                <w:sz w:val="24"/>
              </w:rPr>
            </w:pPr>
            <w:r>
              <w:rPr>
                <w:rFonts w:hint="eastAsia"/>
                <w:color w:val="auto"/>
                <w:sz w:val="24"/>
              </w:rPr>
              <w:t>□</w:t>
            </w:r>
            <w:r>
              <w:rPr>
                <w:color w:val="auto"/>
                <w:sz w:val="24"/>
              </w:rPr>
              <w:t>不予批准后再次申报项目</w:t>
            </w:r>
          </w:p>
          <w:p w14:paraId="61EAC2A2">
            <w:pPr>
              <w:jc w:val="left"/>
              <w:rPr>
                <w:color w:val="auto"/>
                <w:sz w:val="24"/>
              </w:rPr>
            </w:pPr>
            <w:r>
              <w:rPr>
                <w:color w:val="auto"/>
                <w:sz w:val="24"/>
              </w:rPr>
              <w:sym w:font="Wingdings 2" w:char="00A3"/>
            </w:r>
            <w:r>
              <w:rPr>
                <w:color w:val="auto"/>
                <w:sz w:val="24"/>
              </w:rPr>
              <w:t xml:space="preserve">超五年重新审核项目     </w:t>
            </w:r>
          </w:p>
          <w:p w14:paraId="5484E8F2">
            <w:pPr>
              <w:jc w:val="left"/>
              <w:rPr>
                <w:color w:val="auto"/>
                <w:sz w:val="24"/>
              </w:rPr>
            </w:pPr>
            <w:r>
              <w:rPr>
                <w:rFonts w:hint="eastAsia"/>
                <w:color w:val="auto"/>
                <w:sz w:val="24"/>
              </w:rPr>
              <w:t>□</w:t>
            </w:r>
            <w:r>
              <w:rPr>
                <w:color w:val="auto"/>
                <w:sz w:val="24"/>
              </w:rPr>
              <w:t>重大变动重新报批项目</w:t>
            </w:r>
          </w:p>
        </w:tc>
      </w:tr>
      <w:tr w14:paraId="7FA202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1169" w:type="dxa"/>
            <w:tcMar>
              <w:top w:w="16" w:type="dxa"/>
              <w:left w:w="16" w:type="dxa"/>
              <w:right w:w="16" w:type="dxa"/>
            </w:tcMar>
            <w:vAlign w:val="center"/>
          </w:tcPr>
          <w:p w14:paraId="59A15774">
            <w:pPr>
              <w:adjustRightInd w:val="0"/>
              <w:snapToGrid w:val="0"/>
              <w:jc w:val="center"/>
              <w:rPr>
                <w:color w:val="auto"/>
                <w:sz w:val="24"/>
              </w:rPr>
            </w:pPr>
            <w:r>
              <w:rPr>
                <w:color w:val="auto"/>
                <w:sz w:val="24"/>
              </w:rPr>
              <w:t>项目审批（核准/</w:t>
            </w:r>
          </w:p>
          <w:p w14:paraId="717B9F64">
            <w:pPr>
              <w:adjustRightInd w:val="0"/>
              <w:snapToGrid w:val="0"/>
              <w:jc w:val="center"/>
              <w:rPr>
                <w:color w:val="auto"/>
                <w:sz w:val="24"/>
              </w:rPr>
            </w:pPr>
            <w:r>
              <w:rPr>
                <w:color w:val="auto"/>
                <w:sz w:val="24"/>
              </w:rPr>
              <w:t>备案）部门</w:t>
            </w:r>
          </w:p>
        </w:tc>
        <w:tc>
          <w:tcPr>
            <w:tcW w:w="2918" w:type="dxa"/>
            <w:vAlign w:val="center"/>
          </w:tcPr>
          <w:p w14:paraId="05776E93">
            <w:pPr>
              <w:adjustRightInd w:val="0"/>
              <w:snapToGrid w:val="0"/>
              <w:jc w:val="center"/>
              <w:rPr>
                <w:rFonts w:hint="eastAsia" w:eastAsia="宋体"/>
                <w:color w:val="auto"/>
                <w:sz w:val="24"/>
                <w:lang w:val="en-US" w:eastAsia="zh-CN"/>
              </w:rPr>
            </w:pPr>
            <w:r>
              <w:rPr>
                <w:rFonts w:hint="eastAsia"/>
                <w:color w:val="auto"/>
                <w:sz w:val="24"/>
                <w:lang w:val="en-US" w:eastAsia="zh-CN"/>
              </w:rPr>
              <w:t>/</w:t>
            </w:r>
          </w:p>
        </w:tc>
        <w:tc>
          <w:tcPr>
            <w:tcW w:w="2004" w:type="dxa"/>
            <w:vAlign w:val="center"/>
          </w:tcPr>
          <w:p w14:paraId="0C3582DF">
            <w:pPr>
              <w:adjustRightInd w:val="0"/>
              <w:snapToGrid w:val="0"/>
              <w:jc w:val="center"/>
              <w:rPr>
                <w:color w:val="auto"/>
                <w:sz w:val="24"/>
              </w:rPr>
            </w:pPr>
            <w:r>
              <w:rPr>
                <w:color w:val="auto"/>
                <w:sz w:val="24"/>
              </w:rPr>
              <w:t>项目审批（核准/</w:t>
            </w:r>
          </w:p>
          <w:p w14:paraId="672BE21B">
            <w:pPr>
              <w:adjustRightInd w:val="0"/>
              <w:snapToGrid w:val="0"/>
              <w:jc w:val="center"/>
              <w:rPr>
                <w:color w:val="auto"/>
                <w:sz w:val="24"/>
              </w:rPr>
            </w:pPr>
            <w:r>
              <w:rPr>
                <w:color w:val="auto"/>
                <w:sz w:val="24"/>
              </w:rPr>
              <w:t>备案）文号</w:t>
            </w:r>
          </w:p>
        </w:tc>
        <w:tc>
          <w:tcPr>
            <w:tcW w:w="2779" w:type="dxa"/>
            <w:vAlign w:val="center"/>
          </w:tcPr>
          <w:p w14:paraId="21198C49">
            <w:pPr>
              <w:adjustRightInd w:val="0"/>
              <w:snapToGrid w:val="0"/>
              <w:jc w:val="center"/>
              <w:rPr>
                <w:color w:val="auto"/>
                <w:sz w:val="24"/>
              </w:rPr>
            </w:pPr>
            <w:r>
              <w:rPr>
                <w:color w:val="auto"/>
                <w:sz w:val="24"/>
              </w:rPr>
              <w:t>/</w:t>
            </w:r>
          </w:p>
        </w:tc>
      </w:tr>
      <w:tr w14:paraId="016D6D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169" w:type="dxa"/>
            <w:tcMar>
              <w:top w:w="16" w:type="dxa"/>
              <w:left w:w="16" w:type="dxa"/>
              <w:right w:w="16" w:type="dxa"/>
            </w:tcMar>
            <w:vAlign w:val="center"/>
          </w:tcPr>
          <w:p w14:paraId="6AD804BF">
            <w:pPr>
              <w:adjustRightInd w:val="0"/>
              <w:snapToGrid w:val="0"/>
              <w:jc w:val="center"/>
              <w:rPr>
                <w:color w:val="auto"/>
                <w:sz w:val="24"/>
              </w:rPr>
            </w:pPr>
            <w:r>
              <w:rPr>
                <w:color w:val="auto"/>
                <w:sz w:val="24"/>
              </w:rPr>
              <w:t>总投资（万元）</w:t>
            </w:r>
          </w:p>
        </w:tc>
        <w:tc>
          <w:tcPr>
            <w:tcW w:w="2918" w:type="dxa"/>
            <w:vAlign w:val="center"/>
          </w:tcPr>
          <w:p w14:paraId="00114C7E">
            <w:pPr>
              <w:adjustRightInd w:val="0"/>
              <w:snapToGrid w:val="0"/>
              <w:jc w:val="center"/>
              <w:rPr>
                <w:rFonts w:hint="default"/>
                <w:color w:val="auto"/>
                <w:sz w:val="24"/>
                <w:lang w:val="en-US"/>
              </w:rPr>
            </w:pPr>
            <w:r>
              <w:rPr>
                <w:rFonts w:hint="eastAsia"/>
                <w:color w:val="auto"/>
                <w:sz w:val="24"/>
                <w:lang w:val="en-US" w:eastAsia="zh-CN"/>
              </w:rPr>
              <w:t>10500</w:t>
            </w:r>
          </w:p>
        </w:tc>
        <w:tc>
          <w:tcPr>
            <w:tcW w:w="2004" w:type="dxa"/>
            <w:tcMar>
              <w:top w:w="16" w:type="dxa"/>
              <w:left w:w="16" w:type="dxa"/>
              <w:right w:w="16" w:type="dxa"/>
            </w:tcMar>
            <w:vAlign w:val="center"/>
          </w:tcPr>
          <w:p w14:paraId="4041A870">
            <w:pPr>
              <w:adjustRightInd w:val="0"/>
              <w:snapToGrid w:val="0"/>
              <w:jc w:val="center"/>
              <w:rPr>
                <w:color w:val="auto"/>
                <w:sz w:val="24"/>
              </w:rPr>
            </w:pPr>
            <w:r>
              <w:rPr>
                <w:color w:val="auto"/>
                <w:sz w:val="24"/>
              </w:rPr>
              <w:t>环保投资（万元）</w:t>
            </w:r>
          </w:p>
        </w:tc>
        <w:tc>
          <w:tcPr>
            <w:tcW w:w="2779" w:type="dxa"/>
            <w:vAlign w:val="center"/>
          </w:tcPr>
          <w:p w14:paraId="30D34B56">
            <w:pPr>
              <w:adjustRightInd w:val="0"/>
              <w:snapToGrid w:val="0"/>
              <w:jc w:val="center"/>
              <w:rPr>
                <w:rFonts w:hint="default" w:eastAsia="宋体"/>
                <w:color w:val="auto"/>
                <w:sz w:val="24"/>
                <w:lang w:val="en-US" w:eastAsia="zh-CN"/>
              </w:rPr>
            </w:pPr>
            <w:r>
              <w:rPr>
                <w:rFonts w:hint="eastAsia"/>
                <w:color w:val="auto"/>
                <w:sz w:val="24"/>
                <w:lang w:val="en-US" w:eastAsia="zh-CN"/>
              </w:rPr>
              <w:t>100</w:t>
            </w:r>
          </w:p>
        </w:tc>
      </w:tr>
      <w:tr w14:paraId="7CD5FF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76" w:hRule="atLeast"/>
          <w:jc w:val="center"/>
        </w:trPr>
        <w:tc>
          <w:tcPr>
            <w:tcW w:w="1169" w:type="dxa"/>
            <w:tcMar>
              <w:top w:w="16" w:type="dxa"/>
              <w:left w:w="16" w:type="dxa"/>
              <w:right w:w="16" w:type="dxa"/>
            </w:tcMar>
            <w:vAlign w:val="center"/>
          </w:tcPr>
          <w:p w14:paraId="1F19264F">
            <w:pPr>
              <w:adjustRightInd w:val="0"/>
              <w:snapToGrid w:val="0"/>
              <w:jc w:val="center"/>
              <w:rPr>
                <w:color w:val="auto"/>
                <w:sz w:val="24"/>
              </w:rPr>
            </w:pPr>
            <w:r>
              <w:rPr>
                <w:color w:val="auto"/>
                <w:sz w:val="24"/>
              </w:rPr>
              <w:t>环保投资占比（%）</w:t>
            </w:r>
          </w:p>
        </w:tc>
        <w:tc>
          <w:tcPr>
            <w:tcW w:w="2918" w:type="dxa"/>
            <w:vAlign w:val="center"/>
          </w:tcPr>
          <w:p w14:paraId="07C5AEEE">
            <w:pPr>
              <w:adjustRightInd w:val="0"/>
              <w:snapToGrid w:val="0"/>
              <w:jc w:val="center"/>
              <w:rPr>
                <w:rFonts w:hint="default" w:eastAsia="宋体"/>
                <w:color w:val="auto"/>
                <w:sz w:val="24"/>
                <w:lang w:val="en-US" w:eastAsia="zh-CN"/>
              </w:rPr>
            </w:pPr>
            <w:r>
              <w:rPr>
                <w:rFonts w:hint="eastAsia"/>
                <w:color w:val="auto"/>
                <w:sz w:val="24"/>
                <w:lang w:val="en-US" w:eastAsia="zh-CN"/>
              </w:rPr>
              <w:t>0.95</w:t>
            </w:r>
          </w:p>
        </w:tc>
        <w:tc>
          <w:tcPr>
            <w:tcW w:w="2004" w:type="dxa"/>
            <w:tcMar>
              <w:top w:w="16" w:type="dxa"/>
              <w:left w:w="16" w:type="dxa"/>
              <w:right w:w="16" w:type="dxa"/>
            </w:tcMar>
            <w:vAlign w:val="center"/>
          </w:tcPr>
          <w:p w14:paraId="331631FE">
            <w:pPr>
              <w:adjustRightInd w:val="0"/>
              <w:snapToGrid w:val="0"/>
              <w:jc w:val="center"/>
              <w:rPr>
                <w:color w:val="auto"/>
                <w:sz w:val="24"/>
              </w:rPr>
            </w:pPr>
            <w:r>
              <w:rPr>
                <w:color w:val="auto"/>
                <w:sz w:val="24"/>
              </w:rPr>
              <w:t>施工工期</w:t>
            </w:r>
          </w:p>
        </w:tc>
        <w:tc>
          <w:tcPr>
            <w:tcW w:w="2779" w:type="dxa"/>
            <w:vAlign w:val="center"/>
          </w:tcPr>
          <w:p w14:paraId="10164447">
            <w:pPr>
              <w:adjustRightInd w:val="0"/>
              <w:snapToGrid w:val="0"/>
              <w:jc w:val="center"/>
              <w:rPr>
                <w:color w:val="auto"/>
                <w:sz w:val="24"/>
              </w:rPr>
            </w:pPr>
            <w:r>
              <w:rPr>
                <w:rFonts w:hint="eastAsia"/>
                <w:color w:val="auto"/>
                <w:sz w:val="24"/>
                <w:lang w:val="en-US" w:eastAsia="zh-CN"/>
              </w:rPr>
              <w:t>12</w:t>
            </w:r>
            <w:r>
              <w:rPr>
                <w:color w:val="auto"/>
                <w:sz w:val="24"/>
              </w:rPr>
              <w:t>个月</w:t>
            </w:r>
          </w:p>
        </w:tc>
      </w:tr>
      <w:tr w14:paraId="580981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169" w:type="dxa"/>
            <w:tcMar>
              <w:top w:w="16" w:type="dxa"/>
              <w:left w:w="16" w:type="dxa"/>
              <w:right w:w="16" w:type="dxa"/>
            </w:tcMar>
            <w:vAlign w:val="center"/>
          </w:tcPr>
          <w:p w14:paraId="0F0C32CE">
            <w:pPr>
              <w:adjustRightInd w:val="0"/>
              <w:snapToGrid w:val="0"/>
              <w:jc w:val="center"/>
              <w:rPr>
                <w:color w:val="auto"/>
                <w:sz w:val="24"/>
              </w:rPr>
            </w:pPr>
            <w:r>
              <w:rPr>
                <w:color w:val="auto"/>
                <w:sz w:val="24"/>
              </w:rPr>
              <w:t>是否开工建设</w:t>
            </w:r>
          </w:p>
        </w:tc>
        <w:tc>
          <w:tcPr>
            <w:tcW w:w="2918" w:type="dxa"/>
            <w:vAlign w:val="center"/>
          </w:tcPr>
          <w:p w14:paraId="49E0A885">
            <w:pPr>
              <w:adjustRightInd w:val="0"/>
              <w:snapToGrid w:val="0"/>
              <w:rPr>
                <w:color w:val="auto"/>
                <w:sz w:val="24"/>
              </w:rPr>
            </w:pPr>
            <w:r>
              <w:rPr>
                <w:color w:val="auto"/>
                <w:sz w:val="24"/>
              </w:rPr>
              <w:sym w:font="Wingdings 2" w:char="0052"/>
            </w:r>
            <w:r>
              <w:rPr>
                <w:color w:val="auto"/>
                <w:sz w:val="24"/>
              </w:rPr>
              <w:t>否</w:t>
            </w:r>
          </w:p>
          <w:p w14:paraId="1F481E49">
            <w:pPr>
              <w:adjustRightInd w:val="0"/>
              <w:snapToGrid w:val="0"/>
              <w:rPr>
                <w:color w:val="auto"/>
                <w:sz w:val="24"/>
              </w:rPr>
            </w:pPr>
            <w:r>
              <w:rPr>
                <w:color w:val="auto"/>
                <w:sz w:val="24"/>
              </w:rPr>
              <w:sym w:font="Wingdings 2" w:char="00A3"/>
            </w:r>
            <w:r>
              <w:rPr>
                <w:color w:val="auto"/>
                <w:sz w:val="24"/>
              </w:rPr>
              <w:t>是：</w:t>
            </w:r>
            <w:r>
              <w:rPr>
                <w:rFonts w:hint="eastAsia"/>
                <w:color w:val="auto"/>
                <w:sz w:val="24"/>
                <w:u w:val="single"/>
              </w:rPr>
              <w:t xml:space="preserve">              </w:t>
            </w:r>
          </w:p>
        </w:tc>
        <w:tc>
          <w:tcPr>
            <w:tcW w:w="2004" w:type="dxa"/>
            <w:tcMar>
              <w:top w:w="16" w:type="dxa"/>
              <w:left w:w="16" w:type="dxa"/>
              <w:right w:w="16" w:type="dxa"/>
            </w:tcMar>
            <w:vAlign w:val="center"/>
          </w:tcPr>
          <w:p w14:paraId="5CE9C2BE">
            <w:pPr>
              <w:adjustRightInd w:val="0"/>
              <w:snapToGrid w:val="0"/>
              <w:jc w:val="center"/>
              <w:rPr>
                <w:color w:val="auto"/>
                <w:sz w:val="24"/>
              </w:rPr>
            </w:pPr>
            <w:r>
              <w:rPr>
                <w:color w:val="auto"/>
                <w:sz w:val="24"/>
              </w:rPr>
              <w:t>用地（用海）</w:t>
            </w:r>
          </w:p>
          <w:p w14:paraId="7036CA8C">
            <w:pPr>
              <w:adjustRightInd w:val="0"/>
              <w:snapToGrid w:val="0"/>
              <w:jc w:val="center"/>
              <w:rPr>
                <w:color w:val="auto"/>
                <w:sz w:val="24"/>
              </w:rPr>
            </w:pPr>
            <w:r>
              <w:rPr>
                <w:color w:val="auto"/>
                <w:sz w:val="24"/>
              </w:rPr>
              <w:t>面积（m</w:t>
            </w:r>
            <w:r>
              <w:rPr>
                <w:color w:val="auto"/>
                <w:sz w:val="24"/>
                <w:vertAlign w:val="superscript"/>
              </w:rPr>
              <w:t>2</w:t>
            </w:r>
            <w:r>
              <w:rPr>
                <w:color w:val="auto"/>
                <w:sz w:val="24"/>
              </w:rPr>
              <w:t>）</w:t>
            </w:r>
          </w:p>
        </w:tc>
        <w:tc>
          <w:tcPr>
            <w:tcW w:w="2779" w:type="dxa"/>
            <w:vAlign w:val="center"/>
          </w:tcPr>
          <w:p w14:paraId="63E2C920">
            <w:pPr>
              <w:adjustRightInd w:val="0"/>
              <w:snapToGrid w:val="0"/>
              <w:jc w:val="center"/>
              <w:rPr>
                <w:rFonts w:hint="default" w:eastAsia="宋体"/>
                <w:color w:val="auto"/>
                <w:sz w:val="24"/>
                <w:lang w:val="en-US" w:eastAsia="zh-CN"/>
              </w:rPr>
            </w:pPr>
            <w:r>
              <w:rPr>
                <w:rFonts w:hint="eastAsia"/>
                <w:color w:val="auto"/>
                <w:sz w:val="24"/>
                <w:lang w:val="en-US" w:eastAsia="zh-CN"/>
              </w:rPr>
              <w:t>12682.82</w:t>
            </w:r>
          </w:p>
        </w:tc>
      </w:tr>
      <w:tr w14:paraId="43BD6F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169" w:type="dxa"/>
            <w:vAlign w:val="center"/>
          </w:tcPr>
          <w:p w14:paraId="2E2AA979">
            <w:pPr>
              <w:autoSpaceDE w:val="0"/>
              <w:autoSpaceDN w:val="0"/>
              <w:adjustRightInd w:val="0"/>
              <w:snapToGrid w:val="0"/>
              <w:jc w:val="center"/>
              <w:rPr>
                <w:color w:val="auto"/>
                <w:kern w:val="0"/>
                <w:sz w:val="24"/>
              </w:rPr>
            </w:pPr>
            <w:r>
              <w:rPr>
                <w:color w:val="auto"/>
                <w:kern w:val="0"/>
                <w:sz w:val="24"/>
              </w:rPr>
              <w:t>专项评价设置情况</w:t>
            </w:r>
          </w:p>
        </w:tc>
        <w:tc>
          <w:tcPr>
            <w:tcW w:w="7701" w:type="dxa"/>
            <w:gridSpan w:val="3"/>
            <w:vAlign w:val="center"/>
          </w:tcPr>
          <w:p w14:paraId="52172238">
            <w:pPr>
              <w:pStyle w:val="111"/>
              <w:bidi w:val="0"/>
              <w:rPr>
                <w:rFonts w:hint="eastAsia"/>
                <w:color w:val="auto"/>
                <w:highlight w:val="none"/>
                <w:lang w:val="en-US" w:eastAsia="zh-CN"/>
              </w:rPr>
            </w:pPr>
            <w:r>
              <w:rPr>
                <w:rFonts w:hint="eastAsia"/>
                <w:color w:val="auto"/>
                <w:highlight w:val="none"/>
                <w:lang w:val="en-US" w:eastAsia="zh-CN"/>
              </w:rPr>
              <w:t>依据《建设项目环境影响报告表编制技术指南（污染影响类）》专项评价设置原则表：</w:t>
            </w:r>
          </w:p>
          <w:p w14:paraId="0688322C">
            <w:pPr>
              <w:bidi w:val="0"/>
              <w:jc w:val="center"/>
              <w:rPr>
                <w:rFonts w:hint="eastAsia"/>
                <w:color w:val="auto"/>
                <w:highlight w:val="none"/>
                <w:lang w:val="en-US" w:eastAsia="zh-CN"/>
              </w:rPr>
            </w:pPr>
            <w:r>
              <w:rPr>
                <w:rFonts w:hint="eastAsia"/>
                <w:b/>
                <w:bCs/>
                <w:color w:val="auto"/>
                <w:sz w:val="21"/>
                <w:szCs w:val="24"/>
                <w:lang w:val="en-US" w:eastAsia="zh-CN"/>
              </w:rPr>
              <w:t>表1-1 本项目专项评价情况一览表</w:t>
            </w:r>
          </w:p>
          <w:tbl>
            <w:tblPr>
              <w:tblStyle w:val="2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9"/>
              <w:gridCol w:w="2877"/>
              <w:gridCol w:w="2856"/>
              <w:gridCol w:w="908"/>
            </w:tblGrid>
            <w:tr w14:paraId="6B045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4" w:type="pct"/>
                  <w:tcBorders>
                    <w:tl2br w:val="nil"/>
                    <w:tr2bl w:val="nil"/>
                  </w:tcBorders>
                  <w:noWrap w:val="0"/>
                  <w:vAlign w:val="center"/>
                </w:tcPr>
                <w:p w14:paraId="6BB35E61">
                  <w:pPr>
                    <w:bidi w:val="0"/>
                    <w:jc w:val="center"/>
                    <w:rPr>
                      <w:rFonts w:hint="default"/>
                      <w:color w:val="auto"/>
                      <w:sz w:val="21"/>
                      <w:szCs w:val="21"/>
                      <w:lang w:val="en-US" w:eastAsia="zh-CN"/>
                    </w:rPr>
                  </w:pPr>
                  <w:r>
                    <w:rPr>
                      <w:rFonts w:hint="eastAsia"/>
                      <w:color w:val="auto"/>
                      <w:sz w:val="21"/>
                      <w:szCs w:val="21"/>
                      <w:lang w:val="en-US" w:eastAsia="zh-CN"/>
                    </w:rPr>
                    <w:t>专项评价类别</w:t>
                  </w:r>
                </w:p>
              </w:tc>
              <w:tc>
                <w:tcPr>
                  <w:tcW w:w="1883" w:type="pct"/>
                  <w:tcBorders>
                    <w:tl2br w:val="nil"/>
                    <w:tr2bl w:val="nil"/>
                  </w:tcBorders>
                  <w:noWrap w:val="0"/>
                  <w:vAlign w:val="center"/>
                </w:tcPr>
                <w:p w14:paraId="5D75B8F6">
                  <w:pPr>
                    <w:bidi w:val="0"/>
                    <w:jc w:val="center"/>
                    <w:rPr>
                      <w:rFonts w:hint="default"/>
                      <w:color w:val="auto"/>
                      <w:sz w:val="21"/>
                      <w:szCs w:val="21"/>
                      <w:lang w:val="en-US" w:eastAsia="zh-CN"/>
                    </w:rPr>
                  </w:pPr>
                  <w:r>
                    <w:rPr>
                      <w:rFonts w:hint="eastAsia"/>
                      <w:color w:val="auto"/>
                      <w:sz w:val="21"/>
                      <w:szCs w:val="21"/>
                      <w:lang w:val="en-US" w:eastAsia="zh-CN"/>
                    </w:rPr>
                    <w:t>设置原则</w:t>
                  </w:r>
                </w:p>
              </w:tc>
              <w:tc>
                <w:tcPr>
                  <w:tcW w:w="1869" w:type="pct"/>
                  <w:tcBorders>
                    <w:tl2br w:val="nil"/>
                    <w:tr2bl w:val="nil"/>
                  </w:tcBorders>
                  <w:noWrap w:val="0"/>
                  <w:vAlign w:val="center"/>
                </w:tcPr>
                <w:p w14:paraId="2EBF5589">
                  <w:pPr>
                    <w:bidi w:val="0"/>
                    <w:jc w:val="center"/>
                    <w:rPr>
                      <w:rFonts w:hint="default"/>
                      <w:color w:val="auto"/>
                      <w:sz w:val="21"/>
                      <w:szCs w:val="21"/>
                      <w:lang w:val="en-US" w:eastAsia="zh-CN"/>
                    </w:rPr>
                  </w:pPr>
                  <w:r>
                    <w:rPr>
                      <w:rFonts w:hint="eastAsia"/>
                      <w:color w:val="auto"/>
                      <w:sz w:val="21"/>
                      <w:szCs w:val="21"/>
                      <w:lang w:val="en-US" w:eastAsia="zh-CN"/>
                    </w:rPr>
                    <w:t>本项目情况</w:t>
                  </w:r>
                </w:p>
              </w:tc>
              <w:tc>
                <w:tcPr>
                  <w:tcW w:w="592" w:type="pct"/>
                  <w:tcBorders>
                    <w:tl2br w:val="nil"/>
                    <w:tr2bl w:val="nil"/>
                  </w:tcBorders>
                  <w:noWrap w:val="0"/>
                  <w:vAlign w:val="center"/>
                </w:tcPr>
                <w:p w14:paraId="3D820F70">
                  <w:pPr>
                    <w:bidi w:val="0"/>
                    <w:jc w:val="center"/>
                    <w:rPr>
                      <w:rFonts w:hint="eastAsia"/>
                      <w:color w:val="auto"/>
                      <w:sz w:val="21"/>
                      <w:szCs w:val="21"/>
                      <w:lang w:val="en-US" w:eastAsia="zh-CN"/>
                    </w:rPr>
                  </w:pPr>
                  <w:r>
                    <w:rPr>
                      <w:rFonts w:hint="eastAsia"/>
                      <w:color w:val="auto"/>
                      <w:sz w:val="21"/>
                      <w:szCs w:val="21"/>
                      <w:lang w:val="en-US" w:eastAsia="zh-CN"/>
                    </w:rPr>
                    <w:t>设置</w:t>
                  </w:r>
                </w:p>
                <w:p w14:paraId="5934160D">
                  <w:pPr>
                    <w:bidi w:val="0"/>
                    <w:jc w:val="center"/>
                    <w:rPr>
                      <w:rFonts w:hint="default"/>
                      <w:color w:val="auto"/>
                      <w:sz w:val="21"/>
                      <w:szCs w:val="21"/>
                      <w:lang w:val="en-US" w:eastAsia="zh-CN"/>
                    </w:rPr>
                  </w:pPr>
                  <w:r>
                    <w:rPr>
                      <w:rFonts w:hint="eastAsia"/>
                      <w:color w:val="auto"/>
                      <w:sz w:val="21"/>
                      <w:szCs w:val="21"/>
                      <w:lang w:val="en-US" w:eastAsia="zh-CN"/>
                    </w:rPr>
                    <w:t>情况</w:t>
                  </w:r>
                </w:p>
              </w:tc>
            </w:tr>
            <w:tr w14:paraId="39275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4" w:type="pct"/>
                  <w:tcBorders>
                    <w:tl2br w:val="nil"/>
                    <w:tr2bl w:val="nil"/>
                  </w:tcBorders>
                  <w:noWrap w:val="0"/>
                  <w:vAlign w:val="center"/>
                </w:tcPr>
                <w:p w14:paraId="340D5B98">
                  <w:pPr>
                    <w:bidi w:val="0"/>
                    <w:jc w:val="center"/>
                    <w:rPr>
                      <w:rFonts w:hint="default"/>
                      <w:color w:val="auto"/>
                      <w:sz w:val="21"/>
                      <w:szCs w:val="21"/>
                      <w:lang w:val="en-US" w:eastAsia="zh-CN"/>
                    </w:rPr>
                  </w:pPr>
                  <w:r>
                    <w:rPr>
                      <w:rFonts w:hint="eastAsia"/>
                      <w:color w:val="auto"/>
                      <w:sz w:val="21"/>
                      <w:szCs w:val="21"/>
                      <w:lang w:val="en-US" w:eastAsia="zh-CN"/>
                    </w:rPr>
                    <w:t>大气</w:t>
                  </w:r>
                </w:p>
              </w:tc>
              <w:tc>
                <w:tcPr>
                  <w:tcW w:w="1883" w:type="pct"/>
                  <w:tcBorders>
                    <w:tl2br w:val="nil"/>
                    <w:tr2bl w:val="nil"/>
                  </w:tcBorders>
                  <w:noWrap w:val="0"/>
                  <w:vAlign w:val="center"/>
                </w:tcPr>
                <w:p w14:paraId="1D52F284">
                  <w:pPr>
                    <w:bidi w:val="0"/>
                    <w:jc w:val="center"/>
                    <w:rPr>
                      <w:rFonts w:hint="default"/>
                      <w:color w:val="auto"/>
                      <w:sz w:val="21"/>
                      <w:szCs w:val="21"/>
                      <w:lang w:val="en-US" w:eastAsia="zh-CN"/>
                    </w:rPr>
                  </w:pPr>
                  <w:r>
                    <w:rPr>
                      <w:rFonts w:hint="eastAsia"/>
                      <w:color w:val="auto"/>
                      <w:sz w:val="21"/>
                      <w:szCs w:val="21"/>
                      <w:lang w:val="en-US" w:eastAsia="zh-CN"/>
                    </w:rPr>
                    <w:t>排放废气含有毒有害污染物</w:t>
                  </w:r>
                  <w:r>
                    <w:rPr>
                      <w:rFonts w:hint="eastAsia" w:ascii="Times New Roman" w:hAnsi="Times New Roman" w:eastAsia="宋体" w:cs="Times New Roman"/>
                      <w:color w:val="auto"/>
                      <w:sz w:val="21"/>
                      <w:szCs w:val="21"/>
                      <w:vertAlign w:val="superscript"/>
                      <w:lang w:val="en-US" w:eastAsia="zh-CN"/>
                    </w:rPr>
                    <w:t>1</w:t>
                  </w:r>
                  <w:r>
                    <w:rPr>
                      <w:rFonts w:hint="eastAsia"/>
                      <w:color w:val="auto"/>
                      <w:sz w:val="21"/>
                      <w:szCs w:val="21"/>
                      <w:lang w:val="en-US" w:eastAsia="zh-CN"/>
                    </w:rPr>
                    <w:t>、二噁英、苯并[a]芘、氰化物、氯气且厂界外500米范围内有环境空气保护目标</w:t>
                  </w:r>
                  <w:r>
                    <w:rPr>
                      <w:rFonts w:hint="eastAsia" w:ascii="Times New Roman" w:hAnsi="Times New Roman" w:eastAsia="宋体" w:cs="Times New Roman"/>
                      <w:color w:val="auto"/>
                      <w:sz w:val="21"/>
                      <w:szCs w:val="21"/>
                      <w:vertAlign w:val="superscript"/>
                      <w:lang w:val="en-US" w:eastAsia="zh-CN"/>
                    </w:rPr>
                    <w:t>2</w:t>
                  </w:r>
                  <w:r>
                    <w:rPr>
                      <w:rFonts w:hint="eastAsia"/>
                      <w:color w:val="auto"/>
                      <w:sz w:val="21"/>
                      <w:szCs w:val="21"/>
                      <w:lang w:val="en-US" w:eastAsia="zh-CN"/>
                    </w:rPr>
                    <w:t>的建设项目</w:t>
                  </w:r>
                </w:p>
              </w:tc>
              <w:tc>
                <w:tcPr>
                  <w:tcW w:w="1869" w:type="pct"/>
                  <w:tcBorders>
                    <w:tl2br w:val="nil"/>
                    <w:tr2bl w:val="nil"/>
                  </w:tcBorders>
                  <w:noWrap w:val="0"/>
                  <w:vAlign w:val="center"/>
                </w:tcPr>
                <w:p w14:paraId="65327434">
                  <w:pPr>
                    <w:bidi w:val="0"/>
                    <w:jc w:val="center"/>
                    <w:rPr>
                      <w:rFonts w:hint="default"/>
                      <w:color w:val="auto"/>
                      <w:sz w:val="21"/>
                      <w:szCs w:val="21"/>
                      <w:lang w:val="en-US" w:eastAsia="zh-CN"/>
                    </w:rPr>
                  </w:pPr>
                  <w:r>
                    <w:rPr>
                      <w:rFonts w:hint="default"/>
                      <w:color w:val="auto"/>
                      <w:sz w:val="21"/>
                      <w:szCs w:val="21"/>
                      <w:lang w:val="en-US" w:eastAsia="zh-CN"/>
                    </w:rPr>
                    <w:t>本项目</w:t>
                  </w:r>
                  <w:r>
                    <w:rPr>
                      <w:rFonts w:hint="eastAsia"/>
                      <w:color w:val="auto"/>
                      <w:sz w:val="21"/>
                      <w:szCs w:val="21"/>
                      <w:lang w:val="en-US" w:eastAsia="zh-CN"/>
                    </w:rPr>
                    <w:t>不</w:t>
                  </w:r>
                  <w:r>
                    <w:rPr>
                      <w:rFonts w:hint="default"/>
                      <w:color w:val="auto"/>
                      <w:sz w:val="21"/>
                      <w:szCs w:val="21"/>
                      <w:lang w:val="en-US" w:eastAsia="zh-CN"/>
                    </w:rPr>
                    <w:t>涉及</w:t>
                  </w:r>
                  <w:r>
                    <w:rPr>
                      <w:rFonts w:hint="eastAsia"/>
                      <w:color w:val="auto"/>
                      <w:sz w:val="21"/>
                      <w:szCs w:val="21"/>
                      <w:lang w:val="en-US" w:eastAsia="zh-CN"/>
                    </w:rPr>
                    <w:t>有毒有害污染物</w:t>
                  </w:r>
                  <w:r>
                    <w:rPr>
                      <w:rFonts w:hint="eastAsia" w:ascii="Times New Roman" w:hAnsi="Times New Roman" w:eastAsia="宋体" w:cs="Times New Roman"/>
                      <w:color w:val="auto"/>
                      <w:sz w:val="21"/>
                      <w:szCs w:val="21"/>
                      <w:vertAlign w:val="superscript"/>
                      <w:lang w:val="en-US" w:eastAsia="zh-CN"/>
                    </w:rPr>
                    <w:t>1</w:t>
                  </w:r>
                  <w:r>
                    <w:rPr>
                      <w:rFonts w:hint="eastAsia"/>
                      <w:color w:val="auto"/>
                      <w:sz w:val="21"/>
                      <w:szCs w:val="21"/>
                      <w:lang w:val="en-US" w:eastAsia="zh-CN"/>
                    </w:rPr>
                    <w:t>、二噁英、苯并[a]芘、氰化物、氯气等物质</w:t>
                  </w:r>
                </w:p>
              </w:tc>
              <w:tc>
                <w:tcPr>
                  <w:tcW w:w="592" w:type="pct"/>
                  <w:tcBorders>
                    <w:tl2br w:val="nil"/>
                    <w:tr2bl w:val="nil"/>
                  </w:tcBorders>
                  <w:noWrap w:val="0"/>
                  <w:vAlign w:val="center"/>
                </w:tcPr>
                <w:p w14:paraId="2A29A787">
                  <w:pPr>
                    <w:bidi w:val="0"/>
                    <w:jc w:val="center"/>
                    <w:rPr>
                      <w:rFonts w:hint="default"/>
                      <w:color w:val="auto"/>
                      <w:sz w:val="21"/>
                      <w:szCs w:val="21"/>
                      <w:lang w:val="en-US" w:eastAsia="zh-CN"/>
                    </w:rPr>
                  </w:pPr>
                  <w:r>
                    <w:rPr>
                      <w:rFonts w:hint="eastAsia"/>
                      <w:color w:val="auto"/>
                      <w:sz w:val="21"/>
                      <w:szCs w:val="21"/>
                      <w:lang w:val="en-US" w:eastAsia="zh-CN"/>
                    </w:rPr>
                    <w:t>不需要设置专项</w:t>
                  </w:r>
                </w:p>
              </w:tc>
            </w:tr>
            <w:tr w14:paraId="58F6A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4" w:type="pct"/>
                  <w:tcBorders>
                    <w:tl2br w:val="nil"/>
                    <w:tr2bl w:val="nil"/>
                  </w:tcBorders>
                  <w:noWrap w:val="0"/>
                  <w:vAlign w:val="center"/>
                </w:tcPr>
                <w:p w14:paraId="1FBD82F6">
                  <w:pPr>
                    <w:bidi w:val="0"/>
                    <w:jc w:val="center"/>
                    <w:rPr>
                      <w:rFonts w:hint="default"/>
                      <w:color w:val="auto"/>
                      <w:sz w:val="21"/>
                      <w:szCs w:val="21"/>
                      <w:lang w:val="en-US" w:eastAsia="zh-CN"/>
                    </w:rPr>
                  </w:pPr>
                  <w:r>
                    <w:rPr>
                      <w:rFonts w:hint="eastAsia"/>
                      <w:color w:val="auto"/>
                      <w:sz w:val="21"/>
                      <w:szCs w:val="21"/>
                      <w:lang w:val="en-US" w:eastAsia="zh-CN"/>
                    </w:rPr>
                    <w:t>地表水</w:t>
                  </w:r>
                </w:p>
              </w:tc>
              <w:tc>
                <w:tcPr>
                  <w:tcW w:w="1883" w:type="pct"/>
                  <w:tcBorders>
                    <w:tl2br w:val="nil"/>
                    <w:tr2bl w:val="nil"/>
                  </w:tcBorders>
                  <w:noWrap w:val="0"/>
                  <w:vAlign w:val="center"/>
                </w:tcPr>
                <w:p w14:paraId="15E12D19">
                  <w:pPr>
                    <w:bidi w:val="0"/>
                    <w:jc w:val="center"/>
                    <w:rPr>
                      <w:rFonts w:hint="default"/>
                      <w:color w:val="auto"/>
                      <w:sz w:val="21"/>
                      <w:szCs w:val="21"/>
                      <w:lang w:val="en-US" w:eastAsia="zh-CN"/>
                    </w:rPr>
                  </w:pPr>
                  <w:r>
                    <w:rPr>
                      <w:rFonts w:hint="eastAsia"/>
                      <w:color w:val="auto"/>
                      <w:sz w:val="21"/>
                      <w:szCs w:val="21"/>
                      <w:lang w:val="en-US" w:eastAsia="zh-CN"/>
                    </w:rPr>
                    <w:t>新增工业废水直排建设项目（槽罐车外送污水处理厂的除外）；新增废水直排的污水集中处理厂</w:t>
                  </w:r>
                </w:p>
              </w:tc>
              <w:tc>
                <w:tcPr>
                  <w:tcW w:w="1869" w:type="pct"/>
                  <w:tcBorders>
                    <w:tl2br w:val="nil"/>
                    <w:tr2bl w:val="nil"/>
                  </w:tcBorders>
                  <w:noWrap w:val="0"/>
                  <w:vAlign w:val="center"/>
                </w:tcPr>
                <w:p w14:paraId="0696BEA7">
                  <w:pPr>
                    <w:bidi w:val="0"/>
                    <w:jc w:val="center"/>
                    <w:rPr>
                      <w:rFonts w:hint="eastAsia"/>
                      <w:color w:val="auto"/>
                      <w:sz w:val="21"/>
                      <w:szCs w:val="21"/>
                      <w:lang w:val="en-US" w:eastAsia="zh-CN"/>
                    </w:rPr>
                  </w:pPr>
                  <w:r>
                    <w:rPr>
                      <w:rFonts w:hint="default"/>
                      <w:color w:val="auto"/>
                      <w:sz w:val="21"/>
                      <w:szCs w:val="21"/>
                      <w:lang w:val="en-US" w:eastAsia="zh-CN"/>
                    </w:rPr>
                    <w:t>本项目废水</w:t>
                  </w:r>
                  <w:r>
                    <w:rPr>
                      <w:rFonts w:hint="eastAsia"/>
                      <w:color w:val="auto"/>
                      <w:sz w:val="21"/>
                      <w:szCs w:val="21"/>
                      <w:lang w:val="en-US" w:eastAsia="zh-CN"/>
                    </w:rPr>
                    <w:t>利用新建管道输送至池州中器环保科技有限公司的污水处理设施进行处理</w:t>
                  </w:r>
                  <w:r>
                    <w:rPr>
                      <w:rFonts w:hint="default"/>
                      <w:color w:val="auto"/>
                      <w:sz w:val="21"/>
                      <w:szCs w:val="21"/>
                      <w:lang w:val="en-US" w:eastAsia="zh-CN"/>
                    </w:rPr>
                    <w:t>，</w:t>
                  </w:r>
                  <w:r>
                    <w:rPr>
                      <w:rFonts w:hint="eastAsia"/>
                      <w:color w:val="auto"/>
                      <w:sz w:val="21"/>
                      <w:szCs w:val="21"/>
                      <w:lang w:val="en-US" w:eastAsia="zh-CN"/>
                    </w:rPr>
                    <w:t>处理达标后排至东至经开区污水处理厂，不属于直接排放</w:t>
                  </w:r>
                </w:p>
              </w:tc>
              <w:tc>
                <w:tcPr>
                  <w:tcW w:w="592" w:type="pct"/>
                  <w:tcBorders>
                    <w:tl2br w:val="nil"/>
                    <w:tr2bl w:val="nil"/>
                  </w:tcBorders>
                  <w:noWrap w:val="0"/>
                  <w:vAlign w:val="center"/>
                </w:tcPr>
                <w:p w14:paraId="15E8ED23">
                  <w:pPr>
                    <w:bidi w:val="0"/>
                    <w:jc w:val="center"/>
                    <w:rPr>
                      <w:rFonts w:hint="default"/>
                      <w:color w:val="auto"/>
                      <w:sz w:val="21"/>
                      <w:szCs w:val="21"/>
                      <w:lang w:val="en-US" w:eastAsia="zh-CN"/>
                    </w:rPr>
                  </w:pPr>
                  <w:r>
                    <w:rPr>
                      <w:rFonts w:hint="eastAsia"/>
                      <w:color w:val="auto"/>
                      <w:sz w:val="21"/>
                      <w:szCs w:val="21"/>
                      <w:lang w:val="en-US" w:eastAsia="zh-CN"/>
                    </w:rPr>
                    <w:t>不需要设置专项</w:t>
                  </w:r>
                </w:p>
              </w:tc>
            </w:tr>
            <w:tr w14:paraId="700C2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4" w:type="pct"/>
                  <w:tcBorders>
                    <w:tl2br w:val="nil"/>
                    <w:tr2bl w:val="nil"/>
                  </w:tcBorders>
                  <w:noWrap w:val="0"/>
                  <w:vAlign w:val="center"/>
                </w:tcPr>
                <w:p w14:paraId="41AE4D7F">
                  <w:pPr>
                    <w:bidi w:val="0"/>
                    <w:jc w:val="center"/>
                    <w:rPr>
                      <w:rFonts w:hint="eastAsia"/>
                      <w:color w:val="auto"/>
                      <w:sz w:val="21"/>
                      <w:szCs w:val="21"/>
                      <w:lang w:val="en-US" w:eastAsia="zh-CN"/>
                    </w:rPr>
                  </w:pPr>
                  <w:r>
                    <w:rPr>
                      <w:rFonts w:hint="eastAsia"/>
                      <w:color w:val="auto"/>
                      <w:sz w:val="21"/>
                      <w:szCs w:val="21"/>
                      <w:lang w:val="en-US" w:eastAsia="zh-CN"/>
                    </w:rPr>
                    <w:t>环境</w:t>
                  </w:r>
                </w:p>
                <w:p w14:paraId="3C24580F">
                  <w:pPr>
                    <w:bidi w:val="0"/>
                    <w:jc w:val="center"/>
                    <w:rPr>
                      <w:rFonts w:hint="default"/>
                      <w:color w:val="auto"/>
                      <w:sz w:val="21"/>
                      <w:szCs w:val="21"/>
                      <w:lang w:val="en-US" w:eastAsia="zh-CN"/>
                    </w:rPr>
                  </w:pPr>
                  <w:r>
                    <w:rPr>
                      <w:rFonts w:hint="eastAsia"/>
                      <w:color w:val="auto"/>
                      <w:sz w:val="21"/>
                      <w:szCs w:val="21"/>
                      <w:lang w:val="en-US" w:eastAsia="zh-CN"/>
                    </w:rPr>
                    <w:t>风险</w:t>
                  </w:r>
                </w:p>
              </w:tc>
              <w:tc>
                <w:tcPr>
                  <w:tcW w:w="1883" w:type="pct"/>
                  <w:tcBorders>
                    <w:tl2br w:val="nil"/>
                    <w:tr2bl w:val="nil"/>
                  </w:tcBorders>
                  <w:noWrap w:val="0"/>
                  <w:vAlign w:val="center"/>
                </w:tcPr>
                <w:p w14:paraId="0B51CEEA">
                  <w:pPr>
                    <w:bidi w:val="0"/>
                    <w:jc w:val="center"/>
                    <w:rPr>
                      <w:rFonts w:hint="default"/>
                      <w:color w:val="auto"/>
                      <w:sz w:val="21"/>
                      <w:szCs w:val="21"/>
                      <w:lang w:val="en-US" w:eastAsia="zh-CN"/>
                    </w:rPr>
                  </w:pPr>
                  <w:r>
                    <w:rPr>
                      <w:rFonts w:hint="eastAsia"/>
                      <w:color w:val="auto"/>
                      <w:sz w:val="21"/>
                      <w:szCs w:val="21"/>
                      <w:lang w:val="en-US" w:eastAsia="zh-CN"/>
                    </w:rPr>
                    <w:t>有毒有害和易燃易爆危险物质存储量超过临界量</w:t>
                  </w:r>
                  <w:r>
                    <w:rPr>
                      <w:rFonts w:hint="eastAsia"/>
                      <w:color w:val="auto"/>
                      <w:sz w:val="21"/>
                      <w:szCs w:val="21"/>
                      <w:vertAlign w:val="superscript"/>
                      <w:lang w:val="en-US" w:eastAsia="zh-CN"/>
                    </w:rPr>
                    <w:t>3</w:t>
                  </w:r>
                  <w:r>
                    <w:rPr>
                      <w:rFonts w:hint="eastAsia"/>
                      <w:color w:val="auto"/>
                      <w:sz w:val="21"/>
                      <w:szCs w:val="21"/>
                      <w:lang w:val="en-US" w:eastAsia="zh-CN"/>
                    </w:rPr>
                    <w:t>的建设项目</w:t>
                  </w:r>
                </w:p>
              </w:tc>
              <w:tc>
                <w:tcPr>
                  <w:tcW w:w="1869" w:type="pct"/>
                  <w:tcBorders>
                    <w:tl2br w:val="nil"/>
                    <w:tr2bl w:val="nil"/>
                  </w:tcBorders>
                  <w:noWrap w:val="0"/>
                  <w:vAlign w:val="center"/>
                </w:tcPr>
                <w:p w14:paraId="4AD4DCE0">
                  <w:pPr>
                    <w:bidi w:val="0"/>
                    <w:jc w:val="center"/>
                    <w:rPr>
                      <w:rFonts w:hint="default"/>
                      <w:color w:val="auto"/>
                      <w:sz w:val="21"/>
                      <w:szCs w:val="21"/>
                      <w:lang w:val="en-US" w:eastAsia="zh-CN"/>
                    </w:rPr>
                  </w:pPr>
                  <w:r>
                    <w:rPr>
                      <w:rFonts w:hint="eastAsia"/>
                      <w:color w:val="auto"/>
                      <w:sz w:val="21"/>
                      <w:szCs w:val="21"/>
                      <w:lang w:val="en-US" w:eastAsia="zh-CN"/>
                    </w:rPr>
                    <w:t>本项目</w:t>
                  </w:r>
                  <w:r>
                    <w:rPr>
                      <w:rFonts w:hint="default"/>
                      <w:color w:val="auto"/>
                      <w:sz w:val="21"/>
                      <w:szCs w:val="21"/>
                      <w:lang w:val="en-US" w:eastAsia="zh-CN"/>
                    </w:rPr>
                    <w:t>有毒有害和易燃易爆危险物质存储量超过临界量</w:t>
                  </w:r>
                </w:p>
              </w:tc>
              <w:tc>
                <w:tcPr>
                  <w:tcW w:w="592" w:type="pct"/>
                  <w:tcBorders>
                    <w:tl2br w:val="nil"/>
                    <w:tr2bl w:val="nil"/>
                  </w:tcBorders>
                  <w:noWrap w:val="0"/>
                  <w:vAlign w:val="center"/>
                </w:tcPr>
                <w:p w14:paraId="6738F104">
                  <w:pPr>
                    <w:bidi w:val="0"/>
                    <w:jc w:val="center"/>
                    <w:rPr>
                      <w:rFonts w:hint="default"/>
                      <w:color w:val="auto"/>
                      <w:sz w:val="21"/>
                      <w:szCs w:val="21"/>
                      <w:lang w:val="en-US" w:eastAsia="zh-CN"/>
                    </w:rPr>
                  </w:pPr>
                  <w:r>
                    <w:rPr>
                      <w:rFonts w:hint="eastAsia"/>
                      <w:color w:val="auto"/>
                      <w:sz w:val="21"/>
                      <w:szCs w:val="21"/>
                      <w:lang w:val="en-US" w:eastAsia="zh-CN"/>
                    </w:rPr>
                    <w:t>需要设置专项</w:t>
                  </w:r>
                </w:p>
              </w:tc>
            </w:tr>
            <w:tr w14:paraId="13EEB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4" w:type="pct"/>
                  <w:tcBorders>
                    <w:tl2br w:val="nil"/>
                    <w:tr2bl w:val="nil"/>
                  </w:tcBorders>
                  <w:noWrap w:val="0"/>
                  <w:vAlign w:val="center"/>
                </w:tcPr>
                <w:p w14:paraId="7D484A70">
                  <w:pPr>
                    <w:bidi w:val="0"/>
                    <w:jc w:val="center"/>
                    <w:rPr>
                      <w:rFonts w:hint="default"/>
                      <w:color w:val="auto"/>
                      <w:sz w:val="21"/>
                      <w:szCs w:val="21"/>
                      <w:lang w:val="en-US" w:eastAsia="zh-CN"/>
                    </w:rPr>
                  </w:pPr>
                  <w:r>
                    <w:rPr>
                      <w:rFonts w:hint="eastAsia"/>
                      <w:color w:val="auto"/>
                      <w:sz w:val="21"/>
                      <w:szCs w:val="21"/>
                      <w:lang w:val="en-US" w:eastAsia="zh-CN"/>
                    </w:rPr>
                    <w:t>生态</w:t>
                  </w:r>
                </w:p>
              </w:tc>
              <w:tc>
                <w:tcPr>
                  <w:tcW w:w="1883" w:type="pct"/>
                  <w:tcBorders>
                    <w:tl2br w:val="nil"/>
                    <w:tr2bl w:val="nil"/>
                  </w:tcBorders>
                  <w:noWrap w:val="0"/>
                  <w:vAlign w:val="center"/>
                </w:tcPr>
                <w:p w14:paraId="74E45396">
                  <w:pPr>
                    <w:bidi w:val="0"/>
                    <w:jc w:val="center"/>
                    <w:rPr>
                      <w:rFonts w:hint="default"/>
                      <w:color w:val="auto"/>
                      <w:sz w:val="21"/>
                      <w:szCs w:val="21"/>
                      <w:lang w:val="en-US" w:eastAsia="zh-CN"/>
                    </w:rPr>
                  </w:pPr>
                  <w:r>
                    <w:rPr>
                      <w:rFonts w:hint="eastAsia"/>
                      <w:color w:val="auto"/>
                      <w:sz w:val="21"/>
                      <w:szCs w:val="21"/>
                      <w:lang w:val="en-US" w:eastAsia="zh-CN"/>
                    </w:rPr>
                    <w:t>取水口下游500米范围内有重要水生生物的自然产卵场、索饵场、越冬场和洄游通道的新增河道取水的污染类建设项目</w:t>
                  </w:r>
                </w:p>
              </w:tc>
              <w:tc>
                <w:tcPr>
                  <w:tcW w:w="1869" w:type="pct"/>
                  <w:tcBorders>
                    <w:tl2br w:val="nil"/>
                    <w:tr2bl w:val="nil"/>
                  </w:tcBorders>
                  <w:noWrap w:val="0"/>
                  <w:vAlign w:val="center"/>
                </w:tcPr>
                <w:p w14:paraId="4E963880">
                  <w:pPr>
                    <w:bidi w:val="0"/>
                    <w:jc w:val="center"/>
                    <w:rPr>
                      <w:rFonts w:hint="default"/>
                      <w:color w:val="auto"/>
                      <w:sz w:val="21"/>
                      <w:szCs w:val="21"/>
                      <w:lang w:val="en-US" w:eastAsia="zh-CN"/>
                    </w:rPr>
                  </w:pPr>
                  <w:r>
                    <w:rPr>
                      <w:rFonts w:hint="eastAsia"/>
                      <w:color w:val="auto"/>
                      <w:sz w:val="21"/>
                      <w:szCs w:val="21"/>
                      <w:lang w:val="en-US" w:eastAsia="zh-CN"/>
                    </w:rPr>
                    <w:t>本项目不涉及</w:t>
                  </w:r>
                </w:p>
              </w:tc>
              <w:tc>
                <w:tcPr>
                  <w:tcW w:w="592" w:type="pct"/>
                  <w:tcBorders>
                    <w:tl2br w:val="nil"/>
                    <w:tr2bl w:val="nil"/>
                  </w:tcBorders>
                  <w:noWrap w:val="0"/>
                  <w:vAlign w:val="center"/>
                </w:tcPr>
                <w:p w14:paraId="0E26983E">
                  <w:pPr>
                    <w:bidi w:val="0"/>
                    <w:jc w:val="center"/>
                    <w:rPr>
                      <w:rFonts w:hint="default"/>
                      <w:color w:val="auto"/>
                      <w:sz w:val="21"/>
                      <w:szCs w:val="21"/>
                      <w:lang w:val="en-US" w:eastAsia="zh-CN"/>
                    </w:rPr>
                  </w:pPr>
                  <w:r>
                    <w:rPr>
                      <w:rFonts w:hint="eastAsia"/>
                      <w:color w:val="auto"/>
                      <w:sz w:val="21"/>
                      <w:szCs w:val="21"/>
                      <w:lang w:val="en-US" w:eastAsia="zh-CN"/>
                    </w:rPr>
                    <w:t>不需要设置专项</w:t>
                  </w:r>
                </w:p>
              </w:tc>
            </w:tr>
            <w:tr w14:paraId="18C5D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000" w:type="pct"/>
                  <w:gridSpan w:val="4"/>
                  <w:tcBorders>
                    <w:tl2br w:val="nil"/>
                    <w:tr2bl w:val="nil"/>
                  </w:tcBorders>
                  <w:noWrap w:val="0"/>
                  <w:vAlign w:val="center"/>
                </w:tcPr>
                <w:p w14:paraId="37C4EAE2">
                  <w:pPr>
                    <w:bidi w:val="0"/>
                    <w:jc w:val="center"/>
                    <w:rPr>
                      <w:rFonts w:hint="eastAsia"/>
                      <w:color w:val="auto"/>
                      <w:sz w:val="21"/>
                      <w:szCs w:val="21"/>
                      <w:lang w:val="en-US" w:eastAsia="zh-CN"/>
                    </w:rPr>
                  </w:pPr>
                  <w:r>
                    <w:rPr>
                      <w:rFonts w:hint="eastAsia"/>
                      <w:color w:val="auto"/>
                      <w:sz w:val="21"/>
                      <w:szCs w:val="21"/>
                      <w:lang w:val="en-US" w:eastAsia="zh-CN"/>
                    </w:rPr>
                    <w:t>注：1.废气中有毒有害污染物指纳入《有毒有害大气污染物名录》的污染物（不包括无排放标准的污染物）。2.环境空气保护目标指自然保护区、风景名胜区、居住区、文化区和农村地区中人群较集中的区域。3.临界量及其计算方法可参考《建设项目环境风险评价技术导则》（HJ169）附录B、附录C。</w:t>
                  </w:r>
                </w:p>
              </w:tc>
            </w:tr>
          </w:tbl>
          <w:p w14:paraId="214326E3">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both"/>
              <w:textAlignment w:val="auto"/>
              <w:rPr>
                <w:color w:val="auto"/>
                <w:kern w:val="0"/>
                <w:sz w:val="24"/>
              </w:rPr>
            </w:pPr>
            <w:r>
              <w:rPr>
                <w:rFonts w:hint="eastAsia"/>
                <w:color w:val="auto"/>
                <w:sz w:val="24"/>
                <w:szCs w:val="32"/>
                <w:highlight w:val="none"/>
                <w:lang w:val="en-US" w:eastAsia="zh-CN"/>
              </w:rPr>
              <w:t>因此本项目需要设置环境风险专项评价。</w:t>
            </w:r>
          </w:p>
        </w:tc>
      </w:tr>
      <w:tr w14:paraId="7A4150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69" w:type="dxa"/>
            <w:vAlign w:val="center"/>
          </w:tcPr>
          <w:p w14:paraId="1D4ACA88">
            <w:pPr>
              <w:autoSpaceDE w:val="0"/>
              <w:autoSpaceDN w:val="0"/>
              <w:spacing w:line="240" w:lineRule="auto"/>
              <w:jc w:val="center"/>
              <w:rPr>
                <w:rFonts w:ascii="Times New Roman" w:hAnsi="Times New Roman" w:eastAsia="宋体" w:cs="Times New Roman"/>
                <w:color w:val="auto"/>
                <w:kern w:val="0"/>
                <w:sz w:val="24"/>
                <w:highlight w:val="none"/>
              </w:rPr>
            </w:pPr>
            <w:r>
              <w:rPr>
                <w:rFonts w:ascii="Times New Roman" w:hAnsi="Times New Roman" w:eastAsia="宋体" w:cs="Times New Roman"/>
                <w:color w:val="auto"/>
                <w:kern w:val="0"/>
                <w:sz w:val="24"/>
                <w:highlight w:val="none"/>
              </w:rPr>
              <w:t>规划情况</w:t>
            </w:r>
          </w:p>
        </w:tc>
        <w:tc>
          <w:tcPr>
            <w:tcW w:w="7701" w:type="dxa"/>
            <w:gridSpan w:val="3"/>
            <w:vAlign w:val="center"/>
          </w:tcPr>
          <w:p w14:paraId="12963B49">
            <w:pPr>
              <w:autoSpaceDE w:val="0"/>
              <w:autoSpaceDN w:val="0"/>
              <w:spacing w:line="240" w:lineRule="auto"/>
              <w:jc w:val="left"/>
              <w:rPr>
                <w:rFonts w:hint="default" w:ascii="Times New Roman" w:hAnsi="Times New Roman" w:eastAsia="宋体" w:cs="Times New Roman"/>
                <w:color w:val="auto"/>
                <w:kern w:val="0"/>
                <w:sz w:val="24"/>
                <w:lang w:val="en-US" w:eastAsia="zh-CN"/>
              </w:rPr>
            </w:pPr>
            <w:r>
              <w:rPr>
                <w:rFonts w:hint="eastAsia" w:cs="Times New Roman"/>
                <w:color w:val="auto"/>
                <w:kern w:val="0"/>
                <w:sz w:val="24"/>
                <w:lang w:val="en-US" w:eastAsia="zh-CN"/>
              </w:rPr>
              <w:t>/</w:t>
            </w:r>
          </w:p>
        </w:tc>
      </w:tr>
      <w:tr w14:paraId="48CD4B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169" w:type="dxa"/>
            <w:vAlign w:val="center"/>
          </w:tcPr>
          <w:p w14:paraId="4BBB5FC2">
            <w:pPr>
              <w:adjustRightInd w:val="0"/>
              <w:snapToGrid w:val="0"/>
              <w:jc w:val="center"/>
              <w:rPr>
                <w:color w:val="auto"/>
                <w:sz w:val="24"/>
                <w:highlight w:val="none"/>
              </w:rPr>
            </w:pPr>
            <w:r>
              <w:rPr>
                <w:color w:val="auto"/>
                <w:sz w:val="24"/>
                <w:highlight w:val="none"/>
              </w:rPr>
              <w:t>规划环境影响</w:t>
            </w:r>
          </w:p>
          <w:p w14:paraId="1ED70F1D">
            <w:pPr>
              <w:adjustRightInd w:val="0"/>
              <w:snapToGrid w:val="0"/>
              <w:jc w:val="center"/>
              <w:rPr>
                <w:color w:val="auto"/>
                <w:kern w:val="0"/>
                <w:sz w:val="24"/>
                <w:highlight w:val="none"/>
              </w:rPr>
            </w:pPr>
            <w:r>
              <w:rPr>
                <w:color w:val="auto"/>
                <w:sz w:val="24"/>
                <w:highlight w:val="none"/>
              </w:rPr>
              <w:t>评价情况</w:t>
            </w:r>
          </w:p>
        </w:tc>
        <w:tc>
          <w:tcPr>
            <w:tcW w:w="7701" w:type="dxa"/>
            <w:gridSpan w:val="3"/>
            <w:vAlign w:val="center"/>
          </w:tcPr>
          <w:p w14:paraId="6013C61B">
            <w:pPr>
              <w:autoSpaceDE w:val="0"/>
              <w:autoSpaceDN w:val="0"/>
              <w:adjustRightInd w:val="0"/>
              <w:snapToGrid w:val="0"/>
              <w:spacing w:line="360" w:lineRule="auto"/>
              <w:rPr>
                <w:rFonts w:hint="eastAsia" w:eastAsia="宋体"/>
                <w:color w:val="auto"/>
                <w:kern w:val="0"/>
                <w:sz w:val="24"/>
                <w:lang w:val="en-US" w:eastAsia="zh-CN"/>
              </w:rPr>
            </w:pPr>
            <w:r>
              <w:rPr>
                <w:rFonts w:hint="eastAsia"/>
                <w:color w:val="auto"/>
                <w:kern w:val="0"/>
                <w:sz w:val="24"/>
                <w:lang w:val="en-US" w:eastAsia="zh-CN"/>
              </w:rPr>
              <w:t>/</w:t>
            </w:r>
          </w:p>
        </w:tc>
      </w:tr>
      <w:tr w14:paraId="65B9F2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1169" w:type="dxa"/>
            <w:vAlign w:val="center"/>
          </w:tcPr>
          <w:p w14:paraId="70E48DA7">
            <w:pPr>
              <w:autoSpaceDE w:val="0"/>
              <w:autoSpaceDN w:val="0"/>
              <w:adjustRightInd w:val="0"/>
              <w:snapToGrid w:val="0"/>
              <w:jc w:val="center"/>
              <w:rPr>
                <w:color w:val="auto"/>
                <w:kern w:val="0"/>
                <w:szCs w:val="21"/>
                <w:highlight w:val="none"/>
              </w:rPr>
            </w:pPr>
            <w:r>
              <w:rPr>
                <w:color w:val="auto"/>
                <w:kern w:val="0"/>
                <w:sz w:val="24"/>
                <w:highlight w:val="none"/>
              </w:rPr>
              <w:t>规划及规划环境影响评价符合性分析</w:t>
            </w:r>
          </w:p>
        </w:tc>
        <w:tc>
          <w:tcPr>
            <w:tcW w:w="7701" w:type="dxa"/>
            <w:gridSpan w:val="3"/>
            <w:vAlign w:val="center"/>
          </w:tcPr>
          <w:p w14:paraId="420FE0C4">
            <w:pPr>
              <w:autoSpaceDE w:val="0"/>
              <w:autoSpaceDN w:val="0"/>
              <w:adjustRightInd w:val="0"/>
              <w:snapToGrid w:val="0"/>
              <w:spacing w:line="360" w:lineRule="auto"/>
              <w:rPr>
                <w:rFonts w:hint="default" w:eastAsia="宋体"/>
                <w:color w:val="auto"/>
                <w:kern w:val="0"/>
                <w:sz w:val="24"/>
                <w:lang w:val="en-US" w:eastAsia="zh-CN"/>
              </w:rPr>
            </w:pPr>
            <w:r>
              <w:rPr>
                <w:rFonts w:hint="eastAsia"/>
                <w:color w:val="auto"/>
                <w:kern w:val="0"/>
                <w:sz w:val="24"/>
                <w:lang w:val="en-US" w:eastAsia="zh-CN"/>
              </w:rPr>
              <w:t>/</w:t>
            </w:r>
          </w:p>
        </w:tc>
      </w:tr>
      <w:tr w14:paraId="62CF10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82" w:hRule="atLeast"/>
          <w:jc w:val="center"/>
        </w:trPr>
        <w:tc>
          <w:tcPr>
            <w:tcW w:w="1169" w:type="dxa"/>
            <w:vAlign w:val="center"/>
          </w:tcPr>
          <w:p w14:paraId="66344C03">
            <w:pPr>
              <w:autoSpaceDE w:val="0"/>
              <w:autoSpaceDN w:val="0"/>
              <w:adjustRightInd w:val="0"/>
              <w:snapToGrid w:val="0"/>
              <w:jc w:val="center"/>
              <w:rPr>
                <w:color w:val="auto"/>
                <w:kern w:val="0"/>
                <w:sz w:val="24"/>
              </w:rPr>
            </w:pPr>
            <w:r>
              <w:rPr>
                <w:color w:val="auto"/>
                <w:kern w:val="0"/>
                <w:sz w:val="24"/>
              </w:rPr>
              <w:t>其他符合性分析</w:t>
            </w:r>
          </w:p>
        </w:tc>
        <w:tc>
          <w:tcPr>
            <w:tcW w:w="7701" w:type="dxa"/>
            <w:gridSpan w:val="3"/>
            <w:tcBorders>
              <w:bottom w:val="single" w:color="auto" w:sz="4" w:space="0"/>
              <w:right w:val="single" w:color="auto" w:sz="4" w:space="0"/>
            </w:tcBorders>
            <w:vAlign w:val="center"/>
          </w:tcPr>
          <w:p w14:paraId="63CC1358">
            <w:pPr>
              <w:autoSpaceDE w:val="0"/>
              <w:autoSpaceDN w:val="0"/>
              <w:adjustRightInd w:val="0"/>
              <w:snapToGrid w:val="0"/>
              <w:spacing w:line="360" w:lineRule="auto"/>
              <w:jc w:val="left"/>
              <w:rPr>
                <w:rFonts w:hint="eastAsia"/>
                <w:b/>
                <w:bCs/>
                <w:color w:val="auto"/>
                <w:sz w:val="24"/>
                <w:lang w:val="en-US" w:eastAsia="zh-CN"/>
              </w:rPr>
            </w:pPr>
            <w:r>
              <w:rPr>
                <w:rFonts w:hint="eastAsia"/>
                <w:b/>
                <w:bCs/>
                <w:color w:val="auto"/>
                <w:sz w:val="24"/>
                <w:lang w:val="en-US" w:eastAsia="zh-CN"/>
              </w:rPr>
              <w:t>1、与《东至县国土空间总体规划（2021—2035年）》、《东至县香隅镇国土空间总体规划（2021—2035 年）》的符合性分析</w:t>
            </w:r>
          </w:p>
          <w:p w14:paraId="382C9A9A">
            <w:pPr>
              <w:autoSpaceDE w:val="0"/>
              <w:autoSpaceDN w:val="0"/>
              <w:jc w:val="center"/>
              <w:rPr>
                <w:b/>
                <w:bCs/>
                <w:color w:val="auto"/>
                <w:sz w:val="24"/>
              </w:rPr>
            </w:pPr>
            <w:r>
              <w:rPr>
                <w:b/>
                <w:bCs/>
                <w:color w:val="auto"/>
                <w:sz w:val="21"/>
                <w:szCs w:val="21"/>
              </w:rPr>
              <w:t>表1-</w:t>
            </w:r>
            <w:r>
              <w:rPr>
                <w:rFonts w:hint="eastAsia"/>
                <w:b/>
                <w:bCs/>
                <w:color w:val="auto"/>
                <w:sz w:val="21"/>
                <w:szCs w:val="21"/>
                <w:lang w:val="en-US" w:eastAsia="zh-CN"/>
              </w:rPr>
              <w:t>2</w:t>
            </w:r>
            <w:r>
              <w:rPr>
                <w:b/>
                <w:bCs/>
                <w:color w:val="auto"/>
                <w:sz w:val="21"/>
                <w:szCs w:val="21"/>
              </w:rPr>
              <w:t xml:space="preserve"> 与</w:t>
            </w:r>
            <w:r>
              <w:rPr>
                <w:rFonts w:hint="eastAsia"/>
                <w:b/>
                <w:bCs/>
                <w:color w:val="auto"/>
                <w:sz w:val="21"/>
                <w:szCs w:val="21"/>
              </w:rPr>
              <w:t>《东至县国土空间总体规划（2021—2035年）》</w:t>
            </w:r>
            <w:r>
              <w:rPr>
                <w:rFonts w:hint="eastAsia"/>
                <w:b/>
                <w:bCs/>
                <w:color w:val="auto"/>
                <w:sz w:val="21"/>
                <w:szCs w:val="21"/>
                <w:lang w:eastAsia="zh-CN"/>
              </w:rPr>
              <w:t>的</w:t>
            </w:r>
            <w:r>
              <w:rPr>
                <w:b/>
                <w:bCs/>
                <w:color w:val="auto"/>
                <w:sz w:val="21"/>
                <w:szCs w:val="21"/>
              </w:rPr>
              <w:t>相符性分析</w:t>
            </w:r>
          </w:p>
          <w:tbl>
            <w:tblPr>
              <w:tblStyle w:val="2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4270"/>
              <w:gridCol w:w="2526"/>
            </w:tblGrid>
            <w:tr w14:paraId="5BCB8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 w:type="pct"/>
                  <w:vAlign w:val="center"/>
                </w:tcPr>
                <w:p w14:paraId="2A05178C">
                  <w:pPr>
                    <w:autoSpaceDE w:val="0"/>
                    <w:autoSpaceDN w:val="0"/>
                    <w:adjustRightInd w:val="0"/>
                    <w:jc w:val="center"/>
                    <w:rPr>
                      <w:rFonts w:hint="eastAsia"/>
                      <w:b/>
                      <w:bCs/>
                      <w:color w:val="auto"/>
                      <w:szCs w:val="21"/>
                    </w:rPr>
                  </w:pPr>
                  <w:r>
                    <w:rPr>
                      <w:rFonts w:hint="eastAsia"/>
                      <w:b/>
                      <w:bCs/>
                      <w:color w:val="auto"/>
                      <w:szCs w:val="21"/>
                    </w:rPr>
                    <w:t>序号</w:t>
                  </w:r>
                </w:p>
              </w:tc>
              <w:tc>
                <w:tcPr>
                  <w:tcW w:w="2794" w:type="pct"/>
                  <w:vAlign w:val="center"/>
                </w:tcPr>
                <w:p w14:paraId="2CF785A5">
                  <w:pPr>
                    <w:autoSpaceDE w:val="0"/>
                    <w:autoSpaceDN w:val="0"/>
                    <w:adjustRightInd w:val="0"/>
                    <w:jc w:val="center"/>
                    <w:rPr>
                      <w:rFonts w:hint="eastAsia" w:eastAsia="宋体"/>
                      <w:b/>
                      <w:bCs/>
                      <w:color w:val="auto"/>
                      <w:szCs w:val="21"/>
                      <w:lang w:eastAsia="zh-CN"/>
                    </w:rPr>
                  </w:pPr>
                  <w:r>
                    <w:rPr>
                      <w:rFonts w:hint="eastAsia"/>
                      <w:b/>
                      <w:bCs/>
                      <w:color w:val="auto"/>
                      <w:szCs w:val="21"/>
                      <w:lang w:eastAsia="zh-CN"/>
                    </w:rPr>
                    <w:t>规划文本</w:t>
                  </w:r>
                </w:p>
              </w:tc>
              <w:tc>
                <w:tcPr>
                  <w:tcW w:w="1653" w:type="pct"/>
                  <w:vAlign w:val="center"/>
                </w:tcPr>
                <w:p w14:paraId="0B78C7EB">
                  <w:pPr>
                    <w:autoSpaceDE w:val="0"/>
                    <w:autoSpaceDN w:val="0"/>
                    <w:adjustRightInd w:val="0"/>
                    <w:jc w:val="center"/>
                    <w:rPr>
                      <w:b/>
                      <w:bCs/>
                      <w:color w:val="auto"/>
                      <w:szCs w:val="21"/>
                    </w:rPr>
                  </w:pPr>
                  <w:r>
                    <w:rPr>
                      <w:rFonts w:hint="eastAsia"/>
                      <w:b/>
                      <w:bCs/>
                      <w:color w:val="auto"/>
                      <w:szCs w:val="21"/>
                    </w:rPr>
                    <w:t>符合性分析</w:t>
                  </w:r>
                </w:p>
              </w:tc>
            </w:tr>
            <w:tr w14:paraId="57E57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 w:type="pct"/>
                  <w:vAlign w:val="center"/>
                </w:tcPr>
                <w:p w14:paraId="40EC7049">
                  <w:pPr>
                    <w:autoSpaceDE w:val="0"/>
                    <w:autoSpaceDN w:val="0"/>
                    <w:adjustRightInd w:val="0"/>
                    <w:jc w:val="center"/>
                    <w:rPr>
                      <w:color w:val="auto"/>
                      <w:szCs w:val="21"/>
                    </w:rPr>
                  </w:pPr>
                  <w:r>
                    <w:rPr>
                      <w:rFonts w:hint="eastAsia"/>
                      <w:color w:val="auto"/>
                      <w:szCs w:val="21"/>
                    </w:rPr>
                    <w:t>1</w:t>
                  </w:r>
                </w:p>
              </w:tc>
              <w:tc>
                <w:tcPr>
                  <w:tcW w:w="2794" w:type="pct"/>
                  <w:shd w:val="clear" w:color="auto" w:fill="auto"/>
                  <w:vAlign w:val="center"/>
                </w:tcPr>
                <w:p w14:paraId="10C8F01B">
                  <w:pPr>
                    <w:autoSpaceDE w:val="0"/>
                    <w:autoSpaceDN w:val="0"/>
                    <w:adjustRightInd w:val="0"/>
                    <w:jc w:val="center"/>
                    <w:rPr>
                      <w:rFonts w:hint="eastAsia"/>
                      <w:color w:val="auto"/>
                      <w:szCs w:val="21"/>
                      <w:lang w:val="en-US" w:eastAsia="zh-CN"/>
                    </w:rPr>
                  </w:pPr>
                  <w:r>
                    <w:rPr>
                      <w:rFonts w:hint="eastAsia"/>
                      <w:color w:val="auto"/>
                      <w:szCs w:val="21"/>
                    </w:rPr>
                    <w:t>优化整合县域产业园区。引导产业用地向园区集中，满足东至经济开发区、大渡口经济开发区（安徽石台经济开发区）的工业用地发展需求，保障已列入省重点建设项目清单、符合园区发展方向、产业名录的重大产业项目建设空间，精准配置香隅镇、大渡口镇、胜利镇等工业型重点镇的新增工业用地，合理满足非金属矿精深加工、智能装备制造、农产品加工等特色制造业用地需求，提高园区工业用地占比。</w:t>
                  </w:r>
                </w:p>
              </w:tc>
              <w:tc>
                <w:tcPr>
                  <w:tcW w:w="1653" w:type="pct"/>
                  <w:shd w:val="clear" w:color="auto" w:fill="auto"/>
                  <w:vAlign w:val="center"/>
                </w:tcPr>
                <w:p w14:paraId="072D6D8B">
                  <w:pPr>
                    <w:autoSpaceDE w:val="0"/>
                    <w:autoSpaceDN w:val="0"/>
                    <w:adjustRightInd w:val="0"/>
                    <w:jc w:val="center"/>
                    <w:rPr>
                      <w:rFonts w:hint="eastAsia"/>
                      <w:color w:val="auto"/>
                      <w:szCs w:val="21"/>
                      <w:lang w:val="en-US" w:eastAsia="zh-CN"/>
                    </w:rPr>
                  </w:pPr>
                  <w:r>
                    <w:rPr>
                      <w:rFonts w:hint="eastAsia"/>
                      <w:color w:val="auto"/>
                      <w:szCs w:val="21"/>
                      <w:lang w:eastAsia="zh-CN"/>
                    </w:rPr>
                    <w:t>本项目位于香隅镇，项目用地为工业用地，东至县自规局以</w:t>
                  </w:r>
                  <w:r>
                    <w:rPr>
                      <w:rFonts w:hint="eastAsia"/>
                      <w:color w:val="auto"/>
                      <w:szCs w:val="21"/>
                      <w:lang w:val="en-US" w:eastAsia="zh-CN"/>
                    </w:rPr>
                    <w:t>皖（2025）东至县不动产权第0009587批复了项目用地规划许可。</w:t>
                  </w:r>
                </w:p>
              </w:tc>
            </w:tr>
          </w:tbl>
          <w:p w14:paraId="1215A306">
            <w:pPr>
              <w:autoSpaceDE w:val="0"/>
              <w:autoSpaceDN w:val="0"/>
              <w:jc w:val="center"/>
              <w:rPr>
                <w:b/>
                <w:bCs/>
                <w:color w:val="auto"/>
                <w:sz w:val="24"/>
              </w:rPr>
            </w:pPr>
            <w:r>
              <w:rPr>
                <w:rFonts w:hint="eastAsia"/>
                <w:b/>
                <w:bCs/>
                <w:color w:val="auto"/>
                <w:sz w:val="21"/>
                <w:szCs w:val="21"/>
                <w:lang w:val="en-US" w:eastAsia="zh-CN"/>
              </w:rPr>
              <w:t>表1-3</w:t>
            </w:r>
            <w:r>
              <w:rPr>
                <w:b/>
                <w:bCs/>
                <w:color w:val="auto"/>
                <w:sz w:val="21"/>
                <w:szCs w:val="21"/>
              </w:rPr>
              <w:t>与</w:t>
            </w:r>
            <w:r>
              <w:rPr>
                <w:rFonts w:hint="eastAsia"/>
                <w:b/>
                <w:bCs/>
                <w:color w:val="auto"/>
                <w:sz w:val="21"/>
                <w:szCs w:val="21"/>
              </w:rPr>
              <w:t>《东至县香隅镇国土空间总体规划（2021—2035 年）》</w:t>
            </w:r>
            <w:r>
              <w:rPr>
                <w:rFonts w:hint="eastAsia"/>
                <w:b/>
                <w:bCs/>
                <w:color w:val="auto"/>
                <w:sz w:val="21"/>
                <w:szCs w:val="21"/>
                <w:lang w:eastAsia="zh-CN"/>
              </w:rPr>
              <w:t>的</w:t>
            </w:r>
            <w:r>
              <w:rPr>
                <w:b/>
                <w:bCs/>
                <w:color w:val="auto"/>
                <w:sz w:val="21"/>
                <w:szCs w:val="21"/>
              </w:rPr>
              <w:t>相符性分析</w:t>
            </w:r>
          </w:p>
          <w:tbl>
            <w:tblPr>
              <w:tblStyle w:val="2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4270"/>
              <w:gridCol w:w="2526"/>
            </w:tblGrid>
            <w:tr w14:paraId="35855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 w:type="pct"/>
                  <w:vAlign w:val="center"/>
                </w:tcPr>
                <w:p w14:paraId="389B5D09">
                  <w:pPr>
                    <w:autoSpaceDE w:val="0"/>
                    <w:autoSpaceDN w:val="0"/>
                    <w:adjustRightInd w:val="0"/>
                    <w:jc w:val="center"/>
                    <w:rPr>
                      <w:rFonts w:hint="eastAsia"/>
                      <w:b/>
                      <w:bCs/>
                      <w:color w:val="auto"/>
                      <w:szCs w:val="21"/>
                    </w:rPr>
                  </w:pPr>
                  <w:r>
                    <w:rPr>
                      <w:rFonts w:hint="eastAsia"/>
                      <w:b/>
                      <w:bCs/>
                      <w:color w:val="auto"/>
                      <w:szCs w:val="21"/>
                    </w:rPr>
                    <w:t>序号</w:t>
                  </w:r>
                </w:p>
              </w:tc>
              <w:tc>
                <w:tcPr>
                  <w:tcW w:w="2794" w:type="pct"/>
                  <w:vAlign w:val="center"/>
                </w:tcPr>
                <w:p w14:paraId="4F3B4CEC">
                  <w:pPr>
                    <w:autoSpaceDE w:val="0"/>
                    <w:autoSpaceDN w:val="0"/>
                    <w:adjustRightInd w:val="0"/>
                    <w:jc w:val="center"/>
                    <w:rPr>
                      <w:rFonts w:hint="eastAsia" w:eastAsia="宋体"/>
                      <w:b/>
                      <w:bCs/>
                      <w:color w:val="auto"/>
                      <w:szCs w:val="21"/>
                      <w:lang w:eastAsia="zh-CN"/>
                    </w:rPr>
                  </w:pPr>
                  <w:r>
                    <w:rPr>
                      <w:rFonts w:hint="eastAsia"/>
                      <w:b/>
                      <w:bCs/>
                      <w:color w:val="auto"/>
                      <w:szCs w:val="21"/>
                      <w:lang w:eastAsia="zh-CN"/>
                    </w:rPr>
                    <w:t>规划文本</w:t>
                  </w:r>
                </w:p>
              </w:tc>
              <w:tc>
                <w:tcPr>
                  <w:tcW w:w="1653" w:type="pct"/>
                  <w:vAlign w:val="center"/>
                </w:tcPr>
                <w:p w14:paraId="6B36DA50">
                  <w:pPr>
                    <w:autoSpaceDE w:val="0"/>
                    <w:autoSpaceDN w:val="0"/>
                    <w:adjustRightInd w:val="0"/>
                    <w:jc w:val="center"/>
                    <w:rPr>
                      <w:b/>
                      <w:bCs/>
                      <w:color w:val="auto"/>
                      <w:szCs w:val="21"/>
                    </w:rPr>
                  </w:pPr>
                  <w:r>
                    <w:rPr>
                      <w:rFonts w:hint="eastAsia"/>
                      <w:b/>
                      <w:bCs/>
                      <w:color w:val="auto"/>
                      <w:szCs w:val="21"/>
                    </w:rPr>
                    <w:t>符合性分析</w:t>
                  </w:r>
                </w:p>
              </w:tc>
            </w:tr>
            <w:tr w14:paraId="762FB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 w:type="pct"/>
                  <w:vAlign w:val="center"/>
                </w:tcPr>
                <w:p w14:paraId="0FE29B93">
                  <w:pPr>
                    <w:autoSpaceDE w:val="0"/>
                    <w:autoSpaceDN w:val="0"/>
                    <w:adjustRightInd w:val="0"/>
                    <w:jc w:val="center"/>
                    <w:rPr>
                      <w:color w:val="auto"/>
                      <w:szCs w:val="21"/>
                    </w:rPr>
                  </w:pPr>
                  <w:r>
                    <w:rPr>
                      <w:rFonts w:hint="eastAsia"/>
                      <w:color w:val="auto"/>
                      <w:szCs w:val="21"/>
                    </w:rPr>
                    <w:t>1</w:t>
                  </w:r>
                </w:p>
              </w:tc>
              <w:tc>
                <w:tcPr>
                  <w:tcW w:w="2794" w:type="pct"/>
                  <w:shd w:val="clear" w:color="auto" w:fill="auto"/>
                  <w:vAlign w:val="center"/>
                </w:tcPr>
                <w:p w14:paraId="150D188E">
                  <w:pPr>
                    <w:autoSpaceDE w:val="0"/>
                    <w:autoSpaceDN w:val="0"/>
                    <w:adjustRightInd w:val="0"/>
                    <w:jc w:val="center"/>
                    <w:rPr>
                      <w:rFonts w:hint="eastAsia"/>
                      <w:color w:val="auto"/>
                      <w:szCs w:val="21"/>
                      <w:lang w:val="en-US" w:eastAsia="zh-CN"/>
                    </w:rPr>
                  </w:pPr>
                  <w:r>
                    <w:rPr>
                      <w:rFonts w:hint="eastAsia"/>
                      <w:color w:val="auto"/>
                      <w:szCs w:val="21"/>
                      <w:lang w:val="en-US" w:eastAsia="zh-CN"/>
                    </w:rPr>
                    <w:t>工业用地 1253.88 公顷，主要为东至经开区化工园；镇域范围内布局的农产品加工基地、非化工业园等项目。</w:t>
                  </w:r>
                </w:p>
              </w:tc>
              <w:tc>
                <w:tcPr>
                  <w:tcW w:w="2526" w:type="dxa"/>
                  <w:shd w:val="clear" w:color="auto" w:fill="auto"/>
                  <w:vAlign w:val="center"/>
                </w:tcPr>
                <w:p w14:paraId="3E83A648">
                  <w:pPr>
                    <w:autoSpaceDE w:val="0"/>
                    <w:autoSpaceDN w:val="0"/>
                    <w:adjustRightInd w:val="0"/>
                    <w:jc w:val="center"/>
                    <w:rPr>
                      <w:rFonts w:hint="eastAsia"/>
                      <w:color w:val="auto"/>
                      <w:szCs w:val="21"/>
                      <w:lang w:val="en-US" w:eastAsia="zh-CN"/>
                    </w:rPr>
                  </w:pPr>
                  <w:r>
                    <w:rPr>
                      <w:rFonts w:hint="eastAsia"/>
                      <w:color w:val="auto"/>
                      <w:szCs w:val="21"/>
                      <w:lang w:eastAsia="zh-CN"/>
                    </w:rPr>
                    <w:t>本项目位于香隅镇，项目用地为工业用地，东至县自规局以</w:t>
                  </w:r>
                  <w:r>
                    <w:rPr>
                      <w:rFonts w:hint="eastAsia"/>
                      <w:color w:val="auto"/>
                      <w:szCs w:val="21"/>
                      <w:lang w:val="en-US" w:eastAsia="zh-CN"/>
                    </w:rPr>
                    <w:t>皖（2025）东至县不动产权第0009587批复了项目用地规划许可，属于非化工业园项目。</w:t>
                  </w:r>
                </w:p>
              </w:tc>
            </w:tr>
          </w:tbl>
          <w:p w14:paraId="09C1978C">
            <w:pPr>
              <w:autoSpaceDE w:val="0"/>
              <w:autoSpaceDN w:val="0"/>
              <w:adjustRightInd w:val="0"/>
              <w:snapToGrid w:val="0"/>
              <w:spacing w:line="360" w:lineRule="auto"/>
              <w:jc w:val="left"/>
              <w:rPr>
                <w:b/>
                <w:bCs/>
                <w:color w:val="auto"/>
                <w:sz w:val="24"/>
              </w:rPr>
            </w:pPr>
            <w:r>
              <w:rPr>
                <w:rFonts w:hint="eastAsia"/>
                <w:b/>
                <w:bCs/>
                <w:color w:val="auto"/>
                <w:sz w:val="24"/>
                <w:lang w:val="en-US" w:eastAsia="zh-CN"/>
              </w:rPr>
              <w:t>2</w:t>
            </w:r>
            <w:r>
              <w:rPr>
                <w:b/>
                <w:bCs/>
                <w:color w:val="auto"/>
                <w:sz w:val="24"/>
              </w:rPr>
              <w:t>、项目产业政策符合性分析</w:t>
            </w:r>
          </w:p>
          <w:p w14:paraId="1370240C">
            <w:pPr>
              <w:autoSpaceDE w:val="0"/>
              <w:autoSpaceDN w:val="0"/>
              <w:adjustRightInd w:val="0"/>
              <w:snapToGrid w:val="0"/>
              <w:spacing w:line="360" w:lineRule="auto"/>
              <w:ind w:firstLine="480" w:firstLineChars="200"/>
              <w:jc w:val="left"/>
              <w:rPr>
                <w:color w:val="auto"/>
                <w:sz w:val="24"/>
              </w:rPr>
            </w:pPr>
            <w:r>
              <w:rPr>
                <w:color w:val="auto"/>
                <w:sz w:val="24"/>
              </w:rPr>
              <w:t>本项目已获得</w:t>
            </w:r>
            <w:r>
              <w:rPr>
                <w:rFonts w:hint="eastAsia"/>
                <w:color w:val="auto"/>
                <w:sz w:val="24"/>
                <w:lang w:eastAsia="zh-CN"/>
              </w:rPr>
              <w:t>东至县发展和改革委员会备案</w:t>
            </w:r>
            <w:r>
              <w:rPr>
                <w:color w:val="auto"/>
                <w:sz w:val="24"/>
              </w:rPr>
              <w:t>。根据《国民经济行业分类》（GB/T4754-2017），本项目属</w:t>
            </w:r>
            <w:r>
              <w:rPr>
                <w:rFonts w:hint="eastAsia"/>
                <w:color w:val="auto"/>
                <w:sz w:val="24"/>
              </w:rPr>
              <w:t>N7820 环境卫生管理</w:t>
            </w:r>
            <w:r>
              <w:rPr>
                <w:color w:val="auto"/>
                <w:sz w:val="24"/>
              </w:rPr>
              <w:t>。项目为</w:t>
            </w:r>
            <w:r>
              <w:rPr>
                <w:rFonts w:hint="eastAsia"/>
                <w:color w:val="auto"/>
                <w:sz w:val="24"/>
                <w:lang w:eastAsia="zh-CN"/>
              </w:rPr>
              <w:t>新建</w:t>
            </w:r>
            <w:r>
              <w:rPr>
                <w:color w:val="auto"/>
                <w:sz w:val="24"/>
              </w:rPr>
              <w:t>项目，参照《产业结构调整指导目录（20</w:t>
            </w:r>
            <w:r>
              <w:rPr>
                <w:rFonts w:hint="eastAsia"/>
                <w:color w:val="auto"/>
                <w:sz w:val="24"/>
              </w:rPr>
              <w:t>24</w:t>
            </w:r>
            <w:r>
              <w:rPr>
                <w:color w:val="auto"/>
                <w:sz w:val="24"/>
              </w:rPr>
              <w:t>年本）》，本项目属于</w:t>
            </w:r>
            <w:r>
              <w:rPr>
                <w:rFonts w:hint="eastAsia"/>
                <w:color w:val="auto"/>
                <w:sz w:val="24"/>
                <w:lang w:eastAsia="zh-CN"/>
              </w:rPr>
              <w:t>“</w:t>
            </w:r>
            <w:r>
              <w:rPr>
                <w:color w:val="auto"/>
                <w:sz w:val="24"/>
              </w:rPr>
              <w:t>鼓励类</w:t>
            </w:r>
            <w:r>
              <w:rPr>
                <w:rFonts w:hint="eastAsia"/>
                <w:color w:val="auto"/>
                <w:sz w:val="24"/>
                <w:lang w:eastAsia="zh-CN"/>
              </w:rPr>
              <w:t>”中的“四十二、、环境保护与资源节约综合利用”中的“……</w:t>
            </w:r>
            <w:r>
              <w:rPr>
                <w:rFonts w:hint="eastAsia"/>
                <w:color w:val="auto"/>
                <w:sz w:val="24"/>
              </w:rPr>
              <w:t>厨废弃物资源化利用技术开发及设施建设，垃圾分类技术、设备、设施，城镇、农村分布式小型化有机垃圾处理技术开发，污水处理厂污泥协同处置工程”</w:t>
            </w:r>
            <w:r>
              <w:rPr>
                <w:color w:val="auto"/>
                <w:sz w:val="24"/>
              </w:rPr>
              <w:t>。因此，项目符合国家产业政策要求。</w:t>
            </w:r>
          </w:p>
          <w:p w14:paraId="050A3E5E">
            <w:pPr>
              <w:adjustRightInd w:val="0"/>
              <w:snapToGrid w:val="0"/>
              <w:spacing w:line="360" w:lineRule="auto"/>
              <w:rPr>
                <w:b/>
                <w:bCs/>
                <w:color w:val="auto"/>
                <w:sz w:val="24"/>
              </w:rPr>
            </w:pPr>
            <w:r>
              <w:rPr>
                <w:rFonts w:hint="eastAsia"/>
                <w:b/>
                <w:bCs/>
                <w:color w:val="auto"/>
                <w:sz w:val="24"/>
                <w:lang w:val="en-US" w:eastAsia="zh-CN"/>
              </w:rPr>
              <w:t>3</w:t>
            </w:r>
            <w:r>
              <w:rPr>
                <w:b/>
                <w:bCs/>
                <w:color w:val="auto"/>
                <w:sz w:val="24"/>
              </w:rPr>
              <w:t>、选址符合性分析</w:t>
            </w:r>
          </w:p>
          <w:p w14:paraId="067223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rPr>
            </w:pPr>
            <w:r>
              <w:rPr>
                <w:rFonts w:hint="eastAsia"/>
                <w:color w:val="auto"/>
                <w:sz w:val="24"/>
              </w:rPr>
              <w:t>本项目位于</w:t>
            </w:r>
            <w:r>
              <w:rPr>
                <w:rFonts w:hint="eastAsia"/>
                <w:color w:val="auto"/>
                <w:sz w:val="24"/>
                <w:lang w:eastAsia="zh-CN"/>
              </w:rPr>
              <w:t>安徽东至经济开发区（不在园区规划范围内，属于开发区管辖范围）</w:t>
            </w:r>
            <w:r>
              <w:rPr>
                <w:rFonts w:hint="eastAsia"/>
                <w:color w:val="auto"/>
                <w:sz w:val="24"/>
              </w:rPr>
              <w:t>，</w:t>
            </w:r>
            <w:r>
              <w:rPr>
                <w:rFonts w:hint="eastAsia"/>
                <w:color w:val="auto"/>
                <w:sz w:val="24"/>
                <w:lang w:eastAsia="zh-CN"/>
              </w:rPr>
              <w:t>根据附件</w:t>
            </w:r>
            <w:r>
              <w:rPr>
                <w:rFonts w:hint="eastAsia"/>
                <w:color w:val="auto"/>
                <w:sz w:val="24"/>
                <w:lang w:val="en-US" w:eastAsia="zh-CN"/>
              </w:rPr>
              <w:t>3的土地规划通知书、规划许可证</w:t>
            </w:r>
            <w:r>
              <w:rPr>
                <w:rFonts w:hint="eastAsia"/>
                <w:color w:val="auto"/>
                <w:sz w:val="24"/>
              </w:rPr>
              <w:t>，</w:t>
            </w:r>
            <w:r>
              <w:rPr>
                <w:rFonts w:hint="eastAsia"/>
                <w:color w:val="auto"/>
                <w:sz w:val="24"/>
                <w:lang w:eastAsia="zh-CN"/>
              </w:rPr>
              <w:t>项目用地为工业用地，项目南侧为乡村道路，北侧为空地，西侧为空地，东侧为东至海创环境科技有限公司。</w:t>
            </w:r>
            <w:r>
              <w:rPr>
                <w:rFonts w:hint="eastAsia"/>
                <w:color w:val="auto"/>
                <w:sz w:val="24"/>
              </w:rPr>
              <w:t>项目符合规划用地性质。</w:t>
            </w:r>
          </w:p>
          <w:p w14:paraId="393B0CF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olor w:val="auto"/>
                <w:sz w:val="24"/>
                <w:szCs w:val="24"/>
                <w:lang w:eastAsia="zh-CN"/>
              </w:rPr>
            </w:pPr>
            <w:r>
              <w:rPr>
                <w:color w:val="auto"/>
                <w:sz w:val="24"/>
              </w:rPr>
              <mc:AlternateContent>
                <mc:Choice Requires="wps">
                  <w:drawing>
                    <wp:anchor distT="0" distB="0" distL="114300" distR="114300" simplePos="0" relativeHeight="251664384" behindDoc="0" locked="0" layoutInCell="1" allowOverlap="1">
                      <wp:simplePos x="0" y="0"/>
                      <wp:positionH relativeFrom="column">
                        <wp:posOffset>4133850</wp:posOffset>
                      </wp:positionH>
                      <wp:positionV relativeFrom="paragraph">
                        <wp:posOffset>28575</wp:posOffset>
                      </wp:positionV>
                      <wp:extent cx="587375" cy="539750"/>
                      <wp:effectExtent l="4445" t="4445" r="17780" b="8255"/>
                      <wp:wrapNone/>
                      <wp:docPr id="8" name="文本框 8"/>
                      <wp:cNvGraphicFramePr/>
                      <a:graphic xmlns:a="http://schemas.openxmlformats.org/drawingml/2006/main">
                        <a:graphicData uri="http://schemas.microsoft.com/office/word/2010/wordprocessingShape">
                          <wps:wsp>
                            <wps:cNvSpPr txBox="1"/>
                            <wps:spPr>
                              <a:xfrm>
                                <a:off x="5867400" y="4859020"/>
                                <a:ext cx="587375" cy="5397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75BEA0E">
                                  <w:r>
                                    <w:rPr>
                                      <w:rFonts w:hint="eastAsia" w:eastAsiaTheme="minorEastAsia"/>
                                      <w:lang w:eastAsia="zh-CN"/>
                                    </w:rPr>
                                    <w:drawing>
                                      <wp:inline distT="0" distB="0" distL="114300" distR="114300">
                                        <wp:extent cx="493395" cy="411480"/>
                                        <wp:effectExtent l="0" t="0" r="1905" b="7620"/>
                                        <wp:docPr id="13" name="图片 13" descr="812bc9806fce32d5114afc4752fb84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812bc9806fce32d5114afc4752fb84ab"/>
                                                <pic:cNvPicPr>
                                                  <a:picLocks noChangeAspect="1"/>
                                                </pic:cNvPicPr>
                                              </pic:nvPicPr>
                                              <pic:blipFill>
                                                <a:blip r:embed="rId8"/>
                                                <a:stretch>
                                                  <a:fillRect/>
                                                </a:stretch>
                                              </pic:blipFill>
                                              <pic:spPr>
                                                <a:xfrm>
                                                  <a:off x="0" y="0"/>
                                                  <a:ext cx="493395" cy="4114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5.5pt;margin-top:2.25pt;height:42.5pt;width:46.25pt;z-index:251664384;mso-width-relative:page;mso-height-relative:page;" fillcolor="#FFFFFF [3201]" filled="t" stroked="t" coordsize="21600,21600" o:gfxdata="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Ajcy6J1gAAAAgBAAAPAAAAAAAAAAEAIAAAACIAAABkcnMvZG93bnJldi54bWxQSwECFAAUAAAA&#10;CACHTuJA1kZI1WICAADCBAAADgAAAAAAAAABACAAAAAlAQAAZHJzL2Uyb0RvYy54bWxQSwUGAAAA&#10;AAYABgBZAQAA+QUAAAAA&#10;">
                      <v:fill on="t" focussize="0,0"/>
                      <v:stroke weight="0.5pt" color="#000000 [3204]" joinstyle="round"/>
                      <v:imagedata o:title=""/>
                      <o:lock v:ext="edit" aspectratio="f"/>
                      <v:textbox>
                        <w:txbxContent>
                          <w:p w14:paraId="175BEA0E">
                            <w:r>
                              <w:rPr>
                                <w:rFonts w:hint="eastAsia" w:eastAsiaTheme="minorEastAsia"/>
                                <w:lang w:eastAsia="zh-CN"/>
                              </w:rPr>
                              <w:drawing>
                                <wp:inline distT="0" distB="0" distL="114300" distR="114300">
                                  <wp:extent cx="493395" cy="411480"/>
                                  <wp:effectExtent l="0" t="0" r="1905" b="7620"/>
                                  <wp:docPr id="13" name="图片 13" descr="812bc9806fce32d5114afc4752fb84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812bc9806fce32d5114afc4752fb84ab"/>
                                          <pic:cNvPicPr>
                                            <a:picLocks noChangeAspect="1"/>
                                          </pic:cNvPicPr>
                                        </pic:nvPicPr>
                                        <pic:blipFill>
                                          <a:blip r:embed="rId8"/>
                                          <a:stretch>
                                            <a:fillRect/>
                                          </a:stretch>
                                        </pic:blipFill>
                                        <pic:spPr>
                                          <a:xfrm>
                                            <a:off x="0" y="0"/>
                                            <a:ext cx="493395" cy="411480"/>
                                          </a:xfrm>
                                          <a:prstGeom prst="rect">
                                            <a:avLst/>
                                          </a:prstGeom>
                                        </pic:spPr>
                                      </pic:pic>
                                    </a:graphicData>
                                  </a:graphic>
                                </wp:inline>
                              </w:drawing>
                            </w:r>
                          </w:p>
                        </w:txbxContent>
                      </v:textbox>
                    </v:shape>
                  </w:pict>
                </mc:Fallback>
              </mc:AlternateContent>
            </w:r>
            <w:r>
              <w:rPr>
                <w:color w:val="auto"/>
                <w:sz w:val="24"/>
              </w:rPr>
              <mc:AlternateContent>
                <mc:Choice Requires="wps">
                  <w:drawing>
                    <wp:anchor distT="0" distB="0" distL="114300" distR="114300" simplePos="0" relativeHeight="251665408" behindDoc="0" locked="0" layoutInCell="1" allowOverlap="1">
                      <wp:simplePos x="0" y="0"/>
                      <wp:positionH relativeFrom="column">
                        <wp:posOffset>2446020</wp:posOffset>
                      </wp:positionH>
                      <wp:positionV relativeFrom="paragraph">
                        <wp:posOffset>723265</wp:posOffset>
                      </wp:positionV>
                      <wp:extent cx="611505" cy="469900"/>
                      <wp:effectExtent l="4445" t="4445" r="12700" b="20955"/>
                      <wp:wrapNone/>
                      <wp:docPr id="9" name="文本框 9"/>
                      <wp:cNvGraphicFramePr/>
                      <a:graphic xmlns:a="http://schemas.openxmlformats.org/drawingml/2006/main">
                        <a:graphicData uri="http://schemas.microsoft.com/office/word/2010/wordprocessingShape">
                          <wps:wsp>
                            <wps:cNvSpPr txBox="1"/>
                            <wps:spPr>
                              <a:xfrm>
                                <a:off x="4097020" y="5756275"/>
                                <a:ext cx="611505" cy="4699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76731F7">
                                  <w:pPr>
                                    <w:rPr>
                                      <w:rFonts w:hint="eastAsia" w:eastAsia="宋体"/>
                                      <w:lang w:eastAsia="zh-CN"/>
                                    </w:rPr>
                                  </w:pPr>
                                  <w:r>
                                    <w:rPr>
                                      <w:rFonts w:hint="eastAsia"/>
                                      <w:lang w:eastAsia="zh-CN"/>
                                    </w:rPr>
                                    <w:t>东至海创</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2.6pt;margin-top:56.95pt;height:37pt;width:48.15pt;z-index:251665408;mso-width-relative:page;mso-height-relative:page;" fillcolor="#FFFFFF [3201]" filled="t" stroked="t" coordsize="21600,21600" o:gfxdata="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KivQn7XAAAACwEAAA8AAAAAAAAAAQAgAAAAIgAAAGRycy9kb3ducmV2LnhtbFBLAQIU&#10;ABQAAAAIAIdO4kBHrHAdZgIAAMIEAAAOAAAAAAAAAAEAIAAAACYBAABkcnMvZTJvRG9jLnhtbFBL&#10;BQYAAAAABgAGAFkBAAD+BQAAAAA=&#10;">
                      <v:fill on="t" focussize="0,0"/>
                      <v:stroke weight="0.5pt" color="#000000 [3204]" joinstyle="round"/>
                      <v:imagedata o:title=""/>
                      <o:lock v:ext="edit" aspectratio="f"/>
                      <v:textbox>
                        <w:txbxContent>
                          <w:p w14:paraId="776731F7">
                            <w:pPr>
                              <w:rPr>
                                <w:rFonts w:hint="eastAsia" w:eastAsia="宋体"/>
                                <w:lang w:eastAsia="zh-CN"/>
                              </w:rPr>
                            </w:pPr>
                            <w:r>
                              <w:rPr>
                                <w:rFonts w:hint="eastAsia"/>
                                <w:lang w:eastAsia="zh-CN"/>
                              </w:rPr>
                              <w:t>东至海创</w:t>
                            </w:r>
                          </w:p>
                        </w:txbxContent>
                      </v:textbox>
                    </v:shape>
                  </w:pict>
                </mc:Fallback>
              </mc:AlternateContent>
            </w:r>
            <w:r>
              <w:rPr>
                <w:rFonts w:hint="eastAsia" w:eastAsia="宋体"/>
                <w:color w:val="auto"/>
                <w:sz w:val="24"/>
                <w:szCs w:val="24"/>
                <w:lang w:eastAsia="zh-CN"/>
              </w:rPr>
              <w:drawing>
                <wp:inline distT="0" distB="0" distL="114300" distR="114300">
                  <wp:extent cx="4744085" cy="3341370"/>
                  <wp:effectExtent l="0" t="0" r="18415" b="11430"/>
                  <wp:docPr id="2" name="图片 2" descr="7f9ffe4f-b374-4aef-b0b6-8a6a6e12aa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7f9ffe4f-b374-4aef-b0b6-8a6a6e12aa64"/>
                          <pic:cNvPicPr>
                            <a:picLocks noChangeAspect="1"/>
                          </pic:cNvPicPr>
                        </pic:nvPicPr>
                        <pic:blipFill>
                          <a:blip r:embed="rId9"/>
                          <a:stretch>
                            <a:fillRect/>
                          </a:stretch>
                        </pic:blipFill>
                        <pic:spPr>
                          <a:xfrm>
                            <a:off x="0" y="0"/>
                            <a:ext cx="4744085" cy="3341370"/>
                          </a:xfrm>
                          <a:prstGeom prst="rect">
                            <a:avLst/>
                          </a:prstGeom>
                        </pic:spPr>
                      </pic:pic>
                    </a:graphicData>
                  </a:graphic>
                </wp:inline>
              </w:drawing>
            </w:r>
          </w:p>
          <w:p w14:paraId="7B7CE5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eastAsia="宋体"/>
                <w:b/>
                <w:bCs/>
                <w:color w:val="auto"/>
                <w:sz w:val="24"/>
                <w:szCs w:val="24"/>
                <w:lang w:val="en-US" w:eastAsia="zh-CN"/>
              </w:rPr>
            </w:pPr>
            <w:r>
              <w:rPr>
                <w:rFonts w:hint="eastAsia"/>
                <w:b/>
                <w:bCs/>
                <w:color w:val="auto"/>
                <w:sz w:val="24"/>
                <w:szCs w:val="24"/>
                <w:lang w:eastAsia="zh-CN"/>
              </w:rPr>
              <w:t>图</w:t>
            </w:r>
            <w:r>
              <w:rPr>
                <w:rFonts w:hint="eastAsia"/>
                <w:b/>
                <w:bCs/>
                <w:color w:val="auto"/>
                <w:sz w:val="24"/>
                <w:szCs w:val="24"/>
                <w:lang w:val="en-US" w:eastAsia="zh-CN"/>
              </w:rPr>
              <w:t>1-1 项目四至范围图</w:t>
            </w:r>
          </w:p>
          <w:p w14:paraId="68F514A5">
            <w:pPr>
              <w:pStyle w:val="2"/>
              <w:spacing w:after="0" w:line="360" w:lineRule="auto"/>
              <w:ind w:left="0" w:leftChars="0" w:firstLine="480"/>
              <w:rPr>
                <w:rFonts w:hint="eastAsia"/>
                <w:color w:val="auto"/>
                <w:szCs w:val="24"/>
              </w:rPr>
            </w:pPr>
            <w:r>
              <w:rPr>
                <w:rFonts w:hint="eastAsia"/>
                <w:color w:val="auto"/>
                <w:szCs w:val="24"/>
                <w:lang w:eastAsia="zh-CN"/>
              </w:rPr>
              <w:t>根据</w:t>
            </w:r>
            <w:r>
              <w:rPr>
                <w:rFonts w:hint="eastAsia"/>
                <w:color w:val="auto"/>
                <w:szCs w:val="24"/>
              </w:rPr>
              <w:t>东至县自然资源和规划局</w:t>
            </w:r>
            <w:r>
              <w:rPr>
                <w:rFonts w:hint="eastAsia"/>
                <w:color w:val="auto"/>
                <w:szCs w:val="24"/>
                <w:lang w:eastAsia="zh-CN"/>
              </w:rPr>
              <w:t>《</w:t>
            </w:r>
            <w:r>
              <w:rPr>
                <w:rFonts w:hint="eastAsia"/>
                <w:color w:val="auto"/>
                <w:szCs w:val="24"/>
              </w:rPr>
              <w:t>关于池州中器再生资源有限公司餐厨垃圾和废弃油脂收集、初加工项目选址情况的说明</w:t>
            </w:r>
            <w:r>
              <w:rPr>
                <w:rFonts w:hint="eastAsia"/>
                <w:color w:val="auto"/>
                <w:szCs w:val="24"/>
                <w:lang w:eastAsia="zh-CN"/>
              </w:rPr>
              <w:t>》，“</w:t>
            </w:r>
            <w:r>
              <w:rPr>
                <w:rFonts w:hint="eastAsia"/>
                <w:color w:val="auto"/>
                <w:szCs w:val="24"/>
              </w:rPr>
              <w:t>根据池州中器再生资源有限公司申请，现将池州中器再生资源有限公司餐厨垃圾和废弃油脂收集、初加工项目规划红线经纬度坐标，与划定的《池州市长江干支流岸线一公里管控线》套图比对，该项目不涉及占用长江千支流岸线一公里范围</w:t>
            </w:r>
            <w:r>
              <w:rPr>
                <w:rFonts w:hint="eastAsia"/>
                <w:color w:val="auto"/>
                <w:szCs w:val="24"/>
                <w:lang w:eastAsia="zh-CN"/>
              </w:rPr>
              <w:t>”</w:t>
            </w:r>
            <w:r>
              <w:rPr>
                <w:rFonts w:hint="eastAsia"/>
                <w:color w:val="auto"/>
                <w:szCs w:val="24"/>
              </w:rPr>
              <w:t>。</w:t>
            </w:r>
          </w:p>
          <w:p w14:paraId="579A212D">
            <w:pPr>
              <w:spacing w:line="360" w:lineRule="auto"/>
              <w:rPr>
                <w:b/>
                <w:bCs/>
                <w:color w:val="auto"/>
                <w:sz w:val="24"/>
              </w:rPr>
            </w:pPr>
            <w:r>
              <w:rPr>
                <w:rFonts w:hint="eastAsia"/>
                <w:b/>
                <w:bCs/>
                <w:color w:val="auto"/>
                <w:sz w:val="24"/>
                <w:lang w:val="en-US" w:eastAsia="zh-CN"/>
              </w:rPr>
              <w:t>4</w:t>
            </w:r>
            <w:r>
              <w:rPr>
                <w:b/>
                <w:bCs/>
                <w:color w:val="auto"/>
                <w:sz w:val="24"/>
              </w:rPr>
              <w:t>、与</w:t>
            </w:r>
            <w:r>
              <w:rPr>
                <w:rFonts w:hint="eastAsia"/>
                <w:b/>
                <w:bCs/>
                <w:color w:val="auto"/>
                <w:sz w:val="24"/>
                <w:lang w:eastAsia="zh-CN"/>
              </w:rPr>
              <w:t>池州市</w:t>
            </w:r>
            <w:r>
              <w:rPr>
                <w:rFonts w:hint="eastAsia"/>
                <w:b/>
                <w:bCs/>
                <w:color w:val="auto"/>
                <w:sz w:val="24"/>
              </w:rPr>
              <w:t>生态环境分区管控要求</w:t>
            </w:r>
            <w:r>
              <w:rPr>
                <w:b/>
                <w:bCs/>
                <w:color w:val="auto"/>
                <w:sz w:val="24"/>
              </w:rPr>
              <w:t>相符性分析</w:t>
            </w:r>
          </w:p>
          <w:p w14:paraId="4F7F99C5">
            <w:pPr>
              <w:pStyle w:val="2"/>
              <w:spacing w:after="0" w:line="360" w:lineRule="auto"/>
              <w:ind w:left="0" w:leftChars="0" w:firstLine="480"/>
              <w:rPr>
                <w:rFonts w:hint="eastAsia" w:eastAsia="宋体"/>
                <w:color w:val="auto"/>
                <w:szCs w:val="24"/>
                <w:lang w:eastAsia="zh-CN"/>
              </w:rPr>
            </w:pPr>
            <w:r>
              <w:rPr>
                <w:rFonts w:hint="eastAsia"/>
                <w:color w:val="auto"/>
                <w:szCs w:val="24"/>
                <w:lang w:val="en-US" w:eastAsia="zh-CN"/>
              </w:rPr>
              <w:t>1）与</w:t>
            </w:r>
            <w:r>
              <w:rPr>
                <w:color w:val="auto"/>
                <w:szCs w:val="24"/>
              </w:rPr>
              <w:t>生态</w:t>
            </w:r>
            <w:r>
              <w:rPr>
                <w:rFonts w:hint="eastAsia"/>
                <w:color w:val="auto"/>
                <w:szCs w:val="24"/>
              </w:rPr>
              <w:t>红线</w:t>
            </w:r>
            <w:r>
              <w:rPr>
                <w:rFonts w:hint="eastAsia"/>
                <w:color w:val="auto"/>
                <w:szCs w:val="24"/>
                <w:lang w:eastAsia="zh-CN"/>
              </w:rPr>
              <w:t>区域保护规划的相符性</w:t>
            </w:r>
          </w:p>
          <w:p w14:paraId="5F4244A6">
            <w:pPr>
              <w:pStyle w:val="2"/>
              <w:spacing w:after="0" w:line="360" w:lineRule="auto"/>
              <w:ind w:left="0" w:leftChars="0" w:firstLine="480"/>
              <w:rPr>
                <w:color w:val="auto"/>
                <w:szCs w:val="24"/>
              </w:rPr>
            </w:pPr>
            <w:r>
              <w:rPr>
                <w:color w:val="auto"/>
                <w:szCs w:val="24"/>
              </w:rPr>
              <w:t>本项目位于</w:t>
            </w:r>
            <w:r>
              <w:rPr>
                <w:rFonts w:hint="eastAsia"/>
                <w:color w:val="auto"/>
                <w:szCs w:val="24"/>
                <w:lang w:eastAsia="zh-CN"/>
              </w:rPr>
              <w:t>安徽东至经济开发区（池州市东至县香隅镇黄山村境内）</w:t>
            </w:r>
            <w:r>
              <w:rPr>
                <w:color w:val="auto"/>
                <w:szCs w:val="24"/>
              </w:rPr>
              <w:t>，用地性质为工业用地，厂区周边无自然保护区、饮用水源保护区等生态保护目标，根据与最新“三区三线”成果分析，本项目选址不</w:t>
            </w:r>
            <w:r>
              <w:rPr>
                <w:rFonts w:hint="eastAsia"/>
                <w:color w:val="auto"/>
                <w:szCs w:val="24"/>
                <w:lang w:eastAsia="zh-CN"/>
              </w:rPr>
              <w:t>在</w:t>
            </w:r>
            <w:r>
              <w:rPr>
                <w:color w:val="auto"/>
                <w:szCs w:val="24"/>
              </w:rPr>
              <w:t>生态保护红线内</w:t>
            </w:r>
            <w:r>
              <w:rPr>
                <w:rFonts w:hint="eastAsia"/>
                <w:color w:val="auto"/>
                <w:szCs w:val="24"/>
                <w:lang w:eastAsia="zh-CN"/>
              </w:rPr>
              <w:t>（附图</w:t>
            </w:r>
            <w:r>
              <w:rPr>
                <w:rFonts w:hint="eastAsia"/>
                <w:color w:val="auto"/>
                <w:szCs w:val="24"/>
                <w:lang w:val="en-US" w:eastAsia="zh-CN"/>
              </w:rPr>
              <w:t>2</w:t>
            </w:r>
            <w:r>
              <w:rPr>
                <w:rFonts w:hint="eastAsia"/>
                <w:color w:val="auto"/>
                <w:szCs w:val="24"/>
                <w:lang w:eastAsia="zh-CN"/>
              </w:rPr>
              <w:t>）</w:t>
            </w:r>
            <w:r>
              <w:rPr>
                <w:color w:val="auto"/>
                <w:szCs w:val="24"/>
              </w:rPr>
              <w:t>，根据《安徽省生态红线区域划定方案》、《</w:t>
            </w:r>
            <w:r>
              <w:rPr>
                <w:rFonts w:hint="eastAsia"/>
                <w:color w:val="auto"/>
                <w:szCs w:val="24"/>
                <w:lang w:eastAsia="zh-CN"/>
              </w:rPr>
              <w:t>池州市</w:t>
            </w:r>
            <w:r>
              <w:rPr>
                <w:color w:val="auto"/>
                <w:szCs w:val="24"/>
              </w:rPr>
              <w:t>生态保护红线规划》，本项目不在国家级和省级禁止开发区域以及其他有必要严格保护的各类保护地，符合生态保护红线要求。</w:t>
            </w:r>
          </w:p>
          <w:p w14:paraId="171C75FF">
            <w:pPr>
              <w:tabs>
                <w:tab w:val="left" w:pos="3960"/>
              </w:tabs>
              <w:adjustRightInd w:val="0"/>
              <w:snapToGrid w:val="0"/>
              <w:spacing w:line="360" w:lineRule="auto"/>
              <w:rPr>
                <w:rFonts w:hint="eastAsia" w:eastAsia="宋体"/>
                <w:color w:val="auto"/>
                <w:sz w:val="24"/>
                <w:lang w:eastAsia="zh-CN"/>
              </w:rPr>
            </w:pPr>
            <w:r>
              <w:rPr>
                <w:color w:val="auto"/>
                <w:sz w:val="24"/>
              </w:rPr>
              <w:t>2）</w:t>
            </w:r>
            <w:r>
              <w:rPr>
                <w:rFonts w:hint="eastAsia"/>
                <w:color w:val="auto"/>
                <w:sz w:val="24"/>
              </w:rPr>
              <w:t>分区管控</w:t>
            </w:r>
            <w:r>
              <w:rPr>
                <w:rFonts w:hint="eastAsia"/>
                <w:color w:val="auto"/>
                <w:sz w:val="24"/>
                <w:lang w:eastAsia="zh-CN"/>
              </w:rPr>
              <w:t>相符性</w:t>
            </w:r>
          </w:p>
          <w:p w14:paraId="6BACEA82">
            <w:pPr>
              <w:keepNext w:val="0"/>
              <w:keepLines w:val="0"/>
              <w:suppressLineNumbers w:val="0"/>
              <w:tabs>
                <w:tab w:val="left" w:pos="3960"/>
              </w:tabs>
              <w:adjustRightInd w:val="0"/>
              <w:snapToGrid w:val="0"/>
              <w:spacing w:before="0" w:beforeAutospacing="0" w:after="0" w:afterAutospacing="0" w:line="360" w:lineRule="auto"/>
              <w:ind w:left="0" w:right="0"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根据安徽省三线一单成果，全省建立“1+5+16+N”的四级清单管控体系。省级建立并发布省级清单、区域清单；初步确定市级清单，制作管控单元清单模板，市级清单、管控单元清单在市级“三线一单”编制过程中进一步细化。</w:t>
            </w:r>
          </w:p>
          <w:p w14:paraId="04BB8062">
            <w:pPr>
              <w:tabs>
                <w:tab w:val="left" w:pos="3960"/>
              </w:tabs>
              <w:adjustRightInd w:val="0"/>
              <w:snapToGrid w:val="0"/>
              <w:spacing w:line="360" w:lineRule="auto"/>
              <w:ind w:firstLine="480" w:firstLineChars="200"/>
              <w:rPr>
                <w:color w:val="auto"/>
                <w:sz w:val="24"/>
              </w:rPr>
            </w:pPr>
            <w:r>
              <w:rPr>
                <w:rFonts w:hint="default" w:ascii="Times New Roman" w:hAnsi="Times New Roman" w:cs="Times New Roman"/>
                <w:color w:val="auto"/>
                <w:sz w:val="24"/>
                <w:highlight w:val="none"/>
                <w:lang w:eastAsia="zh-CN"/>
              </w:rPr>
              <w:t>根据安徽省"三线一单"公众服务平台，经与“三线一单”成果数据分析，与</w:t>
            </w:r>
            <w:r>
              <w:rPr>
                <w:rFonts w:hint="default" w:ascii="Times New Roman" w:hAnsi="Times New Roman" w:cs="Times New Roman"/>
                <w:color w:val="auto"/>
                <w:sz w:val="24"/>
                <w:highlight w:val="none"/>
                <w:lang w:val="en-US" w:eastAsia="zh-CN"/>
              </w:rPr>
              <w:t>1</w:t>
            </w:r>
            <w:r>
              <w:rPr>
                <w:rFonts w:hint="default" w:ascii="Times New Roman" w:hAnsi="Times New Roman" w:cs="Times New Roman"/>
                <w:color w:val="auto"/>
                <w:sz w:val="24"/>
                <w:highlight w:val="none"/>
                <w:lang w:eastAsia="zh-CN"/>
              </w:rPr>
              <w:t>个环境管控单元存在交叠，其中优先保护类</w:t>
            </w:r>
            <w:r>
              <w:rPr>
                <w:rFonts w:hint="default" w:ascii="Times New Roman" w:hAnsi="Times New Roman" w:cs="Times New Roman"/>
                <w:color w:val="auto"/>
                <w:sz w:val="24"/>
                <w:highlight w:val="none"/>
                <w:lang w:val="en-US" w:eastAsia="zh-CN"/>
              </w:rPr>
              <w:t>0</w:t>
            </w:r>
            <w:r>
              <w:rPr>
                <w:rFonts w:hint="default" w:ascii="Times New Roman" w:hAnsi="Times New Roman" w:cs="Times New Roman"/>
                <w:color w:val="auto"/>
                <w:sz w:val="24"/>
                <w:highlight w:val="none"/>
                <w:lang w:eastAsia="zh-CN"/>
              </w:rPr>
              <w:t>个，重点管控类</w:t>
            </w:r>
            <w:r>
              <w:rPr>
                <w:rFonts w:hint="default" w:ascii="Times New Roman" w:hAnsi="Times New Roman" w:cs="Times New Roman"/>
                <w:color w:val="auto"/>
                <w:sz w:val="24"/>
                <w:highlight w:val="none"/>
                <w:lang w:val="en-US" w:eastAsia="zh-CN"/>
              </w:rPr>
              <w:t>1</w:t>
            </w:r>
            <w:r>
              <w:rPr>
                <w:rFonts w:hint="default" w:ascii="Times New Roman" w:hAnsi="Times New Roman" w:cs="Times New Roman"/>
                <w:color w:val="auto"/>
                <w:sz w:val="24"/>
                <w:highlight w:val="none"/>
                <w:lang w:eastAsia="zh-CN"/>
              </w:rPr>
              <w:t>个，一般管控类</w:t>
            </w:r>
            <w:r>
              <w:rPr>
                <w:rFonts w:hint="default" w:ascii="Times New Roman" w:hAnsi="Times New Roman" w:cs="Times New Roman"/>
                <w:color w:val="auto"/>
                <w:sz w:val="24"/>
                <w:highlight w:val="none"/>
                <w:lang w:val="en-US" w:eastAsia="zh-CN"/>
              </w:rPr>
              <w:t>0</w:t>
            </w:r>
            <w:r>
              <w:rPr>
                <w:rFonts w:hint="default" w:ascii="Times New Roman" w:hAnsi="Times New Roman" w:cs="Times New Roman"/>
                <w:color w:val="auto"/>
                <w:sz w:val="24"/>
                <w:highlight w:val="none"/>
                <w:lang w:eastAsia="zh-CN"/>
              </w:rPr>
              <w:t>个，重点管控单元编号编码为ZH34172120005</w:t>
            </w:r>
            <w:r>
              <w:rPr>
                <w:color w:val="auto"/>
                <w:sz w:val="24"/>
              </w:rPr>
              <w:t>。本项目在安徽省综合管控单元中的位置见</w:t>
            </w:r>
            <w:r>
              <w:rPr>
                <w:rFonts w:hint="eastAsia"/>
                <w:color w:val="auto"/>
                <w:sz w:val="24"/>
              </w:rPr>
              <w:t>附图</w:t>
            </w:r>
            <w:r>
              <w:rPr>
                <w:rFonts w:hint="eastAsia"/>
                <w:color w:val="auto"/>
                <w:sz w:val="24"/>
                <w:lang w:val="en-US" w:eastAsia="zh-CN"/>
              </w:rPr>
              <w:t>4</w:t>
            </w:r>
            <w:r>
              <w:rPr>
                <w:color w:val="auto"/>
                <w:sz w:val="24"/>
              </w:rPr>
              <w:t>。</w:t>
            </w:r>
          </w:p>
          <w:p w14:paraId="75387D7A">
            <w:pPr>
              <w:spacing w:line="240" w:lineRule="auto"/>
              <w:jc w:val="center"/>
              <w:rPr>
                <w:color w:val="auto"/>
                <w:sz w:val="21"/>
                <w:szCs w:val="21"/>
              </w:rPr>
            </w:pPr>
            <w:r>
              <w:rPr>
                <w:rFonts w:hint="default" w:ascii="Times New Roman" w:hAnsi="Times New Roman" w:cs="Times New Roman"/>
                <w:b/>
                <w:bCs/>
                <w:color w:val="auto"/>
                <w:sz w:val="21"/>
                <w:szCs w:val="21"/>
                <w:highlight w:val="none"/>
                <w:lang w:eastAsia="zh-CN"/>
              </w:rPr>
              <w:t>表</w:t>
            </w:r>
            <w:r>
              <w:rPr>
                <w:rFonts w:hint="default" w:ascii="Times New Roman" w:hAnsi="Times New Roman" w:cs="Times New Roman"/>
                <w:b/>
                <w:bCs/>
                <w:color w:val="auto"/>
                <w:sz w:val="21"/>
                <w:szCs w:val="21"/>
                <w:highlight w:val="none"/>
                <w:lang w:val="en-US" w:eastAsia="zh-CN"/>
              </w:rPr>
              <w:t>1-</w:t>
            </w:r>
            <w:r>
              <w:rPr>
                <w:rFonts w:hint="eastAsia" w:cs="Times New Roman"/>
                <w:b/>
                <w:bCs/>
                <w:color w:val="auto"/>
                <w:sz w:val="21"/>
                <w:szCs w:val="21"/>
                <w:highlight w:val="none"/>
                <w:lang w:val="en-US" w:eastAsia="zh-CN"/>
              </w:rPr>
              <w:t>4</w:t>
            </w:r>
            <w:r>
              <w:rPr>
                <w:rFonts w:hint="default" w:ascii="Times New Roman" w:hAnsi="Times New Roman" w:cs="Times New Roman"/>
                <w:b/>
                <w:bCs/>
                <w:color w:val="auto"/>
                <w:sz w:val="21"/>
                <w:szCs w:val="21"/>
                <w:highlight w:val="none"/>
                <w:lang w:val="en-US" w:eastAsia="zh-CN"/>
              </w:rPr>
              <w:t xml:space="preserve"> 与管控单元的符合性分析</w:t>
            </w:r>
          </w:p>
          <w:tbl>
            <w:tblPr>
              <w:tblStyle w:val="2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1"/>
              <w:gridCol w:w="1061"/>
              <w:gridCol w:w="4304"/>
              <w:gridCol w:w="1194"/>
            </w:tblGrid>
            <w:tr w14:paraId="6EDC0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pct"/>
                  <w:noWrap w:val="0"/>
                  <w:vAlign w:val="center"/>
                </w:tcPr>
                <w:p w14:paraId="64408E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环境管控单元分类/区域管控要求</w:t>
                  </w:r>
                </w:p>
              </w:tc>
              <w:tc>
                <w:tcPr>
                  <w:tcW w:w="694" w:type="pct"/>
                  <w:noWrap w:val="0"/>
                  <w:vAlign w:val="center"/>
                </w:tcPr>
                <w:p w14:paraId="02998D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管控类别</w:t>
                  </w:r>
                </w:p>
              </w:tc>
              <w:tc>
                <w:tcPr>
                  <w:tcW w:w="2816" w:type="pct"/>
                  <w:noWrap w:val="0"/>
                  <w:vAlign w:val="center"/>
                </w:tcPr>
                <w:p w14:paraId="283E49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管控要求</w:t>
                  </w:r>
                  <w:r>
                    <w:rPr>
                      <w:rFonts w:hint="eastAsia" w:cs="Times New Roman"/>
                      <w:color w:val="auto"/>
                      <w:sz w:val="21"/>
                      <w:szCs w:val="21"/>
                      <w:lang w:val="en-US" w:eastAsia="zh-CN"/>
                    </w:rPr>
                    <w:t>（仅摘录与本项目有关的）</w:t>
                  </w:r>
                </w:p>
              </w:tc>
              <w:tc>
                <w:tcPr>
                  <w:tcW w:w="781" w:type="pct"/>
                  <w:noWrap w:val="0"/>
                  <w:vAlign w:val="center"/>
                </w:tcPr>
                <w:p w14:paraId="73B9CF3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本项目情况</w:t>
                  </w:r>
                </w:p>
              </w:tc>
            </w:tr>
            <w:tr w14:paraId="24C7D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708" w:type="pct"/>
                  <w:vMerge w:val="restart"/>
                  <w:noWrap w:val="0"/>
                  <w:vAlign w:val="center"/>
                </w:tcPr>
                <w:p w14:paraId="5DEEA063">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重点管控单元5</w:t>
                  </w:r>
                </w:p>
              </w:tc>
              <w:tc>
                <w:tcPr>
                  <w:tcW w:w="694" w:type="pct"/>
                  <w:vMerge w:val="restart"/>
                  <w:noWrap w:val="0"/>
                  <w:vAlign w:val="center"/>
                </w:tcPr>
                <w:p w14:paraId="2B604AF6">
                  <w:pPr>
                    <w:bidi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空间布局约束</w:t>
                  </w:r>
                </w:p>
              </w:tc>
              <w:tc>
                <w:tcPr>
                  <w:tcW w:w="2816" w:type="pct"/>
                  <w:noWrap w:val="0"/>
                  <w:vAlign w:val="center"/>
                </w:tcPr>
                <w:p w14:paraId="3030D318">
                  <w:pPr>
                    <w:keepNext w:val="0"/>
                    <w:keepLines w:val="0"/>
                    <w:widowControl/>
                    <w:suppressLineNumbers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bidi="ar"/>
                    </w:rPr>
                    <w:t>禁止开发建设活动的要求:1严格城市规划蓝线管理，城市规划区范围内应保留一定比例的水域面积，现有水域面积不得减少。新建项目一律不得违规占用水域。允许开发建设活动的特殊要求：3坚持以水定城、以水定地、以水定人、以水定产，严格控制缺水地区、水污染严重地区和敏感区域高耗水、高污染行业发展，鼓励推动高耗水企业向水资源条件允许的工业园区集中。</w:t>
                  </w:r>
                </w:p>
              </w:tc>
              <w:tc>
                <w:tcPr>
                  <w:tcW w:w="781" w:type="pct"/>
                  <w:noWrap w:val="0"/>
                  <w:vAlign w:val="center"/>
                </w:tcPr>
                <w:p w14:paraId="7A9E1FA9">
                  <w:pPr>
                    <w:bidi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本项目为餐厨废弃物的处置，</w:t>
                  </w:r>
                  <w:r>
                    <w:rPr>
                      <w:rFonts w:hint="eastAsia" w:cs="Times New Roman"/>
                      <w:color w:val="auto"/>
                      <w:sz w:val="21"/>
                      <w:szCs w:val="21"/>
                      <w:lang w:val="en-US" w:eastAsia="zh-CN"/>
                    </w:rPr>
                    <w:t>属于卫生管理，为鼓励类行业，不属于高耗水高污染行业。</w:t>
                  </w:r>
                </w:p>
              </w:tc>
            </w:tr>
            <w:tr w14:paraId="7163F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708" w:type="pct"/>
                  <w:vMerge w:val="continue"/>
                  <w:noWrap w:val="0"/>
                  <w:vAlign w:val="center"/>
                </w:tcPr>
                <w:p w14:paraId="6B6B115D">
                  <w:pPr>
                    <w:bidi w:val="0"/>
                    <w:jc w:val="center"/>
                    <w:rPr>
                      <w:color w:val="auto"/>
                    </w:rPr>
                  </w:pPr>
                </w:p>
              </w:tc>
              <w:tc>
                <w:tcPr>
                  <w:tcW w:w="694" w:type="pct"/>
                  <w:vMerge w:val="continue"/>
                  <w:noWrap w:val="0"/>
                  <w:vAlign w:val="center"/>
                </w:tcPr>
                <w:p w14:paraId="4E09E59F">
                  <w:pPr>
                    <w:bidi w:val="0"/>
                    <w:jc w:val="center"/>
                    <w:rPr>
                      <w:color w:val="auto"/>
                    </w:rPr>
                  </w:pPr>
                </w:p>
              </w:tc>
              <w:tc>
                <w:tcPr>
                  <w:tcW w:w="2816" w:type="pct"/>
                  <w:noWrap w:val="0"/>
                  <w:vAlign w:val="center"/>
                </w:tcPr>
                <w:p w14:paraId="6BAEF567">
                  <w:pPr>
                    <w:bidi w:val="0"/>
                    <w:jc w:val="center"/>
                    <w:rPr>
                      <w:color w:val="auto"/>
                    </w:rPr>
                  </w:pPr>
                  <w:r>
                    <w:rPr>
                      <w:rFonts w:hint="default" w:ascii="Times New Roman" w:hAnsi="Times New Roman" w:eastAsia="宋体" w:cs="Times New Roman"/>
                      <w:color w:val="auto"/>
                      <w:kern w:val="0"/>
                      <w:sz w:val="21"/>
                      <w:szCs w:val="21"/>
                      <w:lang w:val="en-US" w:eastAsia="zh-CN" w:bidi="ar"/>
                    </w:rPr>
                    <w:t>允许开发建设活动的特殊要求：国家禁止新建不符合国家产业政策的小型造纸、制革、印染、染料、炼焦、炼硫、炼砷、炼汞、炼油、电镀、农药、石棉、水泥、玻璃、钢铁、火电以及其他严重污染水环境的生产项目。</w:t>
                  </w:r>
                </w:p>
              </w:tc>
              <w:tc>
                <w:tcPr>
                  <w:tcW w:w="781" w:type="pct"/>
                  <w:noWrap w:val="0"/>
                  <w:vAlign w:val="center"/>
                </w:tcPr>
                <w:p w14:paraId="3C62B553">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本项目不属于国家禁止新建的不符合国家产业政策的项目。</w:t>
                  </w:r>
                </w:p>
              </w:tc>
            </w:tr>
            <w:tr w14:paraId="7839D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708" w:type="pct"/>
                  <w:vMerge w:val="continue"/>
                  <w:noWrap w:val="0"/>
                  <w:vAlign w:val="center"/>
                </w:tcPr>
                <w:p w14:paraId="7D54AC16">
                  <w:pPr>
                    <w:bidi w:val="0"/>
                    <w:jc w:val="center"/>
                    <w:rPr>
                      <w:rFonts w:hint="default" w:ascii="Times New Roman" w:hAnsi="Times New Roman" w:eastAsia="宋体" w:cs="Times New Roman"/>
                      <w:color w:val="auto"/>
                      <w:sz w:val="21"/>
                      <w:szCs w:val="21"/>
                      <w:lang w:val="en-US" w:eastAsia="zh-CN"/>
                    </w:rPr>
                  </w:pPr>
                </w:p>
              </w:tc>
              <w:tc>
                <w:tcPr>
                  <w:tcW w:w="694" w:type="pct"/>
                  <w:vMerge w:val="continue"/>
                  <w:noWrap w:val="0"/>
                  <w:vAlign w:val="center"/>
                </w:tcPr>
                <w:p w14:paraId="0E0C5EC9">
                  <w:pPr>
                    <w:bidi w:val="0"/>
                    <w:jc w:val="center"/>
                    <w:rPr>
                      <w:rFonts w:hint="default" w:ascii="Times New Roman" w:hAnsi="Times New Roman" w:eastAsia="宋体" w:cs="Times New Roman"/>
                      <w:color w:val="auto"/>
                      <w:sz w:val="21"/>
                      <w:szCs w:val="21"/>
                      <w:lang w:val="en-US" w:eastAsia="zh-CN"/>
                    </w:rPr>
                  </w:pPr>
                </w:p>
              </w:tc>
              <w:tc>
                <w:tcPr>
                  <w:tcW w:w="2816" w:type="pct"/>
                  <w:noWrap w:val="0"/>
                  <w:vAlign w:val="center"/>
                </w:tcPr>
                <w:p w14:paraId="6AB2F45F">
                  <w:pPr>
                    <w:bidi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bidi="ar"/>
                    </w:rPr>
                    <w:t>禁止开发建设活动的要求：2城市建成区排放污水的工业企业应依法持有排污许可证，并严格按证排污。排入城镇水体的工业污水应符合相关行业标准及地方标准要求，严禁任何企业、单位超标和超总量排污，对超标或超总量的排污单位一律限制生产或停产整顿。</w:t>
                  </w:r>
                </w:p>
              </w:tc>
              <w:tc>
                <w:tcPr>
                  <w:tcW w:w="781" w:type="pct"/>
                  <w:noWrap w:val="0"/>
                  <w:vAlign w:val="center"/>
                </w:tcPr>
                <w:p w14:paraId="6DC88E55">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项目建成后，按要求申请+排污许可证。</w:t>
                  </w:r>
                </w:p>
              </w:tc>
            </w:tr>
            <w:tr w14:paraId="2AFE9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708" w:type="pct"/>
                  <w:vMerge w:val="continue"/>
                  <w:noWrap w:val="0"/>
                  <w:vAlign w:val="center"/>
                </w:tcPr>
                <w:p w14:paraId="1C0F6FE0">
                  <w:pPr>
                    <w:bidi w:val="0"/>
                    <w:jc w:val="center"/>
                    <w:rPr>
                      <w:rFonts w:hint="default" w:ascii="Times New Roman" w:hAnsi="Times New Roman" w:eastAsia="宋体" w:cs="Times New Roman"/>
                      <w:color w:val="auto"/>
                      <w:sz w:val="21"/>
                      <w:szCs w:val="21"/>
                      <w:lang w:val="en-US" w:eastAsia="zh-CN"/>
                    </w:rPr>
                  </w:pPr>
                </w:p>
              </w:tc>
              <w:tc>
                <w:tcPr>
                  <w:tcW w:w="694" w:type="pct"/>
                  <w:vMerge w:val="continue"/>
                  <w:noWrap w:val="0"/>
                  <w:vAlign w:val="center"/>
                </w:tcPr>
                <w:p w14:paraId="4773B770">
                  <w:pPr>
                    <w:bidi w:val="0"/>
                    <w:jc w:val="center"/>
                    <w:rPr>
                      <w:rFonts w:hint="default" w:ascii="Times New Roman" w:hAnsi="Times New Roman" w:eastAsia="宋体" w:cs="Times New Roman"/>
                      <w:color w:val="auto"/>
                      <w:sz w:val="21"/>
                      <w:szCs w:val="21"/>
                      <w:lang w:val="en-US" w:eastAsia="zh-CN"/>
                    </w:rPr>
                  </w:pPr>
                </w:p>
              </w:tc>
              <w:tc>
                <w:tcPr>
                  <w:tcW w:w="2816" w:type="pct"/>
                  <w:noWrap w:val="0"/>
                  <w:vAlign w:val="center"/>
                </w:tcPr>
                <w:p w14:paraId="5024CD48">
                  <w:pPr>
                    <w:bidi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lang w:val="en-US" w:eastAsia="zh-CN" w:bidi="ar"/>
                    </w:rPr>
                    <w:t>禁止开发建设活动的要求：1在城市城区及其近郊禁止新建、扩建钢铁、有色、石化、水泥、化工等重污染企业。16在燃气管网和集中供热管网覆盖的区域，不得新建、扩建、改建燃烧煤炭、重油、渣油的供热设施；原有分散的中小型燃煤供热锅炉应当限期拆除。21禁止淘汰落后类的产业进入开发区。</w:t>
                  </w:r>
                </w:p>
              </w:tc>
              <w:tc>
                <w:tcPr>
                  <w:tcW w:w="781" w:type="pct"/>
                  <w:noWrap w:val="0"/>
                  <w:vAlign w:val="center"/>
                </w:tcPr>
                <w:p w14:paraId="0F0027DB">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本项目蒸汽供热，依托项目隔壁的东至海创环境科技有限公司的蒸汽（由中器再生建设蒸汽管网），且本项目属于鼓励类项目。</w:t>
                  </w:r>
                </w:p>
              </w:tc>
            </w:tr>
            <w:tr w14:paraId="05822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708" w:type="pct"/>
                  <w:vMerge w:val="continue"/>
                  <w:noWrap w:val="0"/>
                  <w:vAlign w:val="center"/>
                </w:tcPr>
                <w:p w14:paraId="41DF78E6">
                  <w:pPr>
                    <w:bidi w:val="0"/>
                    <w:jc w:val="center"/>
                    <w:rPr>
                      <w:rFonts w:hint="default" w:ascii="Times New Roman" w:hAnsi="Times New Roman" w:eastAsia="宋体" w:cs="Times New Roman"/>
                      <w:color w:val="auto"/>
                      <w:sz w:val="21"/>
                      <w:szCs w:val="21"/>
                      <w:lang w:val="en-US" w:eastAsia="zh-CN"/>
                    </w:rPr>
                  </w:pPr>
                </w:p>
              </w:tc>
              <w:tc>
                <w:tcPr>
                  <w:tcW w:w="694" w:type="pct"/>
                  <w:vMerge w:val="continue"/>
                  <w:noWrap w:val="0"/>
                  <w:vAlign w:val="center"/>
                </w:tcPr>
                <w:p w14:paraId="5519A4FA">
                  <w:pPr>
                    <w:bidi w:val="0"/>
                    <w:jc w:val="center"/>
                    <w:rPr>
                      <w:rFonts w:hint="default" w:ascii="Times New Roman" w:hAnsi="Times New Roman" w:eastAsia="宋体" w:cs="Times New Roman"/>
                      <w:color w:val="auto"/>
                      <w:sz w:val="21"/>
                      <w:szCs w:val="21"/>
                      <w:lang w:val="en-US" w:eastAsia="zh-CN"/>
                    </w:rPr>
                  </w:pPr>
                </w:p>
              </w:tc>
              <w:tc>
                <w:tcPr>
                  <w:tcW w:w="2816" w:type="pct"/>
                  <w:noWrap w:val="0"/>
                  <w:vAlign w:val="center"/>
                </w:tcPr>
                <w:p w14:paraId="0C54A143">
                  <w:pPr>
                    <w:bidi w:val="0"/>
                    <w:jc w:val="center"/>
                    <w:rPr>
                      <w:rFonts w:hint="default" w:cs="Times New Roman"/>
                      <w:color w:val="auto"/>
                      <w:sz w:val="21"/>
                      <w:szCs w:val="21"/>
                      <w:lang w:val="en-US" w:eastAsia="zh-CN"/>
                    </w:rPr>
                  </w:pPr>
                  <w:r>
                    <w:rPr>
                      <w:rFonts w:hint="default" w:cs="Times New Roman"/>
                      <w:color w:val="auto"/>
                      <w:sz w:val="21"/>
                      <w:szCs w:val="21"/>
                      <w:lang w:val="en-US" w:eastAsia="zh-CN"/>
                    </w:rPr>
                    <w:t>禁止开发建设活动的要求：1禁止在长江（安徽段）干支流一公里范围内新建、扩建化工园区和化工项目。已批未开工的项目，依法停止建设，支持重新选址。已经开工建设的项目，严格进行检查评估，不符合岸线规划和环保、安全要求的，全部依法依规停建搬迁。2禁止在长江干流岸线三公里范围内和主要支流岸线一公里范围内新建、改建、扩建尾矿库、冶炼渣库和磷石膏库，以提升安全、生态环境保护水平为目的的改建除外。3长江干流岸线5公里范围内严禁新建布局重化工园区。合规化工园区内，严禁新批环境基础设施不完善或长期不能稳定运行的企业新建和扩建化工项目。4长江干流岸线15公里范围内，严把各类项目准入门槛，严格执行环境保护标准，把主要污染物和重点重金属排放总量控制目标作为新（改、扩）建项目环评审批的前置条件，禁止建设没有环境容量和减排总量项目。19禁止新建、扩建法律法规和相关政策明令禁止的落后产能项目。严格执行国家《产业结构调整指导目录》淘汰类和限制类有关规定，禁止投资建设属于淘汰类的项目，禁止投资新建属于限制类的项目。对属于限制类的现有生产能力，允许企业在一定期限内采取措施改造升级。</w:t>
                  </w:r>
                </w:p>
                <w:p w14:paraId="011156F2">
                  <w:pPr>
                    <w:bidi w:val="0"/>
                    <w:jc w:val="center"/>
                    <w:rPr>
                      <w:rFonts w:hint="default" w:cs="Times New Roman"/>
                      <w:color w:val="auto"/>
                      <w:sz w:val="21"/>
                      <w:szCs w:val="21"/>
                      <w:lang w:val="en-US" w:eastAsia="zh-CN"/>
                    </w:rPr>
                  </w:pPr>
                  <w:r>
                    <w:rPr>
                      <w:rFonts w:hint="default" w:cs="Times New Roman"/>
                      <w:color w:val="auto"/>
                      <w:sz w:val="21"/>
                      <w:szCs w:val="21"/>
                      <w:lang w:val="en-US" w:eastAsia="zh-CN"/>
                    </w:rPr>
                    <w:t>限制开发建设活动的要求：22严控5公里范围内的新建项目。实施严格的化工项目市场准入制度，除提升安全环保节能水平以及质量升级的改扩建项目外，严格控制新建石油化工和煤化工等重化工、重污染项目。23长江干流岸线15公里范围内新建工业项目原则上全部进园区，其中化工项目进化工园区或主导产业为化工的开发区。严把各类项目准入门槛，严格执行环境保护标准，把主要污染物和重点重金属排放总量控制目标作为新(改、扩)建项目环评审批的前置条件。</w:t>
                  </w:r>
                </w:p>
              </w:tc>
              <w:tc>
                <w:tcPr>
                  <w:tcW w:w="781" w:type="pct"/>
                  <w:noWrap w:val="0"/>
                  <w:vAlign w:val="center"/>
                </w:tcPr>
                <w:p w14:paraId="7EC8E4BF">
                  <w:pPr>
                    <w:bidi w:val="0"/>
                    <w:jc w:val="center"/>
                    <w:rPr>
                      <w:rFonts w:hint="eastAsia" w:cs="Times New Roman"/>
                      <w:color w:val="auto"/>
                      <w:sz w:val="21"/>
                      <w:szCs w:val="21"/>
                      <w:lang w:val="en-US" w:eastAsia="zh-CN"/>
                    </w:rPr>
                  </w:pPr>
                  <w:r>
                    <w:rPr>
                      <w:rFonts w:hint="eastAsia" w:cs="Times New Roman"/>
                      <w:color w:val="auto"/>
                      <w:sz w:val="21"/>
                      <w:szCs w:val="21"/>
                      <w:lang w:val="en-US" w:eastAsia="zh-CN"/>
                    </w:rPr>
                    <w:t>根据东至县自然资源和规划局《关于池州中器再生资源有限公司餐厨垃圾和废弃油脂收集、初加工项目选址情况的说明》，</w:t>
                  </w:r>
                </w:p>
                <w:p w14:paraId="09AE4D3F">
                  <w:pPr>
                    <w:bidi w:val="0"/>
                    <w:jc w:val="center"/>
                    <w:rPr>
                      <w:rFonts w:hint="eastAsia" w:cs="Times New Roman"/>
                      <w:color w:val="auto"/>
                      <w:sz w:val="21"/>
                      <w:szCs w:val="21"/>
                      <w:lang w:val="en-US" w:eastAsia="zh-CN"/>
                    </w:rPr>
                  </w:pPr>
                  <w:r>
                    <w:rPr>
                      <w:rFonts w:hint="eastAsia" w:cs="Times New Roman"/>
                      <w:color w:val="auto"/>
                      <w:sz w:val="21"/>
                      <w:szCs w:val="21"/>
                      <w:lang w:val="en-US" w:eastAsia="zh-CN"/>
                    </w:rPr>
                    <w:t>本项目与划定的《池州市长江干支流岸线一公里管控线》套图比对，该项目不涉及占用长江干支流岸线一公里范围，建设餐厨垃圾处置项目，为环境卫生管理业，属于《产业结构调整指导目录》（2024年）中的鼓励类项目，不属于新建</w:t>
                  </w:r>
                  <w:r>
                    <w:rPr>
                      <w:rFonts w:hint="default" w:cs="Times New Roman"/>
                      <w:color w:val="auto"/>
                      <w:sz w:val="21"/>
                      <w:szCs w:val="21"/>
                      <w:lang w:val="en-US" w:eastAsia="zh-CN"/>
                    </w:rPr>
                    <w:t>尾矿库、冶炼渣库和磷石膏库</w:t>
                  </w:r>
                </w:p>
              </w:tc>
            </w:tr>
            <w:tr w14:paraId="0948B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708" w:type="pct"/>
                  <w:vMerge w:val="continue"/>
                  <w:noWrap w:val="0"/>
                  <w:vAlign w:val="center"/>
                </w:tcPr>
                <w:p w14:paraId="68E05B23">
                  <w:pPr>
                    <w:bidi w:val="0"/>
                    <w:jc w:val="center"/>
                    <w:rPr>
                      <w:rFonts w:hint="default" w:ascii="Times New Roman" w:hAnsi="Times New Roman" w:eastAsia="宋体" w:cs="Times New Roman"/>
                      <w:color w:val="auto"/>
                      <w:sz w:val="21"/>
                      <w:szCs w:val="21"/>
                      <w:lang w:val="en-US" w:eastAsia="zh-CN"/>
                    </w:rPr>
                  </w:pPr>
                </w:p>
              </w:tc>
              <w:tc>
                <w:tcPr>
                  <w:tcW w:w="694" w:type="pct"/>
                  <w:vMerge w:val="continue"/>
                  <w:noWrap w:val="0"/>
                  <w:vAlign w:val="center"/>
                </w:tcPr>
                <w:p w14:paraId="373F2802">
                  <w:pPr>
                    <w:bidi w:val="0"/>
                    <w:jc w:val="center"/>
                    <w:rPr>
                      <w:rFonts w:hint="default" w:ascii="Times New Roman" w:hAnsi="Times New Roman" w:eastAsia="宋体" w:cs="Times New Roman"/>
                      <w:color w:val="auto"/>
                      <w:sz w:val="21"/>
                      <w:szCs w:val="21"/>
                      <w:lang w:val="en-US" w:eastAsia="zh-CN"/>
                    </w:rPr>
                  </w:pPr>
                </w:p>
              </w:tc>
              <w:tc>
                <w:tcPr>
                  <w:tcW w:w="2816" w:type="pct"/>
                  <w:noWrap w:val="0"/>
                  <w:vAlign w:val="center"/>
                </w:tcPr>
                <w:p w14:paraId="58E10C14">
                  <w:pPr>
                    <w:bidi w:val="0"/>
                    <w:jc w:val="center"/>
                    <w:rPr>
                      <w:rFonts w:hint="default"/>
                      <w:color w:val="auto"/>
                      <w:lang w:val="en-US" w:eastAsia="zh-CN"/>
                    </w:rPr>
                  </w:pPr>
                  <w:r>
                    <w:rPr>
                      <w:rFonts w:hint="default"/>
                      <w:color w:val="auto"/>
                      <w:lang w:val="en-US" w:eastAsia="zh-CN"/>
                    </w:rPr>
                    <w:t>不符合空间布局要求活动的退出要求：28长江（安徽段）干支流一公里范围内已批未开工的项目，依法停止建设，支持重新选址。已经开工建设的项目，严格进行检查评估，不符合岸线规划和环保、安全要求的，全部依法依规停建搬迁。29长江干流岸线5公里范围内的重化工企业，经评估认定，难以就地改造提标的，依法依规搬入合规园区；在建重化工项目，难以整改达标必须搬迁的，全部依法依规搬入合规园区。</w:t>
                  </w:r>
                </w:p>
              </w:tc>
              <w:tc>
                <w:tcPr>
                  <w:tcW w:w="781" w:type="pct"/>
                  <w:shd w:val="clear" w:color="auto" w:fill="auto"/>
                  <w:noWrap w:val="0"/>
                  <w:vAlign w:val="center"/>
                </w:tcPr>
                <w:p w14:paraId="46D9003C">
                  <w:pPr>
                    <w:bidi w:val="0"/>
                    <w:jc w:val="center"/>
                    <w:rPr>
                      <w:rFonts w:hint="default"/>
                      <w:color w:val="auto"/>
                      <w:lang w:val="en-US" w:eastAsia="zh-CN"/>
                    </w:rPr>
                  </w:pPr>
                  <w:r>
                    <w:rPr>
                      <w:rFonts w:hint="eastAsia"/>
                      <w:color w:val="auto"/>
                      <w:lang w:val="en-US" w:eastAsia="zh-CN"/>
                    </w:rPr>
                    <w:t>本项目距离长江1.643km，距离长江1级支流浪溪水4.109km，距离长江1级支流香隅河5.663km，建设餐厨垃圾处置项目，为环境卫生管理业，属于《产业结构调整指导目录》（2024年）中的鼓励类项目。</w:t>
                  </w:r>
                </w:p>
              </w:tc>
            </w:tr>
            <w:tr w14:paraId="1D382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9" w:hRule="atLeast"/>
              </w:trPr>
              <w:tc>
                <w:tcPr>
                  <w:tcW w:w="708" w:type="pct"/>
                  <w:vMerge w:val="continue"/>
                  <w:noWrap w:val="0"/>
                  <w:vAlign w:val="center"/>
                </w:tcPr>
                <w:p w14:paraId="26FDEFC7">
                  <w:pPr>
                    <w:bidi w:val="0"/>
                    <w:jc w:val="center"/>
                    <w:rPr>
                      <w:rFonts w:hint="default" w:ascii="Times New Roman" w:hAnsi="Times New Roman" w:eastAsia="宋体" w:cs="Times New Roman"/>
                      <w:color w:val="auto"/>
                      <w:sz w:val="21"/>
                      <w:szCs w:val="21"/>
                      <w:lang w:val="en-US" w:eastAsia="zh-CN"/>
                    </w:rPr>
                  </w:pPr>
                </w:p>
              </w:tc>
              <w:tc>
                <w:tcPr>
                  <w:tcW w:w="694" w:type="pct"/>
                  <w:noWrap w:val="0"/>
                  <w:vAlign w:val="center"/>
                </w:tcPr>
                <w:p w14:paraId="41044CA1">
                  <w:pPr>
                    <w:rPr>
                      <w:rFonts w:hint="default"/>
                      <w:color w:val="auto"/>
                      <w:lang w:val="en-US" w:eastAsia="zh-CN"/>
                    </w:rPr>
                  </w:pPr>
                  <w:r>
                    <w:rPr>
                      <w:rFonts w:hint="default"/>
                      <w:color w:val="auto"/>
                      <w:lang w:val="en-US" w:eastAsia="zh-CN"/>
                    </w:rPr>
                    <w:t>污染物排放管控</w:t>
                  </w:r>
                </w:p>
              </w:tc>
              <w:tc>
                <w:tcPr>
                  <w:tcW w:w="2816" w:type="pct"/>
                  <w:noWrap w:val="0"/>
                  <w:vAlign w:val="center"/>
                </w:tcPr>
                <w:p w14:paraId="074910DF">
                  <w:pPr>
                    <w:rPr>
                      <w:rFonts w:hint="default"/>
                      <w:color w:val="auto"/>
                      <w:lang w:val="en-US" w:eastAsia="zh-CN"/>
                    </w:rPr>
                  </w:pPr>
                  <w:r>
                    <w:rPr>
                      <w:rFonts w:hint="default"/>
                      <w:color w:val="auto"/>
                      <w:lang w:val="en-US" w:eastAsia="zh-CN"/>
                    </w:rPr>
                    <w:t>水污染控制措施要求：6所有排污单位必须依法实现全面达标排放。逐一排查工业企业排污情况，达标企业应采取措施确保稳定达标；对超标和超总量的企业予以“黄牌”警示，一律限制生产或停产整治；对整治仍不能达到要求且情节严重的企业予以“红牌”处罚，一律停业、关闭。7开展经济技术开发区、高新技术产业开发区、出口加工区等工业集聚区水污染治理设施排查和污染治理，全面推行工业集聚区企业废水量、水污染物纳管总量双控制度。集聚区内工业废水必须经预处理达到集中处理要求，方可进入污水集中处理设施。水污染控制措施要求：1实行厂网一体化建设，推行厂网一体化管理。深入开展城镇污水处理提质增效行动，加快推进城市老旧小区和管网空白区污水管网建设，实施城市、县城市政污水管网更新修复。因地制宜，稳步推进城市初期雨水收集处理设施建设。现有源提标改造：2持续推进乡镇污水主管网、到户支管网建设和破损、混接管网整治，进一步提高污水收集率和污水进水浓度，强化专业化运维，提高乡镇污水处理设施运行稳定性。3加快推进城市老旧小区和管网空白区污水管网建设，实施城市、县城市政污水管网更新修复。加快推进城市污水再生利用设施建设，提高污水处理再生水利用率。</w:t>
                  </w:r>
                </w:p>
                <w:p w14:paraId="7535AA87">
                  <w:pPr>
                    <w:rPr>
                      <w:rFonts w:hint="default"/>
                      <w:color w:val="auto"/>
                      <w:lang w:val="en-US" w:eastAsia="zh-CN"/>
                    </w:rPr>
                  </w:pPr>
                  <w:r>
                    <w:rPr>
                      <w:rFonts w:hint="default"/>
                      <w:color w:val="auto"/>
                      <w:lang w:val="en-US" w:eastAsia="zh-CN"/>
                    </w:rPr>
                    <w:t>其他污染物排放管控要求：4推进污泥处理处置。污水处理设施产生的污泥应进行稳定化、无害化和资源化处理处置，禁止处理处置不达标的污泥进入耕地。非法污泥堆放点一律予以取缔。</w:t>
                  </w:r>
                </w:p>
                <w:p w14:paraId="74168383">
                  <w:pPr>
                    <w:pStyle w:val="2"/>
                    <w:ind w:left="0" w:leftChars="0" w:firstLine="0" w:firstLineChars="0"/>
                    <w:rPr>
                      <w:rFonts w:hint="default"/>
                      <w:color w:val="auto"/>
                      <w:lang w:val="en-US" w:eastAsia="zh-CN"/>
                    </w:rPr>
                  </w:pPr>
                  <w:r>
                    <w:rPr>
                      <w:rFonts w:hint="default" w:ascii="Times New Roman" w:hAnsi="Times New Roman" w:eastAsia="宋体" w:cs="Times New Roman"/>
                      <w:color w:val="auto"/>
                      <w:kern w:val="2"/>
                      <w:sz w:val="21"/>
                      <w:szCs w:val="24"/>
                      <w:lang w:val="en-US" w:eastAsia="zh-CN" w:bidi="ar-SA"/>
                    </w:rPr>
                    <w:t>允许排放量要求：4新建、改建、扩建排放重点大气污染物的项目不符合总量控制要求的，不得通过环境影响评价。</w:t>
                  </w:r>
                </w:p>
              </w:tc>
              <w:tc>
                <w:tcPr>
                  <w:tcW w:w="781" w:type="pct"/>
                  <w:noWrap w:val="0"/>
                  <w:vAlign w:val="center"/>
                </w:tcPr>
                <w:p w14:paraId="644CF557">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本项目废水由新建管道输送至池州中器环保科技有限公司的污水处理设施进行处理，处理后排至东至经开区污水处理厂进行处理后达标排放。</w:t>
                  </w:r>
                </w:p>
              </w:tc>
            </w:tr>
            <w:tr w14:paraId="34C53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pct"/>
                  <w:vMerge w:val="continue"/>
                  <w:noWrap w:val="0"/>
                  <w:vAlign w:val="center"/>
                </w:tcPr>
                <w:p w14:paraId="1A32BFCF">
                  <w:pPr>
                    <w:bidi w:val="0"/>
                    <w:jc w:val="center"/>
                    <w:rPr>
                      <w:rFonts w:hint="default" w:ascii="Times New Roman" w:hAnsi="Times New Roman" w:eastAsia="宋体" w:cs="Times New Roman"/>
                      <w:color w:val="auto"/>
                      <w:sz w:val="21"/>
                      <w:szCs w:val="21"/>
                      <w:lang w:val="en-US" w:eastAsia="zh-CN"/>
                    </w:rPr>
                  </w:pPr>
                </w:p>
              </w:tc>
              <w:tc>
                <w:tcPr>
                  <w:tcW w:w="694" w:type="pct"/>
                  <w:noWrap w:val="0"/>
                  <w:vAlign w:val="center"/>
                </w:tcPr>
                <w:p w14:paraId="3FAD0065">
                  <w:pPr>
                    <w:bidi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资源开发效率要求</w:t>
                  </w:r>
                </w:p>
              </w:tc>
              <w:tc>
                <w:tcPr>
                  <w:tcW w:w="2816" w:type="pct"/>
                  <w:noWrap w:val="0"/>
                  <w:vAlign w:val="center"/>
                </w:tcPr>
                <w:p w14:paraId="45F0C291">
                  <w:pPr>
                    <w:rPr>
                      <w:rFonts w:hint="default"/>
                      <w:color w:val="auto"/>
                      <w:lang w:val="en-US" w:eastAsia="zh-CN"/>
                    </w:rPr>
                  </w:pPr>
                  <w:r>
                    <w:rPr>
                      <w:rFonts w:hint="default"/>
                      <w:color w:val="auto"/>
                      <w:lang w:val="en-US" w:eastAsia="zh-CN"/>
                    </w:rPr>
                    <w:t>2推动煤电行业实施节能降耗改造、供热改造和灵活性改造“三改联动”。加快供热管网建设，淘汰管网覆盖范围内的燃煤锅炉和散煤。到2025年，火电平均供电煤耗降至295克标煤/千瓦时，散煤基本清零。</w:t>
                  </w:r>
                </w:p>
                <w:p w14:paraId="79395727">
                  <w:pPr>
                    <w:keepNext w:val="0"/>
                    <w:keepLines w:val="0"/>
                    <w:widowControl/>
                    <w:suppressLineNumbers w:val="0"/>
                    <w:jc w:val="center"/>
                    <w:rPr>
                      <w:rFonts w:hint="default" w:ascii="Times New Roman" w:hAnsi="Times New Roman" w:eastAsia="宋体" w:cs="Times New Roman"/>
                      <w:b/>
                      <w:bCs/>
                      <w:color w:val="auto"/>
                      <w:sz w:val="21"/>
                      <w:szCs w:val="21"/>
                      <w:lang w:val="en-US" w:eastAsia="zh-CN"/>
                    </w:rPr>
                  </w:pPr>
                  <w:r>
                    <w:rPr>
                      <w:rFonts w:hint="default"/>
                      <w:color w:val="auto"/>
                      <w:lang w:val="en-US" w:eastAsia="zh-CN"/>
                    </w:rPr>
                    <w:t>水资源利用总量及效率要求：1按照省政府下达给区域各市的水资源利用总量及效率要求执行。地下水开采要求：2按照省级清单中地下水开采要求执行。能源利用总量及效率要求：3按照省政府下达给区域各市能源利用总量及效率要求执行。禁燃区要求：4按照省级清单中禁燃区要求执行。其他资源利用效率要求：5土地资源利用效率按照省政府下达给区域各市的要求执行。</w:t>
                  </w:r>
                </w:p>
              </w:tc>
              <w:tc>
                <w:tcPr>
                  <w:tcW w:w="781" w:type="pct"/>
                  <w:noWrap w:val="0"/>
                  <w:vAlign w:val="center"/>
                </w:tcPr>
                <w:p w14:paraId="742F7BAA">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本</w:t>
                  </w:r>
                  <w:r>
                    <w:rPr>
                      <w:rFonts w:hint="eastAsia" w:cs="Times New Roman"/>
                      <w:color w:val="auto"/>
                      <w:sz w:val="21"/>
                      <w:szCs w:val="21"/>
                      <w:lang w:val="en-US" w:eastAsia="zh-CN"/>
                    </w:rPr>
                    <w:t>项目依托东至海创环境科技有限公司的供热管网进行供热，用地性质为工业用地，符合要求</w:t>
                  </w:r>
                  <w:r>
                    <w:rPr>
                      <w:rFonts w:hint="eastAsia" w:ascii="Times New Roman" w:hAnsi="Times New Roman" w:eastAsia="宋体" w:cs="Times New Roman"/>
                      <w:color w:val="auto"/>
                      <w:kern w:val="0"/>
                      <w:sz w:val="21"/>
                      <w:szCs w:val="21"/>
                      <w:lang w:val="en-US" w:eastAsia="zh-CN" w:bidi="ar"/>
                    </w:rPr>
                    <w:t>。</w:t>
                  </w:r>
                </w:p>
              </w:tc>
            </w:tr>
          </w:tbl>
          <w:p w14:paraId="2F6D09DA">
            <w:pPr>
              <w:spacing w:line="360" w:lineRule="auto"/>
              <w:ind w:firstLine="480" w:firstLineChars="200"/>
              <w:rPr>
                <w:color w:val="auto"/>
                <w:sz w:val="24"/>
                <w:szCs w:val="24"/>
              </w:rPr>
            </w:pPr>
            <w:r>
              <w:rPr>
                <w:rFonts w:hint="eastAsia"/>
                <w:color w:val="auto"/>
                <w:sz w:val="24"/>
                <w:szCs w:val="24"/>
              </w:rPr>
              <w:t>综上所述，</w:t>
            </w:r>
            <w:r>
              <w:rPr>
                <w:color w:val="auto"/>
                <w:sz w:val="24"/>
                <w:szCs w:val="24"/>
              </w:rPr>
              <w:t>本项目各项污染物均能做到达标排放，环境风险可控。因此本项目与</w:t>
            </w:r>
            <w:r>
              <w:rPr>
                <w:rFonts w:hint="eastAsia"/>
                <w:color w:val="auto"/>
                <w:sz w:val="24"/>
                <w:szCs w:val="24"/>
                <w:lang w:eastAsia="zh-CN"/>
              </w:rPr>
              <w:t>池州市</w:t>
            </w:r>
            <w:r>
              <w:rPr>
                <w:color w:val="auto"/>
                <w:sz w:val="24"/>
                <w:szCs w:val="24"/>
              </w:rPr>
              <w:t>“三线一单”是相符的。</w:t>
            </w:r>
          </w:p>
          <w:p w14:paraId="47357A10">
            <w:pPr>
              <w:spacing w:line="360" w:lineRule="auto"/>
              <w:rPr>
                <w:b/>
                <w:bCs/>
                <w:color w:val="auto"/>
                <w:sz w:val="24"/>
                <w:szCs w:val="32"/>
              </w:rPr>
            </w:pPr>
            <w:r>
              <w:rPr>
                <w:rFonts w:hint="eastAsia"/>
                <w:b/>
                <w:bCs/>
                <w:color w:val="auto"/>
                <w:sz w:val="24"/>
                <w:szCs w:val="32"/>
                <w:lang w:val="en-US" w:eastAsia="zh-CN"/>
              </w:rPr>
              <w:t>5</w:t>
            </w:r>
            <w:r>
              <w:rPr>
                <w:b/>
                <w:bCs/>
                <w:color w:val="auto"/>
                <w:sz w:val="24"/>
                <w:szCs w:val="32"/>
              </w:rPr>
              <w:t>、与《中共安徽省委 安徽省人民政府关于全面打造水清岸绿产业优美丽长江（安徽）经济带的实施意见（升级版）》（皖发[2021]19 号）</w:t>
            </w:r>
            <w:r>
              <w:rPr>
                <w:rFonts w:hint="eastAsia"/>
                <w:b/>
                <w:bCs/>
                <w:color w:val="auto"/>
                <w:sz w:val="24"/>
                <w:szCs w:val="32"/>
                <w:lang w:eastAsia="zh-CN"/>
              </w:rPr>
              <w:t>、</w:t>
            </w:r>
            <w:r>
              <w:rPr>
                <w:rFonts w:hint="eastAsia"/>
                <w:b/>
                <w:bCs/>
                <w:color w:val="auto"/>
                <w:sz w:val="24"/>
                <w:szCs w:val="32"/>
              </w:rPr>
              <w:t>《关于印发全面打造水清岸绿产业优美丽长江(池州)经济带实施方案(升级版)》池办发〔2021〕21号</w:t>
            </w:r>
            <w:r>
              <w:rPr>
                <w:rFonts w:hint="eastAsia"/>
                <w:b/>
                <w:bCs/>
                <w:color w:val="auto"/>
                <w:sz w:val="24"/>
                <w:szCs w:val="32"/>
                <w:lang w:eastAsia="zh-CN"/>
              </w:rPr>
              <w:t>和《中共东至县委办公室东至县人民政府办公室印发《关于全面打造水清岸绿产业优美丽长江(东至)经济带实施方案(升级版)》的通知》（东办发〔2022〕8号）的</w:t>
            </w:r>
            <w:r>
              <w:rPr>
                <w:b/>
                <w:bCs/>
                <w:color w:val="auto"/>
                <w:sz w:val="24"/>
                <w:szCs w:val="32"/>
              </w:rPr>
              <w:t>符合性分析</w:t>
            </w:r>
          </w:p>
          <w:p w14:paraId="6E1E507E">
            <w:pPr>
              <w:snapToGrid w:val="0"/>
              <w:jc w:val="center"/>
              <w:rPr>
                <w:b/>
                <w:bCs/>
                <w:color w:val="auto"/>
                <w:sz w:val="21"/>
                <w:szCs w:val="24"/>
              </w:rPr>
            </w:pPr>
            <w:r>
              <w:rPr>
                <w:b/>
                <w:bCs/>
                <w:color w:val="auto"/>
                <w:sz w:val="21"/>
                <w:szCs w:val="24"/>
              </w:rPr>
              <w:t>表1-</w:t>
            </w:r>
            <w:r>
              <w:rPr>
                <w:rFonts w:hint="eastAsia"/>
                <w:b/>
                <w:bCs/>
                <w:color w:val="auto"/>
                <w:sz w:val="21"/>
                <w:szCs w:val="24"/>
                <w:lang w:val="en-US" w:eastAsia="zh-CN"/>
              </w:rPr>
              <w:t>5</w:t>
            </w:r>
            <w:r>
              <w:rPr>
                <w:b/>
                <w:bCs/>
                <w:color w:val="auto"/>
                <w:sz w:val="21"/>
                <w:szCs w:val="24"/>
              </w:rPr>
              <w:t xml:space="preserve"> 与（皖发[2021]19 号）</w:t>
            </w:r>
            <w:r>
              <w:rPr>
                <w:rFonts w:hint="eastAsia"/>
                <w:b/>
                <w:bCs/>
                <w:color w:val="auto"/>
                <w:sz w:val="21"/>
                <w:szCs w:val="24"/>
                <w:lang w:eastAsia="zh-CN"/>
              </w:rPr>
              <w:t>、池办发〔2021〕21号和东办发〔2022〕8号</w:t>
            </w:r>
            <w:r>
              <w:rPr>
                <w:b/>
                <w:bCs/>
                <w:color w:val="auto"/>
                <w:sz w:val="21"/>
                <w:szCs w:val="24"/>
              </w:rPr>
              <w:t>相符性分析</w:t>
            </w:r>
          </w:p>
          <w:tbl>
            <w:tblPr>
              <w:tblStyle w:val="28"/>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4099"/>
              <w:gridCol w:w="2994"/>
            </w:tblGrid>
            <w:tr w14:paraId="16E9B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356" w:type="pct"/>
                  <w:vAlign w:val="center"/>
                </w:tcPr>
                <w:p w14:paraId="55DD73E9">
                  <w:pPr>
                    <w:snapToGrid w:val="0"/>
                    <w:jc w:val="center"/>
                    <w:rPr>
                      <w:color w:val="auto"/>
                      <w:szCs w:val="21"/>
                    </w:rPr>
                  </w:pPr>
                  <w:r>
                    <w:rPr>
                      <w:color w:val="auto"/>
                      <w:szCs w:val="21"/>
                    </w:rPr>
                    <w:t>序号</w:t>
                  </w:r>
                </w:p>
              </w:tc>
              <w:tc>
                <w:tcPr>
                  <w:tcW w:w="2683" w:type="pct"/>
                  <w:vAlign w:val="center"/>
                </w:tcPr>
                <w:p w14:paraId="2B1456B4">
                  <w:pPr>
                    <w:snapToGrid w:val="0"/>
                    <w:jc w:val="center"/>
                    <w:rPr>
                      <w:color w:val="auto"/>
                      <w:szCs w:val="21"/>
                    </w:rPr>
                  </w:pPr>
                  <w:r>
                    <w:rPr>
                      <w:color w:val="auto"/>
                      <w:szCs w:val="21"/>
                    </w:rPr>
                    <w:t>要求</w:t>
                  </w:r>
                </w:p>
              </w:tc>
              <w:tc>
                <w:tcPr>
                  <w:tcW w:w="1960" w:type="pct"/>
                  <w:vAlign w:val="center"/>
                </w:tcPr>
                <w:p w14:paraId="5D46479F">
                  <w:pPr>
                    <w:snapToGrid w:val="0"/>
                    <w:jc w:val="center"/>
                    <w:rPr>
                      <w:color w:val="auto"/>
                      <w:szCs w:val="21"/>
                    </w:rPr>
                  </w:pPr>
                  <w:r>
                    <w:rPr>
                      <w:color w:val="auto"/>
                      <w:szCs w:val="21"/>
                    </w:rPr>
                    <w:t>符合性分析</w:t>
                  </w:r>
                </w:p>
              </w:tc>
            </w:tr>
            <w:tr w14:paraId="65EEA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 w:type="pct"/>
                  <w:vMerge w:val="restart"/>
                  <w:vAlign w:val="center"/>
                </w:tcPr>
                <w:p w14:paraId="1F8A6849">
                  <w:pPr>
                    <w:snapToGrid w:val="0"/>
                    <w:jc w:val="center"/>
                    <w:rPr>
                      <w:color w:val="auto"/>
                      <w:szCs w:val="21"/>
                    </w:rPr>
                  </w:pPr>
                  <w:r>
                    <w:rPr>
                      <w:color w:val="auto"/>
                      <w:szCs w:val="21"/>
                    </w:rPr>
                    <w:t>1</w:t>
                  </w:r>
                </w:p>
              </w:tc>
              <w:tc>
                <w:tcPr>
                  <w:tcW w:w="2683" w:type="pct"/>
                  <w:vAlign w:val="center"/>
                </w:tcPr>
                <w:p w14:paraId="678E625B">
                  <w:pPr>
                    <w:snapToGrid w:val="0"/>
                    <w:jc w:val="center"/>
                    <w:rPr>
                      <w:color w:val="auto"/>
                      <w:szCs w:val="21"/>
                    </w:rPr>
                  </w:pPr>
                  <w:r>
                    <w:rPr>
                      <w:color w:val="auto"/>
                      <w:szCs w:val="21"/>
                    </w:rPr>
                    <w:t>严禁1公里范围内新建化工项目。长江干支流岸线1公里范围内，严禁新建、扩建化工园区和化工项目。</w:t>
                  </w:r>
                </w:p>
              </w:tc>
              <w:tc>
                <w:tcPr>
                  <w:tcW w:w="1960" w:type="pct"/>
                  <w:vMerge w:val="restart"/>
                  <w:vAlign w:val="center"/>
                </w:tcPr>
                <w:p w14:paraId="0B1DAAE8">
                  <w:pPr>
                    <w:snapToGrid w:val="0"/>
                    <w:jc w:val="center"/>
                    <w:rPr>
                      <w:rFonts w:hint="eastAsia"/>
                      <w:color w:val="auto"/>
                      <w:szCs w:val="21"/>
                      <w:lang w:eastAsia="zh-CN"/>
                    </w:rPr>
                  </w:pPr>
                  <w:r>
                    <w:rPr>
                      <w:rFonts w:hint="eastAsia"/>
                      <w:color w:val="auto"/>
                      <w:szCs w:val="21"/>
                    </w:rPr>
                    <w:t>本项目距离长江1.</w:t>
                  </w:r>
                  <w:r>
                    <w:rPr>
                      <w:rFonts w:hint="eastAsia"/>
                      <w:color w:val="auto"/>
                      <w:szCs w:val="21"/>
                      <w:lang w:val="en-US" w:eastAsia="zh-CN"/>
                    </w:rPr>
                    <w:t>6</w:t>
                  </w:r>
                  <w:r>
                    <w:rPr>
                      <w:rFonts w:hint="eastAsia"/>
                      <w:color w:val="auto"/>
                      <w:szCs w:val="21"/>
                    </w:rPr>
                    <w:t>43km，</w:t>
                  </w:r>
                  <w:r>
                    <w:rPr>
                      <w:rFonts w:hint="eastAsia"/>
                      <w:color w:val="auto"/>
                      <w:szCs w:val="21"/>
                      <w:lang w:val="en-US" w:eastAsia="zh-CN"/>
                    </w:rPr>
                    <w:t>距离长江1级支流浪溪水4.109km，距离长江1级支流香隅河5.663km，</w:t>
                  </w:r>
                  <w:r>
                    <w:rPr>
                      <w:rFonts w:hint="eastAsia"/>
                      <w:color w:val="auto"/>
                      <w:szCs w:val="21"/>
                    </w:rPr>
                    <w:t>建设餐厨垃圾处置项目，为环境卫生管理业，属于《产业结构调整指导目录》</w:t>
                  </w:r>
                  <w:r>
                    <w:rPr>
                      <w:rFonts w:hint="eastAsia"/>
                      <w:color w:val="auto"/>
                      <w:szCs w:val="21"/>
                      <w:lang w:eastAsia="zh-CN"/>
                    </w:rPr>
                    <w:t>（</w:t>
                  </w:r>
                  <w:r>
                    <w:rPr>
                      <w:rFonts w:hint="eastAsia"/>
                      <w:color w:val="auto"/>
                      <w:szCs w:val="21"/>
                      <w:lang w:val="en-US" w:eastAsia="zh-CN"/>
                    </w:rPr>
                    <w:t>2024年）</w:t>
                  </w:r>
                  <w:r>
                    <w:rPr>
                      <w:rFonts w:hint="eastAsia"/>
                      <w:color w:val="auto"/>
                      <w:szCs w:val="21"/>
                    </w:rPr>
                    <w:t>中的鼓励类项目，不属于新建石油化工和煤化工等重化工、重污染项目</w:t>
                  </w:r>
                  <w:r>
                    <w:rPr>
                      <w:rFonts w:hint="eastAsia"/>
                      <w:color w:val="auto"/>
                      <w:szCs w:val="21"/>
                      <w:lang w:eastAsia="zh-CN"/>
                    </w:rPr>
                    <w:t>。</w:t>
                  </w:r>
                </w:p>
              </w:tc>
            </w:tr>
            <w:tr w14:paraId="3D6F0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6" w:type="pct"/>
                  <w:vMerge w:val="continue"/>
                  <w:vAlign w:val="center"/>
                </w:tcPr>
                <w:p w14:paraId="7AD23EA5">
                  <w:pPr>
                    <w:snapToGrid w:val="0"/>
                    <w:jc w:val="center"/>
                    <w:rPr>
                      <w:color w:val="auto"/>
                      <w:szCs w:val="21"/>
                    </w:rPr>
                  </w:pPr>
                </w:p>
              </w:tc>
              <w:tc>
                <w:tcPr>
                  <w:tcW w:w="2683" w:type="pct"/>
                  <w:vAlign w:val="center"/>
                </w:tcPr>
                <w:p w14:paraId="642655FE">
                  <w:pPr>
                    <w:snapToGrid w:val="0"/>
                    <w:jc w:val="center"/>
                    <w:rPr>
                      <w:color w:val="auto"/>
                      <w:szCs w:val="21"/>
                    </w:rPr>
                  </w:pPr>
                  <w:r>
                    <w:rPr>
                      <w:color w:val="auto"/>
                      <w:szCs w:val="21"/>
                    </w:rPr>
                    <w:t>严控5公里范围内新建重化工重污染项目。长江干流岸线5公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合规化工园区内，严禁新批环境基础设施不完善或长期不能稳定运行的企业新建和扩建化工项目。</w:t>
                  </w:r>
                </w:p>
              </w:tc>
              <w:tc>
                <w:tcPr>
                  <w:tcW w:w="1960" w:type="pct"/>
                  <w:vMerge w:val="continue"/>
                  <w:vAlign w:val="center"/>
                </w:tcPr>
                <w:p w14:paraId="5D2A8BCA">
                  <w:pPr>
                    <w:snapToGrid w:val="0"/>
                    <w:jc w:val="center"/>
                    <w:rPr>
                      <w:color w:val="auto"/>
                      <w:szCs w:val="21"/>
                    </w:rPr>
                  </w:pPr>
                </w:p>
              </w:tc>
            </w:tr>
            <w:tr w14:paraId="372E5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56" w:type="pct"/>
                  <w:vAlign w:val="center"/>
                </w:tcPr>
                <w:p w14:paraId="5D4D5505">
                  <w:pPr>
                    <w:snapToGrid w:val="0"/>
                    <w:jc w:val="center"/>
                    <w:rPr>
                      <w:color w:val="auto"/>
                      <w:szCs w:val="21"/>
                    </w:rPr>
                  </w:pPr>
                  <w:r>
                    <w:rPr>
                      <w:color w:val="auto"/>
                      <w:szCs w:val="21"/>
                    </w:rPr>
                    <w:t>3</w:t>
                  </w:r>
                </w:p>
              </w:tc>
              <w:tc>
                <w:tcPr>
                  <w:tcW w:w="2683" w:type="pct"/>
                  <w:vAlign w:val="center"/>
                </w:tcPr>
                <w:p w14:paraId="50FFD6BF">
                  <w:pPr>
                    <w:snapToGrid w:val="0"/>
                    <w:jc w:val="center"/>
                    <w:rPr>
                      <w:color w:val="auto"/>
                      <w:szCs w:val="21"/>
                    </w:rPr>
                  </w:pPr>
                  <w:r>
                    <w:rPr>
                      <w:color w:val="auto"/>
                      <w:szCs w:val="21"/>
                    </w:rPr>
                    <w:t>依法依规推动落后产能退出。以钢铁、煤炭、水泥、平板玻璃等行业为重点，严把能耗、环保、质量、安全、技术等标准，严格常态化执法，促使一批达不到标准和生产不合格产品或淘汰类产能的企业，依法依规关停退出。</w:t>
                  </w:r>
                </w:p>
              </w:tc>
              <w:tc>
                <w:tcPr>
                  <w:tcW w:w="1960" w:type="pct"/>
                  <w:vAlign w:val="center"/>
                </w:tcPr>
                <w:p w14:paraId="5550CFF0">
                  <w:pPr>
                    <w:snapToGrid w:val="0"/>
                    <w:jc w:val="center"/>
                    <w:rPr>
                      <w:color w:val="auto"/>
                      <w:szCs w:val="21"/>
                    </w:rPr>
                  </w:pPr>
                  <w:r>
                    <w:rPr>
                      <w:color w:val="auto"/>
                      <w:szCs w:val="21"/>
                    </w:rPr>
                    <w:t>本项目不属于落后产能项目，</w:t>
                  </w:r>
                  <w:r>
                    <w:rPr>
                      <w:rFonts w:hint="eastAsia"/>
                      <w:color w:val="auto"/>
                      <w:szCs w:val="21"/>
                    </w:rPr>
                    <w:t>严格执行</w:t>
                  </w:r>
                  <w:r>
                    <w:rPr>
                      <w:color w:val="auto"/>
                      <w:szCs w:val="21"/>
                    </w:rPr>
                    <w:t>能耗、环保、质量、安全、技术等标准。</w:t>
                  </w:r>
                </w:p>
              </w:tc>
            </w:tr>
            <w:tr w14:paraId="401B0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6" w:type="pct"/>
                  <w:vAlign w:val="center"/>
                </w:tcPr>
                <w:p w14:paraId="6932C3B1">
                  <w:pPr>
                    <w:snapToGrid w:val="0"/>
                    <w:jc w:val="center"/>
                    <w:rPr>
                      <w:color w:val="auto"/>
                      <w:szCs w:val="21"/>
                    </w:rPr>
                  </w:pPr>
                  <w:r>
                    <w:rPr>
                      <w:color w:val="auto"/>
                      <w:szCs w:val="21"/>
                    </w:rPr>
                    <w:t>4</w:t>
                  </w:r>
                </w:p>
              </w:tc>
              <w:tc>
                <w:tcPr>
                  <w:tcW w:w="2683" w:type="pct"/>
                  <w:vAlign w:val="center"/>
                </w:tcPr>
                <w:p w14:paraId="35190E13">
                  <w:pPr>
                    <w:snapToGrid w:val="0"/>
                    <w:jc w:val="center"/>
                    <w:rPr>
                      <w:color w:val="auto"/>
                      <w:szCs w:val="21"/>
                    </w:rPr>
                  </w:pPr>
                  <w:r>
                    <w:rPr>
                      <w:color w:val="auto"/>
                      <w:szCs w:val="21"/>
                    </w:rPr>
                    <w:t>严格控制污染物排放。加快构建市场导向的绿色技术创新体系，采用节能低碳环保技术改造传统产业，推进电镀、造纸、农副食品加工等行业清洁生产改造，从源头上减少高浓度难降解有机废水、挥发性和持久性有机污染物、重金属等排放量及固体废物产生量。</w:t>
                  </w:r>
                </w:p>
              </w:tc>
              <w:tc>
                <w:tcPr>
                  <w:tcW w:w="1960" w:type="pct"/>
                  <w:vAlign w:val="center"/>
                </w:tcPr>
                <w:p w14:paraId="6D9D2182">
                  <w:pPr>
                    <w:snapToGrid w:val="0"/>
                    <w:jc w:val="center"/>
                    <w:rPr>
                      <w:rFonts w:hint="default"/>
                      <w:color w:val="auto"/>
                      <w:szCs w:val="21"/>
                      <w:lang w:eastAsia="zh-CN"/>
                    </w:rPr>
                  </w:pPr>
                  <w:r>
                    <w:rPr>
                      <w:color w:val="auto"/>
                      <w:szCs w:val="21"/>
                    </w:rPr>
                    <w:t>本项目运营期</w:t>
                  </w:r>
                  <w:r>
                    <w:rPr>
                      <w:rFonts w:hint="eastAsia"/>
                      <w:color w:val="auto"/>
                      <w:szCs w:val="21"/>
                      <w:lang w:eastAsia="zh-CN"/>
                    </w:rPr>
                    <w:t>生产车间内加热罐、三相分离的设备废气经过油雾净化器</w:t>
                  </w:r>
                  <w:r>
                    <w:rPr>
                      <w:rFonts w:hint="eastAsia" w:ascii="Times New Roman" w:hAnsi="Times New Roman" w:eastAsia="宋体" w:cs="Times New Roman"/>
                      <w:color w:val="auto"/>
                      <w:szCs w:val="21"/>
                      <w:lang w:val="en-US" w:eastAsia="zh-CN"/>
                    </w:rPr>
                    <w:t>+管式热交换器</w:t>
                  </w:r>
                  <w:r>
                    <w:rPr>
                      <w:rFonts w:hint="eastAsia" w:ascii="Times New Roman" w:hAnsi="Times New Roman" w:eastAsia="宋体" w:cs="Times New Roman"/>
                      <w:color w:val="auto"/>
                      <w:szCs w:val="21"/>
                      <w:lang w:eastAsia="zh-CN"/>
                    </w:rPr>
                    <w:t>处理后、汇同车间其他废气、储罐废气一起进入</w:t>
                  </w:r>
                  <w:r>
                    <w:rPr>
                      <w:rFonts w:hint="eastAsia"/>
                      <w:color w:val="auto"/>
                      <w:szCs w:val="21"/>
                      <w:lang w:eastAsia="zh-CN"/>
                    </w:rPr>
                    <w:t>酸洗+碱洗+次氯酸钠洗</w:t>
                  </w:r>
                  <w:r>
                    <w:rPr>
                      <w:rFonts w:hint="eastAsia"/>
                      <w:color w:val="auto"/>
                      <w:szCs w:val="21"/>
                      <w:lang w:val="en-US" w:eastAsia="zh-CN"/>
                    </w:rPr>
                    <w:t>+干式过滤器+一级活性炭处理，</w:t>
                  </w:r>
                  <w:r>
                    <w:rPr>
                      <w:rFonts w:hint="eastAsia"/>
                      <w:color w:val="auto"/>
                      <w:szCs w:val="21"/>
                      <w:lang w:eastAsia="zh-CN"/>
                    </w:rPr>
                    <w:t>通过排气筒（15m）排放（编号：DA001）</w:t>
                  </w:r>
                </w:p>
              </w:tc>
            </w:tr>
            <w:tr w14:paraId="3724C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 w:type="pct"/>
                  <w:vAlign w:val="center"/>
                </w:tcPr>
                <w:p w14:paraId="54BBC9D7">
                  <w:pPr>
                    <w:snapToGrid w:val="0"/>
                    <w:jc w:val="center"/>
                    <w:rPr>
                      <w:color w:val="auto"/>
                      <w:szCs w:val="21"/>
                    </w:rPr>
                  </w:pPr>
                  <w:r>
                    <w:rPr>
                      <w:color w:val="auto"/>
                      <w:szCs w:val="21"/>
                    </w:rPr>
                    <w:t>5</w:t>
                  </w:r>
                </w:p>
              </w:tc>
              <w:tc>
                <w:tcPr>
                  <w:tcW w:w="2683" w:type="pct"/>
                  <w:vAlign w:val="center"/>
                </w:tcPr>
                <w:p w14:paraId="4F6784B1">
                  <w:pPr>
                    <w:widowControl/>
                    <w:jc w:val="center"/>
                    <w:textAlignment w:val="top"/>
                    <w:rPr>
                      <w:color w:val="auto"/>
                      <w:szCs w:val="21"/>
                    </w:rPr>
                  </w:pPr>
                  <w:r>
                    <w:rPr>
                      <w:color w:val="auto"/>
                      <w:szCs w:val="21"/>
                    </w:rPr>
                    <w:t>管住固体废物污染。提升危险废物利用处置水平。</w:t>
                  </w:r>
                </w:p>
              </w:tc>
              <w:tc>
                <w:tcPr>
                  <w:tcW w:w="1960" w:type="pct"/>
                  <w:vAlign w:val="center"/>
                </w:tcPr>
                <w:p w14:paraId="56F7ACBC">
                  <w:pPr>
                    <w:snapToGrid w:val="0"/>
                    <w:jc w:val="center"/>
                    <w:rPr>
                      <w:color w:val="auto"/>
                      <w:szCs w:val="21"/>
                    </w:rPr>
                  </w:pPr>
                  <w:r>
                    <w:rPr>
                      <w:color w:val="auto"/>
                      <w:szCs w:val="21"/>
                    </w:rPr>
                    <w:t>本项目生活垃圾交由环卫部门清运，</w:t>
                  </w:r>
                  <w:r>
                    <w:rPr>
                      <w:rFonts w:hint="eastAsia"/>
                      <w:color w:val="auto"/>
                      <w:szCs w:val="21"/>
                      <w:lang w:eastAsia="zh-CN"/>
                    </w:rPr>
                    <w:t>固渣委托</w:t>
                  </w:r>
                  <w:r>
                    <w:rPr>
                      <w:rFonts w:hint="eastAsia"/>
                      <w:color w:val="auto"/>
                      <w:szCs w:val="21"/>
                      <w:lang w:val="en-US" w:eastAsia="zh-CN"/>
                    </w:rPr>
                    <w:t>东至海创环境科技有限公司（垃圾焚烧厂）</w:t>
                  </w:r>
                  <w:r>
                    <w:rPr>
                      <w:rFonts w:hint="eastAsia"/>
                      <w:color w:val="auto"/>
                      <w:szCs w:val="21"/>
                      <w:lang w:eastAsia="zh-CN"/>
                    </w:rPr>
                    <w:t>进行处置，废活性炭、废化学药剂包装物、废润滑油和废含油抹布和手套等</w:t>
                  </w:r>
                  <w:r>
                    <w:rPr>
                      <w:color w:val="auto"/>
                      <w:szCs w:val="21"/>
                    </w:rPr>
                    <w:t>危险废物收集后暂存于危废间</w:t>
                  </w:r>
                  <w:r>
                    <w:rPr>
                      <w:rFonts w:hint="eastAsia"/>
                      <w:color w:val="auto"/>
                      <w:szCs w:val="21"/>
                      <w:lang w:eastAsia="zh-CN"/>
                    </w:rPr>
                    <w:t>（丙类仓库</w:t>
                  </w:r>
                  <w:r>
                    <w:rPr>
                      <w:rFonts w:hint="eastAsia"/>
                      <w:color w:val="auto"/>
                      <w:szCs w:val="21"/>
                      <w:lang w:val="en-US" w:eastAsia="zh-CN"/>
                    </w:rPr>
                    <w:t>）</w:t>
                  </w:r>
                  <w:r>
                    <w:rPr>
                      <w:color w:val="auto"/>
                      <w:szCs w:val="21"/>
                    </w:rPr>
                    <w:t>，定期委托有资质的单位处置。</w:t>
                  </w:r>
                </w:p>
              </w:tc>
            </w:tr>
          </w:tbl>
          <w:p w14:paraId="1B918A44">
            <w:pPr>
              <w:pStyle w:val="14"/>
              <w:keepNext w:val="0"/>
              <w:keepLines w:val="0"/>
              <w:pageBreakBefore w:val="0"/>
              <w:widowControl/>
              <w:kinsoku/>
              <w:wordWrap/>
              <w:overflowPunct/>
              <w:topLinePunct w:val="0"/>
              <w:autoSpaceDE/>
              <w:autoSpaceDN/>
              <w:bidi w:val="0"/>
              <w:adjustRightInd/>
              <w:snapToGrid w:val="0"/>
              <w:spacing w:before="0" w:after="0" w:line="360" w:lineRule="auto"/>
              <w:ind w:right="0"/>
              <w:textAlignment w:val="auto"/>
              <w:rPr>
                <w:rFonts w:hint="eastAsia"/>
                <w:b/>
                <w:bCs/>
                <w:color w:val="auto"/>
                <w:sz w:val="24"/>
                <w:szCs w:val="28"/>
                <w:lang w:eastAsia="zh-CN"/>
              </w:rPr>
            </w:pPr>
            <w:r>
              <w:rPr>
                <w:rFonts w:hint="eastAsia"/>
                <w:b/>
                <w:bCs/>
                <w:color w:val="auto"/>
                <w:sz w:val="24"/>
                <w:lang w:val="en-US" w:eastAsia="zh-CN"/>
              </w:rPr>
              <w:t>6</w:t>
            </w:r>
            <w:r>
              <w:rPr>
                <w:b/>
                <w:bCs/>
                <w:color w:val="auto"/>
                <w:sz w:val="24"/>
              </w:rPr>
              <w:t>、</w:t>
            </w:r>
            <w:r>
              <w:rPr>
                <w:rFonts w:hint="eastAsia"/>
                <w:b/>
                <w:bCs/>
                <w:color w:val="auto"/>
                <w:sz w:val="24"/>
                <w:szCs w:val="28"/>
                <w:lang w:eastAsia="zh-CN"/>
              </w:rPr>
              <w:t>与《安徽省大气办关于深入开展挥发性有机物污染治理工作的通知》（皖大气办【</w:t>
            </w:r>
            <w:r>
              <w:rPr>
                <w:rFonts w:hint="eastAsia"/>
                <w:b/>
                <w:bCs/>
                <w:color w:val="auto"/>
                <w:sz w:val="24"/>
                <w:szCs w:val="28"/>
                <w:lang w:val="en-US" w:eastAsia="zh-CN"/>
              </w:rPr>
              <w:t>2021</w:t>
            </w:r>
            <w:r>
              <w:rPr>
                <w:rFonts w:hint="eastAsia"/>
                <w:b/>
                <w:bCs/>
                <w:color w:val="auto"/>
                <w:sz w:val="24"/>
                <w:szCs w:val="28"/>
                <w:lang w:eastAsia="zh-CN"/>
              </w:rPr>
              <w:t>】</w:t>
            </w:r>
            <w:r>
              <w:rPr>
                <w:rFonts w:hint="eastAsia"/>
                <w:b/>
                <w:bCs/>
                <w:color w:val="auto"/>
                <w:sz w:val="24"/>
                <w:szCs w:val="28"/>
                <w:lang w:val="en-US" w:eastAsia="zh-CN"/>
              </w:rPr>
              <w:t>4号</w:t>
            </w:r>
            <w:r>
              <w:rPr>
                <w:rFonts w:hint="eastAsia"/>
                <w:b/>
                <w:bCs/>
                <w:color w:val="auto"/>
                <w:sz w:val="24"/>
                <w:szCs w:val="28"/>
                <w:lang w:eastAsia="zh-CN"/>
              </w:rPr>
              <w:t>）符合性分析</w:t>
            </w:r>
          </w:p>
          <w:p w14:paraId="6BDC9DED">
            <w:pPr>
              <w:pStyle w:val="16"/>
              <w:spacing w:line="240" w:lineRule="auto"/>
              <w:jc w:val="center"/>
              <w:rPr>
                <w:rFonts w:hint="eastAsia"/>
                <w:b/>
                <w:bCs/>
                <w:color w:val="auto"/>
                <w:sz w:val="21"/>
                <w:szCs w:val="22"/>
                <w:lang w:eastAsia="zh-CN"/>
              </w:rPr>
            </w:pPr>
            <w:r>
              <w:rPr>
                <w:rFonts w:hint="eastAsia"/>
                <w:b/>
                <w:bCs/>
                <w:color w:val="auto"/>
                <w:sz w:val="21"/>
                <w:szCs w:val="22"/>
                <w:lang w:eastAsia="zh-CN"/>
              </w:rPr>
              <w:t>表</w:t>
            </w:r>
            <w:r>
              <w:rPr>
                <w:rFonts w:hint="eastAsia"/>
                <w:b/>
                <w:bCs/>
                <w:color w:val="auto"/>
                <w:sz w:val="21"/>
                <w:szCs w:val="22"/>
                <w:lang w:val="en-US" w:eastAsia="zh-CN"/>
              </w:rPr>
              <w:t>1-6与</w:t>
            </w:r>
            <w:r>
              <w:rPr>
                <w:rFonts w:hint="eastAsia"/>
                <w:b/>
                <w:bCs/>
                <w:color w:val="auto"/>
                <w:sz w:val="21"/>
                <w:szCs w:val="22"/>
                <w:lang w:eastAsia="zh-CN"/>
              </w:rPr>
              <w:t>皖大气办【</w:t>
            </w:r>
            <w:r>
              <w:rPr>
                <w:rFonts w:hint="eastAsia"/>
                <w:b/>
                <w:bCs/>
                <w:color w:val="auto"/>
                <w:sz w:val="21"/>
                <w:szCs w:val="22"/>
                <w:lang w:val="en-US" w:eastAsia="zh-CN"/>
              </w:rPr>
              <w:t>2021</w:t>
            </w:r>
            <w:r>
              <w:rPr>
                <w:rFonts w:hint="eastAsia"/>
                <w:b/>
                <w:bCs/>
                <w:color w:val="auto"/>
                <w:sz w:val="21"/>
                <w:szCs w:val="22"/>
                <w:lang w:eastAsia="zh-CN"/>
              </w:rPr>
              <w:t>】</w:t>
            </w:r>
            <w:r>
              <w:rPr>
                <w:rFonts w:hint="eastAsia"/>
                <w:b/>
                <w:bCs/>
                <w:color w:val="auto"/>
                <w:sz w:val="21"/>
                <w:szCs w:val="22"/>
                <w:lang w:val="en-US" w:eastAsia="zh-CN"/>
              </w:rPr>
              <w:t>4号</w:t>
            </w:r>
            <w:r>
              <w:rPr>
                <w:rFonts w:hint="eastAsia"/>
                <w:b/>
                <w:bCs/>
                <w:color w:val="auto"/>
                <w:sz w:val="21"/>
                <w:szCs w:val="22"/>
                <w:lang w:eastAsia="zh-CN"/>
              </w:rPr>
              <w:t>的符合性分析</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52"/>
              <w:gridCol w:w="2865"/>
              <w:gridCol w:w="1658"/>
            </w:tblGrid>
            <w:tr w14:paraId="70EA6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2" w:type="dxa"/>
                  <w:vAlign w:val="center"/>
                </w:tcPr>
                <w:p w14:paraId="36BA3D5B">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default"/>
                      <w:b/>
                      <w:bCs/>
                      <w:color w:val="auto"/>
                      <w:sz w:val="21"/>
                      <w:szCs w:val="22"/>
                      <w:vertAlign w:val="baseline"/>
                      <w:lang w:val="en-US" w:eastAsia="zh-CN"/>
                    </w:rPr>
                  </w:pPr>
                  <w:r>
                    <w:rPr>
                      <w:rFonts w:hint="eastAsia"/>
                      <w:b/>
                      <w:bCs/>
                      <w:color w:val="auto"/>
                      <w:sz w:val="21"/>
                      <w:szCs w:val="22"/>
                      <w:vertAlign w:val="baseline"/>
                      <w:lang w:val="en-US" w:eastAsia="zh-CN"/>
                    </w:rPr>
                    <w:t>文件要求</w:t>
                  </w:r>
                </w:p>
              </w:tc>
              <w:tc>
                <w:tcPr>
                  <w:tcW w:w="2865" w:type="dxa"/>
                  <w:vAlign w:val="center"/>
                </w:tcPr>
                <w:p w14:paraId="0BC5E5AD">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default"/>
                      <w:b/>
                      <w:bCs/>
                      <w:color w:val="auto"/>
                      <w:sz w:val="21"/>
                      <w:szCs w:val="22"/>
                      <w:vertAlign w:val="baseline"/>
                      <w:lang w:val="en-US" w:eastAsia="zh-CN"/>
                    </w:rPr>
                  </w:pPr>
                  <w:r>
                    <w:rPr>
                      <w:rFonts w:hint="eastAsia"/>
                      <w:b/>
                      <w:bCs/>
                      <w:color w:val="auto"/>
                      <w:sz w:val="21"/>
                      <w:szCs w:val="22"/>
                      <w:vertAlign w:val="baseline"/>
                      <w:lang w:val="en-US" w:eastAsia="zh-CN"/>
                    </w:rPr>
                    <w:t>本项目情况</w:t>
                  </w:r>
                </w:p>
              </w:tc>
              <w:tc>
                <w:tcPr>
                  <w:tcW w:w="1658" w:type="dxa"/>
                  <w:vAlign w:val="center"/>
                </w:tcPr>
                <w:p w14:paraId="2324C71D">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default"/>
                      <w:b/>
                      <w:bCs/>
                      <w:color w:val="auto"/>
                      <w:sz w:val="21"/>
                      <w:szCs w:val="22"/>
                      <w:vertAlign w:val="baseline"/>
                      <w:lang w:val="en-US" w:eastAsia="zh-CN"/>
                    </w:rPr>
                  </w:pPr>
                  <w:r>
                    <w:rPr>
                      <w:rFonts w:hint="eastAsia"/>
                      <w:b/>
                      <w:bCs/>
                      <w:color w:val="auto"/>
                      <w:sz w:val="21"/>
                      <w:szCs w:val="22"/>
                      <w:vertAlign w:val="baseline"/>
                      <w:lang w:val="en-US" w:eastAsia="zh-CN"/>
                    </w:rPr>
                    <w:t>是否符合要求</w:t>
                  </w:r>
                </w:p>
              </w:tc>
            </w:tr>
            <w:tr w14:paraId="4F2F3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2" w:type="dxa"/>
                  <w:vAlign w:val="center"/>
                </w:tcPr>
                <w:p w14:paraId="472E6517">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default"/>
                      <w:color w:val="auto"/>
                      <w:sz w:val="21"/>
                      <w:szCs w:val="22"/>
                      <w:vertAlign w:val="baseline"/>
                      <w:lang w:val="en-US" w:eastAsia="zh-CN"/>
                    </w:rPr>
                  </w:pPr>
                  <w:r>
                    <w:rPr>
                      <w:rFonts w:hint="default"/>
                      <w:color w:val="auto"/>
                      <w:sz w:val="21"/>
                      <w:szCs w:val="22"/>
                      <w:vertAlign w:val="baseline"/>
                      <w:lang w:val="en-US" w:eastAsia="zh-CN"/>
                    </w:rPr>
                    <w:t>实施排污许可。建立健全以排污许可核发为中心的 VOCs 管控依据，不断规范涉 VOCs 工业企业的排污许可登记管理，落实企业 VOCs 源头削减、过程控制和末端污染治理工作，推进企业自行监测、台账落实和定期报告的具体规定落地，严厉处罚无证和不按证排污行为</w:t>
                  </w:r>
                </w:p>
              </w:tc>
              <w:tc>
                <w:tcPr>
                  <w:tcW w:w="2865" w:type="dxa"/>
                  <w:vAlign w:val="center"/>
                </w:tcPr>
                <w:p w14:paraId="284BE2AC">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default"/>
                      <w:color w:val="auto"/>
                      <w:sz w:val="21"/>
                      <w:szCs w:val="22"/>
                      <w:vertAlign w:val="baseline"/>
                      <w:lang w:val="en-US" w:eastAsia="zh-CN"/>
                    </w:rPr>
                  </w:pPr>
                  <w:r>
                    <w:rPr>
                      <w:rFonts w:hint="default"/>
                      <w:color w:val="auto"/>
                      <w:sz w:val="21"/>
                      <w:szCs w:val="22"/>
                      <w:vertAlign w:val="baseline"/>
                      <w:lang w:val="en-US" w:eastAsia="zh-CN"/>
                    </w:rPr>
                    <w:t>企业排污许可管理类别为</w:t>
                  </w:r>
                  <w:r>
                    <w:rPr>
                      <w:rFonts w:hint="eastAsia"/>
                      <w:color w:val="auto"/>
                      <w:sz w:val="21"/>
                      <w:szCs w:val="22"/>
                      <w:vertAlign w:val="baseline"/>
                      <w:lang w:val="en-US" w:eastAsia="zh-CN"/>
                    </w:rPr>
                    <w:t>简化</w:t>
                  </w:r>
                  <w:r>
                    <w:rPr>
                      <w:rFonts w:hint="default"/>
                      <w:color w:val="auto"/>
                      <w:sz w:val="21"/>
                      <w:szCs w:val="22"/>
                      <w:vertAlign w:val="baseline"/>
                      <w:lang w:val="en-US" w:eastAsia="zh-CN"/>
                    </w:rPr>
                    <w:t>管理，项目建成并投入生产运营前将按要求在全国排污许可证管理信息平台</w:t>
                  </w:r>
                  <w:r>
                    <w:rPr>
                      <w:rFonts w:hint="eastAsia"/>
                      <w:color w:val="auto"/>
                      <w:sz w:val="21"/>
                      <w:szCs w:val="22"/>
                      <w:vertAlign w:val="baseline"/>
                      <w:lang w:val="en-US" w:eastAsia="zh-CN"/>
                    </w:rPr>
                    <w:t>进行申请核发排污许可证</w:t>
                  </w:r>
                  <w:r>
                    <w:rPr>
                      <w:rFonts w:hint="default"/>
                      <w:color w:val="auto"/>
                      <w:sz w:val="21"/>
                      <w:szCs w:val="22"/>
                      <w:vertAlign w:val="baseline"/>
                      <w:lang w:val="en-US" w:eastAsia="zh-CN"/>
                    </w:rPr>
                    <w:t>，并按照要求落实自行监测等</w:t>
                  </w:r>
                </w:p>
              </w:tc>
              <w:tc>
                <w:tcPr>
                  <w:tcW w:w="1658" w:type="dxa"/>
                  <w:vAlign w:val="center"/>
                </w:tcPr>
                <w:p w14:paraId="05FE5CEF">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default"/>
                      <w:color w:val="auto"/>
                      <w:sz w:val="21"/>
                      <w:szCs w:val="22"/>
                      <w:vertAlign w:val="baseline"/>
                      <w:lang w:val="en-US" w:eastAsia="zh-CN"/>
                    </w:rPr>
                  </w:pPr>
                  <w:r>
                    <w:rPr>
                      <w:rFonts w:hint="default"/>
                      <w:color w:val="auto"/>
                      <w:sz w:val="21"/>
                      <w:szCs w:val="22"/>
                      <w:vertAlign w:val="baseline"/>
                      <w:lang w:val="en-US" w:eastAsia="zh-CN"/>
                    </w:rPr>
                    <w:t>符合</w:t>
                  </w:r>
                </w:p>
              </w:tc>
            </w:tr>
          </w:tbl>
          <w:p w14:paraId="06DFDE07">
            <w:pPr>
              <w:pStyle w:val="14"/>
              <w:keepNext w:val="0"/>
              <w:keepLines w:val="0"/>
              <w:pageBreakBefore w:val="0"/>
              <w:widowControl/>
              <w:kinsoku/>
              <w:wordWrap/>
              <w:overflowPunct/>
              <w:topLinePunct w:val="0"/>
              <w:autoSpaceDE/>
              <w:autoSpaceDN/>
              <w:bidi w:val="0"/>
              <w:adjustRightInd/>
              <w:snapToGrid w:val="0"/>
              <w:spacing w:before="0" w:after="0" w:line="360" w:lineRule="auto"/>
              <w:ind w:right="0"/>
              <w:textAlignment w:val="auto"/>
              <w:rPr>
                <w:color w:val="auto"/>
              </w:rPr>
            </w:pPr>
            <w:r>
              <w:rPr>
                <w:rFonts w:hint="eastAsia"/>
                <w:b/>
                <w:bCs/>
                <w:color w:val="auto"/>
                <w:sz w:val="24"/>
                <w:szCs w:val="28"/>
                <w:lang w:val="en-US" w:eastAsia="zh-CN"/>
              </w:rPr>
              <w:t>7、与《长江经济带发展负面清单指南（试行）》、《关于印发安徽省长江经济带发展负面清单实施细则（试行，2022年版）的通知》的符合性分析</w:t>
            </w:r>
          </w:p>
          <w:p w14:paraId="251C1CB0">
            <w:pPr>
              <w:pStyle w:val="13"/>
              <w:jc w:val="center"/>
              <w:rPr>
                <w:rFonts w:hint="eastAsia"/>
                <w:b/>
                <w:bCs/>
                <w:color w:val="auto"/>
                <w:lang w:val="en-US" w:eastAsia="zh-CN"/>
              </w:rPr>
            </w:pPr>
            <w:r>
              <w:rPr>
                <w:rFonts w:hint="eastAsia"/>
                <w:b/>
                <w:bCs/>
                <w:color w:val="auto"/>
                <w:lang w:eastAsia="zh-CN"/>
              </w:rPr>
              <w:t>表</w:t>
            </w:r>
            <w:r>
              <w:rPr>
                <w:rFonts w:hint="eastAsia"/>
                <w:b/>
                <w:bCs/>
                <w:color w:val="auto"/>
                <w:lang w:val="en-US" w:eastAsia="zh-CN"/>
              </w:rPr>
              <w:t>1-7《长江经济带发展负面清单指南（试行）》、《关于印发安徽省长江经济带发展负面清单实施细则（试行，2022年版）的通知》</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27"/>
              <w:gridCol w:w="2582"/>
              <w:gridCol w:w="1166"/>
            </w:tblGrid>
            <w:tr w14:paraId="45643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7" w:type="dxa"/>
                </w:tcPr>
                <w:p w14:paraId="58ABE943">
                  <w:pPr>
                    <w:jc w:val="center"/>
                    <w:rPr>
                      <w:rFonts w:hint="default"/>
                      <w:b/>
                      <w:bCs/>
                      <w:color w:val="auto"/>
                      <w:vertAlign w:val="baseline"/>
                      <w:lang w:val="en-US" w:eastAsia="zh-CN"/>
                    </w:rPr>
                  </w:pPr>
                  <w:r>
                    <w:rPr>
                      <w:rFonts w:hint="eastAsia"/>
                      <w:b/>
                      <w:bCs/>
                      <w:color w:val="auto"/>
                      <w:vertAlign w:val="baseline"/>
                      <w:lang w:val="en-US" w:eastAsia="zh-CN"/>
                    </w:rPr>
                    <w:t>文件要求</w:t>
                  </w:r>
                </w:p>
              </w:tc>
              <w:tc>
                <w:tcPr>
                  <w:tcW w:w="2582" w:type="dxa"/>
                </w:tcPr>
                <w:p w14:paraId="52FE1DA8">
                  <w:pPr>
                    <w:jc w:val="center"/>
                    <w:rPr>
                      <w:rFonts w:hint="default"/>
                      <w:b/>
                      <w:bCs/>
                      <w:color w:val="auto"/>
                      <w:vertAlign w:val="baseline"/>
                      <w:lang w:val="en-US" w:eastAsia="zh-CN"/>
                    </w:rPr>
                  </w:pPr>
                  <w:r>
                    <w:rPr>
                      <w:rFonts w:hint="eastAsia"/>
                      <w:b/>
                      <w:bCs/>
                      <w:color w:val="auto"/>
                      <w:vertAlign w:val="baseline"/>
                      <w:lang w:val="en-US" w:eastAsia="zh-CN"/>
                    </w:rPr>
                    <w:t>本项目情况</w:t>
                  </w:r>
                </w:p>
              </w:tc>
              <w:tc>
                <w:tcPr>
                  <w:tcW w:w="1166" w:type="dxa"/>
                </w:tcPr>
                <w:p w14:paraId="58DCF91C">
                  <w:pPr>
                    <w:jc w:val="center"/>
                    <w:rPr>
                      <w:rFonts w:hint="default"/>
                      <w:b/>
                      <w:bCs/>
                      <w:color w:val="auto"/>
                      <w:vertAlign w:val="baseline"/>
                      <w:lang w:val="en-US" w:eastAsia="zh-CN"/>
                    </w:rPr>
                  </w:pPr>
                  <w:r>
                    <w:rPr>
                      <w:rFonts w:hint="eastAsia"/>
                      <w:b/>
                      <w:bCs/>
                      <w:color w:val="auto"/>
                      <w:vertAlign w:val="baseline"/>
                      <w:lang w:val="en-US" w:eastAsia="zh-CN"/>
                    </w:rPr>
                    <w:t>是否符合要求</w:t>
                  </w:r>
                </w:p>
              </w:tc>
            </w:tr>
            <w:tr w14:paraId="09D8C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7" w:type="dxa"/>
                </w:tcPr>
                <w:p w14:paraId="48E4AA64">
                  <w:pPr>
                    <w:jc w:val="center"/>
                    <w:rPr>
                      <w:rFonts w:hint="eastAsia"/>
                      <w:color w:val="auto"/>
                      <w:vertAlign w:val="baseline"/>
                      <w:lang w:val="en-US" w:eastAsia="zh-CN"/>
                    </w:rPr>
                  </w:pPr>
                  <w:r>
                    <w:rPr>
                      <w:rFonts w:hint="eastAsia"/>
                      <w:color w:val="auto"/>
                      <w:vertAlign w:val="baseline"/>
                      <w:lang w:val="en-US" w:eastAsia="zh-CN"/>
                    </w:rPr>
                    <w:t>禁止建设不符合全国和省级港口布局规划以及港口总体规划的码头项目，禁止建设不符合《长江干线过江通道布局规划》的过长江通道项目。</w:t>
                  </w:r>
                </w:p>
              </w:tc>
              <w:tc>
                <w:tcPr>
                  <w:tcW w:w="2582" w:type="dxa"/>
                </w:tcPr>
                <w:p w14:paraId="3ED263F6">
                  <w:pPr>
                    <w:jc w:val="center"/>
                    <w:rPr>
                      <w:rFonts w:hint="eastAsia"/>
                      <w:color w:val="auto"/>
                      <w:vertAlign w:val="baseline"/>
                      <w:lang w:val="en-US" w:eastAsia="zh-CN"/>
                    </w:rPr>
                  </w:pPr>
                  <w:r>
                    <w:rPr>
                      <w:rFonts w:hint="eastAsia"/>
                      <w:color w:val="auto"/>
                      <w:vertAlign w:val="baseline"/>
                      <w:lang w:val="en-US" w:eastAsia="zh-CN"/>
                    </w:rPr>
                    <w:t>本项目不属于码头项目</w:t>
                  </w:r>
                </w:p>
              </w:tc>
              <w:tc>
                <w:tcPr>
                  <w:tcW w:w="1166" w:type="dxa"/>
                </w:tcPr>
                <w:p w14:paraId="0944CADE">
                  <w:pPr>
                    <w:jc w:val="center"/>
                    <w:rPr>
                      <w:rFonts w:hint="eastAsia"/>
                      <w:color w:val="auto"/>
                      <w:vertAlign w:val="baseline"/>
                      <w:lang w:val="en-US" w:eastAsia="zh-CN"/>
                    </w:rPr>
                  </w:pPr>
                  <w:r>
                    <w:rPr>
                      <w:rFonts w:hint="eastAsia"/>
                      <w:color w:val="auto"/>
                      <w:vertAlign w:val="baseline"/>
                      <w:lang w:val="en-US" w:eastAsia="zh-CN"/>
                    </w:rPr>
                    <w:t>是</w:t>
                  </w:r>
                </w:p>
              </w:tc>
            </w:tr>
            <w:tr w14:paraId="2E68A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7" w:type="dxa"/>
                </w:tcPr>
                <w:p w14:paraId="53A38979">
                  <w:pPr>
                    <w:jc w:val="center"/>
                    <w:rPr>
                      <w:rFonts w:hint="eastAsia"/>
                      <w:color w:val="auto"/>
                      <w:vertAlign w:val="baseline"/>
                      <w:lang w:val="en-US" w:eastAsia="zh-CN"/>
                    </w:rPr>
                  </w:pPr>
                  <w:r>
                    <w:rPr>
                      <w:rFonts w:hint="eastAsia"/>
                      <w:color w:val="auto"/>
                      <w:vertAlign w:val="baseline"/>
                      <w:lang w:val="en-US" w:eastAsia="zh-CN"/>
                    </w:rPr>
                    <w:t>禁止在自然保护区核心区、缓冲区的岸线和河段范围内投资建设旅游和生产经营项目。禁止在风景名胜区核心景区的岸线和河段范围内投资建设与风景名胜资源保护无关的项目</w:t>
                  </w:r>
                </w:p>
              </w:tc>
              <w:tc>
                <w:tcPr>
                  <w:tcW w:w="2582" w:type="dxa"/>
                </w:tcPr>
                <w:p w14:paraId="39763B8D">
                  <w:pPr>
                    <w:jc w:val="center"/>
                    <w:rPr>
                      <w:rFonts w:hint="eastAsia"/>
                      <w:color w:val="auto"/>
                      <w:vertAlign w:val="baseline"/>
                      <w:lang w:val="en-US" w:eastAsia="zh-CN"/>
                    </w:rPr>
                  </w:pPr>
                  <w:r>
                    <w:rPr>
                      <w:rFonts w:hint="eastAsia"/>
                      <w:color w:val="auto"/>
                      <w:vertAlign w:val="baseline"/>
                      <w:lang w:val="en-US" w:eastAsia="zh-CN"/>
                    </w:rPr>
                    <w:t>本项目不在自然保护区核心区、缓冲区的岸线和河段范围内</w:t>
                  </w:r>
                </w:p>
              </w:tc>
              <w:tc>
                <w:tcPr>
                  <w:tcW w:w="1166" w:type="dxa"/>
                </w:tcPr>
                <w:p w14:paraId="4F030327">
                  <w:pPr>
                    <w:jc w:val="center"/>
                    <w:rPr>
                      <w:rFonts w:hint="eastAsia"/>
                      <w:color w:val="auto"/>
                      <w:vertAlign w:val="baseline"/>
                      <w:lang w:val="en-US" w:eastAsia="zh-CN"/>
                    </w:rPr>
                  </w:pPr>
                  <w:r>
                    <w:rPr>
                      <w:rFonts w:hint="eastAsia"/>
                      <w:color w:val="auto"/>
                      <w:vertAlign w:val="baseline"/>
                      <w:lang w:val="en-US" w:eastAsia="zh-CN"/>
                    </w:rPr>
                    <w:t>是</w:t>
                  </w:r>
                </w:p>
              </w:tc>
            </w:tr>
            <w:tr w14:paraId="75A80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27" w:type="dxa"/>
                </w:tcPr>
                <w:p w14:paraId="5A63BF6D">
                  <w:pPr>
                    <w:jc w:val="center"/>
                    <w:rPr>
                      <w:rFonts w:hint="eastAsia"/>
                      <w:color w:val="auto"/>
                      <w:vertAlign w:val="baseline"/>
                      <w:lang w:val="en-US" w:eastAsia="zh-CN"/>
                    </w:rPr>
                  </w:pPr>
                  <w:r>
                    <w:rPr>
                      <w:rFonts w:hint="eastAsia"/>
                      <w:color w:val="auto"/>
                      <w:vertAlign w:val="baseline"/>
                      <w:lang w:val="en-US" w:eastAsia="zh-CN"/>
                    </w:rPr>
                    <w:t>禁止在饮用水水源一级保护区的岸线和河段范围内新建、改建、扩建与供水设施和保护水源无关的项目，以及网箱养殖、畜禽养殖、旅游等可能污染饮用水水体的投资建设项目。禁止在饮用水水源二级保护区的岸线和河段范围内新建、改建、扩建排放污染物的投资建设项目</w:t>
                  </w:r>
                </w:p>
              </w:tc>
              <w:tc>
                <w:tcPr>
                  <w:tcW w:w="2582" w:type="dxa"/>
                </w:tcPr>
                <w:p w14:paraId="06DDCF76">
                  <w:pPr>
                    <w:jc w:val="center"/>
                    <w:rPr>
                      <w:rFonts w:hint="eastAsia"/>
                      <w:color w:val="auto"/>
                      <w:vertAlign w:val="baseline"/>
                      <w:lang w:val="en-US" w:eastAsia="zh-CN"/>
                    </w:rPr>
                  </w:pPr>
                  <w:r>
                    <w:rPr>
                      <w:rFonts w:hint="eastAsia"/>
                      <w:color w:val="auto"/>
                      <w:vertAlign w:val="baseline"/>
                      <w:lang w:val="en-US" w:eastAsia="zh-CN"/>
                    </w:rPr>
                    <w:t>本项目不在饮用水水源保护区的岸线和河段范围内</w:t>
                  </w:r>
                </w:p>
              </w:tc>
              <w:tc>
                <w:tcPr>
                  <w:tcW w:w="1166" w:type="dxa"/>
                </w:tcPr>
                <w:p w14:paraId="09D1EB36">
                  <w:pPr>
                    <w:jc w:val="center"/>
                    <w:rPr>
                      <w:rFonts w:hint="eastAsia"/>
                      <w:color w:val="auto"/>
                      <w:vertAlign w:val="baseline"/>
                      <w:lang w:val="en-US" w:eastAsia="zh-CN"/>
                    </w:rPr>
                  </w:pPr>
                  <w:r>
                    <w:rPr>
                      <w:rFonts w:hint="eastAsia"/>
                      <w:color w:val="auto"/>
                      <w:vertAlign w:val="baseline"/>
                      <w:lang w:val="en-US" w:eastAsia="zh-CN"/>
                    </w:rPr>
                    <w:t>是</w:t>
                  </w:r>
                </w:p>
              </w:tc>
            </w:tr>
            <w:tr w14:paraId="4F272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7" w:type="dxa"/>
                </w:tcPr>
                <w:p w14:paraId="592BBE2D">
                  <w:pPr>
                    <w:jc w:val="center"/>
                    <w:rPr>
                      <w:rFonts w:hint="eastAsia"/>
                      <w:color w:val="auto"/>
                      <w:vertAlign w:val="baseline"/>
                      <w:lang w:val="en-US" w:eastAsia="zh-CN"/>
                    </w:rPr>
                  </w:pPr>
                  <w:r>
                    <w:rPr>
                      <w:rFonts w:hint="eastAsia"/>
                      <w:color w:val="auto"/>
                      <w:vertAlign w:val="baseline"/>
                      <w:lang w:val="en-US" w:eastAsia="zh-CN"/>
                    </w:rPr>
                    <w:t>禁止未经许可在长江干支流及湖泊新设、改设或扩大排污口。</w:t>
                  </w:r>
                </w:p>
              </w:tc>
              <w:tc>
                <w:tcPr>
                  <w:tcW w:w="2582" w:type="dxa"/>
                </w:tcPr>
                <w:p w14:paraId="07996950">
                  <w:pPr>
                    <w:jc w:val="center"/>
                    <w:rPr>
                      <w:rFonts w:hint="eastAsia"/>
                      <w:color w:val="auto"/>
                      <w:vertAlign w:val="baseline"/>
                      <w:lang w:val="en-US" w:eastAsia="zh-CN"/>
                    </w:rPr>
                  </w:pPr>
                  <w:r>
                    <w:rPr>
                      <w:rFonts w:hint="eastAsia"/>
                      <w:color w:val="auto"/>
                      <w:vertAlign w:val="baseline"/>
                      <w:lang w:val="en-US" w:eastAsia="zh-CN"/>
                    </w:rPr>
                    <w:t>本项目废水利用池州中器环保科技有限公司的污水处理设施处理后，通过排污口进行排放，不涉及排污口的建设。</w:t>
                  </w:r>
                </w:p>
              </w:tc>
              <w:tc>
                <w:tcPr>
                  <w:tcW w:w="1166" w:type="dxa"/>
                </w:tcPr>
                <w:p w14:paraId="0B74F6B7">
                  <w:pPr>
                    <w:jc w:val="center"/>
                    <w:rPr>
                      <w:rFonts w:hint="eastAsia"/>
                      <w:color w:val="auto"/>
                      <w:vertAlign w:val="baseline"/>
                      <w:lang w:val="en-US" w:eastAsia="zh-CN"/>
                    </w:rPr>
                  </w:pPr>
                  <w:r>
                    <w:rPr>
                      <w:rFonts w:hint="eastAsia"/>
                      <w:color w:val="auto"/>
                      <w:vertAlign w:val="baseline"/>
                      <w:lang w:val="en-US" w:eastAsia="zh-CN"/>
                    </w:rPr>
                    <w:t>是</w:t>
                  </w:r>
                </w:p>
              </w:tc>
            </w:tr>
            <w:tr w14:paraId="7E313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7" w:type="dxa"/>
                </w:tcPr>
                <w:p w14:paraId="389E8DBD">
                  <w:pPr>
                    <w:jc w:val="center"/>
                    <w:rPr>
                      <w:rFonts w:hint="eastAsia"/>
                      <w:color w:val="auto"/>
                      <w:vertAlign w:val="baseline"/>
                      <w:lang w:val="en-US" w:eastAsia="zh-CN"/>
                    </w:rPr>
                  </w:pPr>
                  <w:r>
                    <w:rPr>
                      <w:rFonts w:hint="eastAsia"/>
                      <w:color w:val="auto"/>
                      <w:vertAlign w:val="baseline"/>
                      <w:lang w:val="en-US" w:eastAsia="zh-CN"/>
                    </w:rPr>
                    <w:t>禁止在长江千支流、重要湖泊岸线一公里范围内新建、扩建化工园区和化工项目。禁止在长江干流岸线三公里范围内和重要支流岸线一公里范围内新建、改建、扩建尾矿库、冶炼渣库和磷石膏库，以提升安全、生态环境保护水平为目的的改建除外。</w:t>
                  </w:r>
                </w:p>
              </w:tc>
              <w:tc>
                <w:tcPr>
                  <w:tcW w:w="2582" w:type="dxa"/>
                  <w:shd w:val="clear" w:color="auto" w:fill="auto"/>
                  <w:vAlign w:val="center"/>
                </w:tcPr>
                <w:p w14:paraId="360CBE09">
                  <w:pPr>
                    <w:jc w:val="center"/>
                    <w:rPr>
                      <w:rFonts w:hint="eastAsia"/>
                      <w:color w:val="auto"/>
                      <w:vertAlign w:val="baseline"/>
                      <w:lang w:val="en-US" w:eastAsia="zh-CN"/>
                    </w:rPr>
                  </w:pPr>
                  <w:r>
                    <w:rPr>
                      <w:rFonts w:hint="eastAsia"/>
                      <w:color w:val="auto"/>
                      <w:vertAlign w:val="baseline"/>
                      <w:lang w:val="en-US" w:eastAsia="zh-CN"/>
                    </w:rPr>
                    <w:t>本项目距离长江1.643km，距离长江1级支流浪溪水4.109km，距离长江1级支流香隅河5.663km，建设餐厨垃圾处置项目，为环境卫生管理业，不在长江岸线1公里范围内；不属于新建、改建、扩建尾矿库、冶炼渣库和磷石膏库项目。</w:t>
                  </w:r>
                </w:p>
              </w:tc>
              <w:tc>
                <w:tcPr>
                  <w:tcW w:w="1166" w:type="dxa"/>
                </w:tcPr>
                <w:p w14:paraId="333F8701">
                  <w:pPr>
                    <w:jc w:val="center"/>
                    <w:rPr>
                      <w:rFonts w:hint="eastAsia"/>
                      <w:color w:val="auto"/>
                      <w:vertAlign w:val="baseline"/>
                      <w:lang w:val="en-US" w:eastAsia="zh-CN"/>
                    </w:rPr>
                  </w:pPr>
                  <w:r>
                    <w:rPr>
                      <w:rFonts w:hint="eastAsia"/>
                      <w:color w:val="auto"/>
                      <w:vertAlign w:val="baseline"/>
                      <w:lang w:val="en-US" w:eastAsia="zh-CN"/>
                    </w:rPr>
                    <w:t>是</w:t>
                  </w:r>
                </w:p>
              </w:tc>
            </w:tr>
            <w:tr w14:paraId="446BF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7" w:type="dxa"/>
                  <w:vAlign w:val="center"/>
                </w:tcPr>
                <w:p w14:paraId="13DFA4BF">
                  <w:pPr>
                    <w:jc w:val="center"/>
                    <w:rPr>
                      <w:rFonts w:hint="default"/>
                      <w:color w:val="auto"/>
                      <w:vertAlign w:val="baseline"/>
                      <w:lang w:val="en-US" w:eastAsia="zh-CN"/>
                    </w:rPr>
                  </w:pPr>
                  <w:r>
                    <w:rPr>
                      <w:rFonts w:hint="default"/>
                      <w:color w:val="auto"/>
                      <w:vertAlign w:val="baseline"/>
                      <w:lang w:val="en-US" w:eastAsia="zh-CN"/>
                    </w:rPr>
                    <w:t>禁止在合规园区外新建、扩建钢铁、石化、化工、焦化、建材、有色、制浆造纸等高污染项目（合规园区名录见附件10）。</w:t>
                  </w:r>
                </w:p>
              </w:tc>
              <w:tc>
                <w:tcPr>
                  <w:tcW w:w="2582" w:type="dxa"/>
                  <w:vAlign w:val="center"/>
                </w:tcPr>
                <w:p w14:paraId="40EB4327">
                  <w:pPr>
                    <w:jc w:val="center"/>
                    <w:rPr>
                      <w:rFonts w:hint="default"/>
                      <w:color w:val="auto"/>
                      <w:vertAlign w:val="baseline"/>
                      <w:lang w:val="en-US" w:eastAsia="zh-CN"/>
                    </w:rPr>
                  </w:pPr>
                  <w:r>
                    <w:rPr>
                      <w:rFonts w:hint="eastAsia"/>
                      <w:color w:val="auto"/>
                      <w:vertAlign w:val="baseline"/>
                      <w:lang w:val="en-US" w:eastAsia="zh-CN"/>
                    </w:rPr>
                    <w:t>本项目不属于新建、扩建钢铁、石化、化工、焦化、建材、有色、制浆造纸等高污染项目</w:t>
                  </w:r>
                </w:p>
              </w:tc>
              <w:tc>
                <w:tcPr>
                  <w:tcW w:w="1166" w:type="dxa"/>
                  <w:vAlign w:val="center"/>
                </w:tcPr>
                <w:p w14:paraId="564EB8EF">
                  <w:pPr>
                    <w:jc w:val="center"/>
                    <w:rPr>
                      <w:rFonts w:hint="default"/>
                      <w:color w:val="auto"/>
                      <w:vertAlign w:val="baseline"/>
                      <w:lang w:val="en-US" w:eastAsia="zh-CN"/>
                    </w:rPr>
                  </w:pPr>
                  <w:r>
                    <w:rPr>
                      <w:rFonts w:hint="eastAsia"/>
                      <w:color w:val="auto"/>
                      <w:vertAlign w:val="baseline"/>
                      <w:lang w:val="en-US" w:eastAsia="zh-CN"/>
                    </w:rPr>
                    <w:t>是</w:t>
                  </w:r>
                </w:p>
              </w:tc>
            </w:tr>
            <w:tr w14:paraId="396FD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7" w:type="dxa"/>
                  <w:vAlign w:val="center"/>
                </w:tcPr>
                <w:p w14:paraId="56180373">
                  <w:pPr>
                    <w:jc w:val="center"/>
                    <w:rPr>
                      <w:rFonts w:hint="default"/>
                      <w:color w:val="auto"/>
                      <w:vertAlign w:val="baseline"/>
                      <w:lang w:val="en-US" w:eastAsia="zh-CN"/>
                    </w:rPr>
                  </w:pPr>
                  <w:r>
                    <w:rPr>
                      <w:rFonts w:hint="default"/>
                      <w:color w:val="auto"/>
                      <w:vertAlign w:val="baseline"/>
                      <w:lang w:val="en-US" w:eastAsia="zh-CN"/>
                    </w:rPr>
                    <w:t>禁止新建、扩建不符合国家石化、现代煤化工等产业布局规划的项目。</w:t>
                  </w:r>
                </w:p>
              </w:tc>
              <w:tc>
                <w:tcPr>
                  <w:tcW w:w="2582" w:type="dxa"/>
                  <w:vAlign w:val="center"/>
                </w:tcPr>
                <w:p w14:paraId="7915A50F">
                  <w:pPr>
                    <w:jc w:val="center"/>
                    <w:rPr>
                      <w:rFonts w:hint="default"/>
                      <w:color w:val="auto"/>
                      <w:vertAlign w:val="baseline"/>
                      <w:lang w:val="en-US" w:eastAsia="zh-CN"/>
                    </w:rPr>
                  </w:pPr>
                  <w:r>
                    <w:rPr>
                      <w:rFonts w:hint="eastAsia"/>
                      <w:color w:val="auto"/>
                      <w:vertAlign w:val="baseline"/>
                      <w:lang w:val="en-US" w:eastAsia="zh-CN"/>
                    </w:rPr>
                    <w:t>本项目不属于</w:t>
                  </w:r>
                </w:p>
              </w:tc>
              <w:tc>
                <w:tcPr>
                  <w:tcW w:w="1166" w:type="dxa"/>
                  <w:vAlign w:val="center"/>
                </w:tcPr>
                <w:p w14:paraId="4B1BCCA2">
                  <w:pPr>
                    <w:jc w:val="center"/>
                    <w:rPr>
                      <w:rFonts w:hint="default"/>
                      <w:color w:val="auto"/>
                      <w:vertAlign w:val="baseline"/>
                      <w:lang w:val="en-US" w:eastAsia="zh-CN"/>
                    </w:rPr>
                  </w:pPr>
                  <w:r>
                    <w:rPr>
                      <w:rFonts w:hint="eastAsia"/>
                      <w:color w:val="auto"/>
                      <w:vertAlign w:val="baseline"/>
                      <w:lang w:val="en-US" w:eastAsia="zh-CN"/>
                    </w:rPr>
                    <w:t>是</w:t>
                  </w:r>
                </w:p>
              </w:tc>
            </w:tr>
            <w:tr w14:paraId="72B9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7" w:type="dxa"/>
                  <w:vAlign w:val="center"/>
                </w:tcPr>
                <w:p w14:paraId="7B09F330">
                  <w:pPr>
                    <w:jc w:val="center"/>
                    <w:rPr>
                      <w:rFonts w:hint="default"/>
                      <w:color w:val="auto"/>
                      <w:vertAlign w:val="baseline"/>
                      <w:lang w:val="en-US" w:eastAsia="zh-CN"/>
                    </w:rPr>
                  </w:pPr>
                  <w:r>
                    <w:rPr>
                      <w:rFonts w:hint="default"/>
                      <w:color w:val="auto"/>
                      <w:vertAlign w:val="baseline"/>
                      <w:lang w:val="en-US" w:eastAsia="zh-CN"/>
                    </w:rPr>
                    <w:t>禁止新建、扩建法律法规和相关政策明令禁止的落后产能项目。严格执行国家《产业结构调整指导目录》淘汰类和限制类有关规定，禁止投资建设属于淘汰类的项目，禁止投资新建属于限制类的项目。对属于限制类的现有生产能力，允许企业在一定期限内采取措施改造升级</w:t>
                  </w:r>
                  <w:r>
                    <w:rPr>
                      <w:rFonts w:hint="eastAsia"/>
                      <w:color w:val="auto"/>
                      <w:vertAlign w:val="baseline"/>
                      <w:lang w:val="en-US" w:eastAsia="zh-CN"/>
                    </w:rPr>
                    <w:t>。</w:t>
                  </w:r>
                </w:p>
              </w:tc>
              <w:tc>
                <w:tcPr>
                  <w:tcW w:w="2582" w:type="dxa"/>
                  <w:vAlign w:val="center"/>
                </w:tcPr>
                <w:p w14:paraId="011E23D0">
                  <w:pPr>
                    <w:jc w:val="center"/>
                    <w:rPr>
                      <w:rFonts w:hint="default"/>
                      <w:color w:val="auto"/>
                      <w:vertAlign w:val="baseline"/>
                      <w:lang w:val="en-US" w:eastAsia="zh-CN"/>
                    </w:rPr>
                  </w:pPr>
                  <w:r>
                    <w:rPr>
                      <w:rFonts w:hint="eastAsia"/>
                      <w:color w:val="auto"/>
                      <w:vertAlign w:val="baseline"/>
                      <w:lang w:val="en-US" w:eastAsia="zh-CN"/>
                    </w:rPr>
                    <w:t>本项目为环境卫生管理，属于</w:t>
                  </w:r>
                  <w:r>
                    <w:rPr>
                      <w:rFonts w:hint="default"/>
                      <w:color w:val="auto"/>
                      <w:vertAlign w:val="baseline"/>
                      <w:lang w:val="en-US" w:eastAsia="zh-CN"/>
                    </w:rPr>
                    <w:t>《产业结构调整指导目录》</w:t>
                  </w:r>
                  <w:r>
                    <w:rPr>
                      <w:rFonts w:hint="eastAsia"/>
                      <w:color w:val="auto"/>
                      <w:vertAlign w:val="baseline"/>
                      <w:lang w:val="en-US" w:eastAsia="zh-CN"/>
                    </w:rPr>
                    <w:t>（2024年本）鼓励类</w:t>
                  </w:r>
                </w:p>
              </w:tc>
              <w:tc>
                <w:tcPr>
                  <w:tcW w:w="1166" w:type="dxa"/>
                  <w:vAlign w:val="center"/>
                </w:tcPr>
                <w:p w14:paraId="76BD3B6C">
                  <w:pPr>
                    <w:jc w:val="center"/>
                    <w:rPr>
                      <w:rFonts w:hint="default"/>
                      <w:color w:val="auto"/>
                      <w:vertAlign w:val="baseline"/>
                      <w:lang w:val="en-US" w:eastAsia="zh-CN"/>
                    </w:rPr>
                  </w:pPr>
                  <w:r>
                    <w:rPr>
                      <w:rFonts w:hint="eastAsia"/>
                      <w:color w:val="auto"/>
                      <w:vertAlign w:val="baseline"/>
                      <w:lang w:val="en-US" w:eastAsia="zh-CN"/>
                    </w:rPr>
                    <w:t>是</w:t>
                  </w:r>
                </w:p>
              </w:tc>
            </w:tr>
            <w:tr w14:paraId="5B4AE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27" w:type="dxa"/>
                </w:tcPr>
                <w:p w14:paraId="70A8B56E">
                  <w:pPr>
                    <w:rPr>
                      <w:rFonts w:hint="default"/>
                      <w:color w:val="auto"/>
                      <w:vertAlign w:val="baseline"/>
                      <w:lang w:val="en-US" w:eastAsia="zh-CN"/>
                    </w:rPr>
                  </w:pPr>
                  <w:r>
                    <w:rPr>
                      <w:rFonts w:hint="default"/>
                      <w:color w:val="auto"/>
                      <w:vertAlign w:val="baseline"/>
                      <w:lang w:val="en-US" w:eastAsia="zh-CN"/>
                    </w:rPr>
                    <w:t>禁止新建、扩建不符合国家产能置换要求的严重过剩产能行业的项目。禁止新建、扩建不符合要求的高耗能高排放项目。</w:t>
                  </w:r>
                </w:p>
              </w:tc>
              <w:tc>
                <w:tcPr>
                  <w:tcW w:w="2582" w:type="dxa"/>
                  <w:shd w:val="clear" w:color="auto" w:fill="auto"/>
                  <w:vAlign w:val="center"/>
                </w:tcPr>
                <w:p w14:paraId="06CA9DF7">
                  <w:pPr>
                    <w:jc w:val="center"/>
                    <w:rPr>
                      <w:rFonts w:hint="default" w:ascii="Times New Roman" w:hAnsi="Times New Roman" w:eastAsia="宋体" w:cs="Times New Roman"/>
                      <w:color w:val="auto"/>
                      <w:kern w:val="2"/>
                      <w:sz w:val="21"/>
                      <w:szCs w:val="24"/>
                      <w:vertAlign w:val="baseline"/>
                      <w:lang w:val="en-US" w:eastAsia="zh-CN" w:bidi="ar-SA"/>
                    </w:rPr>
                  </w:pPr>
                  <w:r>
                    <w:rPr>
                      <w:rFonts w:hint="eastAsia"/>
                      <w:color w:val="auto"/>
                      <w:vertAlign w:val="baseline"/>
                      <w:lang w:val="en-US" w:eastAsia="zh-CN"/>
                    </w:rPr>
                    <w:t>本项目为环境卫生管理，不属于高污染高耗能项目</w:t>
                  </w:r>
                </w:p>
              </w:tc>
              <w:tc>
                <w:tcPr>
                  <w:tcW w:w="1166" w:type="dxa"/>
                </w:tcPr>
                <w:p w14:paraId="3365EC15">
                  <w:pPr>
                    <w:rPr>
                      <w:rFonts w:hint="default"/>
                      <w:color w:val="auto"/>
                      <w:vertAlign w:val="baseline"/>
                      <w:lang w:val="en-US" w:eastAsia="zh-CN"/>
                    </w:rPr>
                  </w:pPr>
                  <w:r>
                    <w:rPr>
                      <w:rFonts w:hint="eastAsia"/>
                      <w:color w:val="auto"/>
                      <w:vertAlign w:val="baseline"/>
                      <w:lang w:val="en-US" w:eastAsia="zh-CN"/>
                    </w:rPr>
                    <w:t>是</w:t>
                  </w:r>
                </w:p>
              </w:tc>
            </w:tr>
          </w:tbl>
          <w:p w14:paraId="1E8AC72B">
            <w:pPr>
              <w:keepNext w:val="0"/>
              <w:keepLines w:val="0"/>
              <w:pageBreakBefore w:val="0"/>
              <w:widowControl w:val="0"/>
              <w:kinsoku/>
              <w:wordWrap/>
              <w:overflowPunct/>
              <w:topLinePunct w:val="0"/>
              <w:autoSpaceDE/>
              <w:autoSpaceDN/>
              <w:bidi w:val="0"/>
              <w:adjustRightInd/>
              <w:snapToGrid/>
              <w:spacing w:line="360" w:lineRule="auto"/>
              <w:ind w:firstLine="476"/>
              <w:textAlignment w:val="auto"/>
              <w:rPr>
                <w:rFonts w:cs="Times New Roman"/>
                <w:b/>
                <w:color w:val="auto"/>
                <w:sz w:val="24"/>
                <w:szCs w:val="28"/>
              </w:rPr>
            </w:pPr>
            <w:r>
              <w:rPr>
                <w:rFonts w:hint="eastAsia" w:cs="Times New Roman"/>
                <w:b/>
                <w:color w:val="auto"/>
                <w:sz w:val="24"/>
                <w:szCs w:val="28"/>
                <w:lang w:val="en-US" w:eastAsia="zh-CN"/>
              </w:rPr>
              <w:t>8</w:t>
            </w:r>
            <w:r>
              <w:rPr>
                <w:rFonts w:hint="eastAsia" w:cs="Times New Roman"/>
                <w:b/>
                <w:color w:val="auto"/>
                <w:sz w:val="24"/>
                <w:szCs w:val="28"/>
              </w:rPr>
              <w:t>、</w:t>
            </w:r>
            <w:r>
              <w:rPr>
                <w:rFonts w:cs="Times New Roman"/>
                <w:b/>
                <w:color w:val="auto"/>
                <w:sz w:val="24"/>
                <w:szCs w:val="28"/>
              </w:rPr>
              <w:t>《国务院办公厅关于加强地沟油整治和餐厨废弃物管理的意见》符合性分析</w:t>
            </w:r>
          </w:p>
          <w:p w14:paraId="1F775FDC">
            <w:pPr>
              <w:snapToGrid/>
              <w:spacing w:line="240" w:lineRule="auto"/>
              <w:ind w:firstLine="0" w:firstLineChars="0"/>
              <w:jc w:val="center"/>
              <w:rPr>
                <w:rFonts w:cs="Times New Roman"/>
                <w:color w:val="auto"/>
                <w:sz w:val="21"/>
                <w:szCs w:val="21"/>
              </w:rPr>
            </w:pPr>
            <w:r>
              <w:rPr>
                <w:rFonts w:cs="Times New Roman"/>
                <w:b/>
                <w:color w:val="auto"/>
                <w:spacing w:val="0"/>
                <w:sz w:val="21"/>
                <w:szCs w:val="21"/>
              </w:rPr>
              <w:t>表</w:t>
            </w:r>
            <w:r>
              <w:rPr>
                <w:rFonts w:hint="eastAsia" w:cs="Times New Roman"/>
                <w:b/>
                <w:color w:val="auto"/>
                <w:spacing w:val="0"/>
                <w:sz w:val="21"/>
                <w:szCs w:val="21"/>
                <w:lang w:val="en-US" w:eastAsia="zh-CN"/>
              </w:rPr>
              <w:t>1-8</w:t>
            </w:r>
            <w:r>
              <w:rPr>
                <w:rFonts w:cs="Times New Roman"/>
                <w:b/>
                <w:color w:val="auto"/>
                <w:spacing w:val="0"/>
                <w:sz w:val="21"/>
                <w:szCs w:val="21"/>
              </w:rPr>
              <w:t>与《国务院办公厅关于加强地沟油整治和餐厨废弃物管理的意见》中要求相符性分析</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7"/>
              <w:gridCol w:w="3182"/>
              <w:gridCol w:w="2448"/>
              <w:gridCol w:w="633"/>
            </w:tblGrid>
            <w:tr w14:paraId="20E1F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983" w:type="pct"/>
                  <w:gridSpan w:val="2"/>
                  <w:noWrap w:val="0"/>
                  <w:tcMar>
                    <w:top w:w="57" w:type="dxa"/>
                    <w:left w:w="108" w:type="dxa"/>
                    <w:bottom w:w="57" w:type="dxa"/>
                    <w:right w:w="108" w:type="dxa"/>
                  </w:tcMar>
                  <w:vAlign w:val="center"/>
                </w:tcPr>
                <w:p w14:paraId="40178113">
                  <w:pPr>
                    <w:pStyle w:val="25"/>
                    <w:spacing w:line="240" w:lineRule="exact"/>
                    <w:ind w:firstLine="0" w:firstLineChars="0"/>
                    <w:jc w:val="center"/>
                    <w:rPr>
                      <w:rFonts w:cs="Times New Roman"/>
                      <w:b/>
                      <w:bCs/>
                      <w:color w:val="auto"/>
                      <w:kern w:val="2"/>
                      <w:sz w:val="21"/>
                      <w:szCs w:val="21"/>
                    </w:rPr>
                  </w:pPr>
                  <w:r>
                    <w:rPr>
                      <w:rFonts w:cs="Times New Roman"/>
                      <w:b/>
                      <w:bCs/>
                      <w:color w:val="auto"/>
                      <w:kern w:val="2"/>
                      <w:sz w:val="21"/>
                      <w:szCs w:val="21"/>
                    </w:rPr>
                    <w:t>内容摘要</w:t>
                  </w:r>
                </w:p>
              </w:tc>
              <w:tc>
                <w:tcPr>
                  <w:tcW w:w="1602" w:type="pct"/>
                  <w:noWrap w:val="0"/>
                  <w:tcMar>
                    <w:top w:w="57" w:type="dxa"/>
                    <w:left w:w="108" w:type="dxa"/>
                    <w:bottom w:w="57" w:type="dxa"/>
                    <w:right w:w="108" w:type="dxa"/>
                  </w:tcMar>
                  <w:vAlign w:val="center"/>
                </w:tcPr>
                <w:p w14:paraId="67B70557">
                  <w:pPr>
                    <w:pStyle w:val="25"/>
                    <w:spacing w:line="240" w:lineRule="exact"/>
                    <w:ind w:firstLine="0" w:firstLineChars="0"/>
                    <w:jc w:val="center"/>
                    <w:rPr>
                      <w:rFonts w:cs="Times New Roman"/>
                      <w:b/>
                      <w:bCs/>
                      <w:color w:val="auto"/>
                      <w:kern w:val="2"/>
                      <w:sz w:val="21"/>
                      <w:szCs w:val="21"/>
                    </w:rPr>
                  </w:pPr>
                  <w:r>
                    <w:rPr>
                      <w:rFonts w:cs="Times New Roman"/>
                      <w:b/>
                      <w:bCs/>
                      <w:color w:val="auto"/>
                      <w:kern w:val="2"/>
                      <w:sz w:val="21"/>
                      <w:szCs w:val="21"/>
                    </w:rPr>
                    <w:t>本项目建设内容</w:t>
                  </w:r>
                </w:p>
              </w:tc>
              <w:tc>
                <w:tcPr>
                  <w:tcW w:w="414" w:type="pct"/>
                  <w:noWrap w:val="0"/>
                  <w:tcMar>
                    <w:top w:w="57" w:type="dxa"/>
                    <w:left w:w="108" w:type="dxa"/>
                    <w:bottom w:w="57" w:type="dxa"/>
                    <w:right w:w="108" w:type="dxa"/>
                  </w:tcMar>
                  <w:vAlign w:val="center"/>
                </w:tcPr>
                <w:p w14:paraId="17C3ABA3">
                  <w:pPr>
                    <w:pStyle w:val="25"/>
                    <w:spacing w:line="240" w:lineRule="exact"/>
                    <w:ind w:firstLine="0" w:firstLineChars="0"/>
                    <w:jc w:val="center"/>
                    <w:rPr>
                      <w:rFonts w:cs="Times New Roman"/>
                      <w:b/>
                      <w:bCs/>
                      <w:color w:val="auto"/>
                      <w:kern w:val="2"/>
                      <w:sz w:val="21"/>
                      <w:szCs w:val="21"/>
                    </w:rPr>
                  </w:pPr>
                  <w:r>
                    <w:rPr>
                      <w:rFonts w:cs="Times New Roman"/>
                      <w:b/>
                      <w:bCs/>
                      <w:color w:val="auto"/>
                      <w:kern w:val="2"/>
                      <w:sz w:val="21"/>
                      <w:szCs w:val="21"/>
                    </w:rPr>
                    <w:t>相符性分析</w:t>
                  </w:r>
                </w:p>
              </w:tc>
            </w:tr>
            <w:tr w14:paraId="57D63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 w:type="pct"/>
                  <w:noWrap w:val="0"/>
                  <w:tcMar>
                    <w:top w:w="57" w:type="dxa"/>
                    <w:left w:w="108" w:type="dxa"/>
                    <w:bottom w:w="57" w:type="dxa"/>
                    <w:right w:w="108" w:type="dxa"/>
                  </w:tcMar>
                  <w:vAlign w:val="center"/>
                </w:tcPr>
                <w:p w14:paraId="08E9E5DB">
                  <w:pPr>
                    <w:pStyle w:val="25"/>
                    <w:spacing w:line="240" w:lineRule="exact"/>
                    <w:ind w:firstLine="0" w:firstLineChars="0"/>
                    <w:jc w:val="center"/>
                    <w:rPr>
                      <w:rFonts w:cs="Times New Roman"/>
                      <w:color w:val="auto"/>
                      <w:kern w:val="2"/>
                      <w:sz w:val="21"/>
                      <w:szCs w:val="21"/>
                    </w:rPr>
                  </w:pPr>
                  <w:r>
                    <w:rPr>
                      <w:rFonts w:hint="eastAsia" w:cs="Times New Roman"/>
                      <w:color w:val="auto"/>
                      <w:kern w:val="2"/>
                      <w:sz w:val="21"/>
                      <w:szCs w:val="21"/>
                    </w:rPr>
                    <w:t>推进餐厨废弃物资源化利用和无害化处理</w:t>
                  </w:r>
                </w:p>
              </w:tc>
              <w:tc>
                <w:tcPr>
                  <w:tcW w:w="2081" w:type="pct"/>
                  <w:noWrap w:val="0"/>
                  <w:tcMar>
                    <w:top w:w="57" w:type="dxa"/>
                    <w:left w:w="108" w:type="dxa"/>
                    <w:bottom w:w="57" w:type="dxa"/>
                    <w:right w:w="108" w:type="dxa"/>
                  </w:tcMar>
                  <w:vAlign w:val="center"/>
                </w:tcPr>
                <w:p w14:paraId="7F6AA117">
                  <w:pPr>
                    <w:pStyle w:val="25"/>
                    <w:spacing w:line="240" w:lineRule="exact"/>
                    <w:ind w:firstLine="0" w:firstLineChars="0"/>
                    <w:jc w:val="center"/>
                    <w:rPr>
                      <w:rFonts w:cs="Times New Roman"/>
                      <w:color w:val="auto"/>
                      <w:kern w:val="2"/>
                      <w:sz w:val="21"/>
                      <w:szCs w:val="21"/>
                    </w:rPr>
                  </w:pPr>
                  <w:r>
                    <w:rPr>
                      <w:rFonts w:hint="eastAsia" w:cs="Times New Roman"/>
                      <w:color w:val="auto"/>
                      <w:kern w:val="2"/>
                      <w:sz w:val="21"/>
                      <w:szCs w:val="21"/>
                    </w:rPr>
                    <w:t>要通过开展试点，探索适宜的餐厨废弃物资源化利用和无害化处理技术工艺路线及管理模式，提高餐厨废弃物资源化利用和无害化处理水平。</w:t>
                  </w:r>
                </w:p>
              </w:tc>
              <w:tc>
                <w:tcPr>
                  <w:tcW w:w="1602" w:type="pct"/>
                  <w:noWrap w:val="0"/>
                  <w:tcMar>
                    <w:top w:w="57" w:type="dxa"/>
                    <w:left w:w="108" w:type="dxa"/>
                    <w:bottom w:w="57" w:type="dxa"/>
                    <w:right w:w="108" w:type="dxa"/>
                  </w:tcMar>
                  <w:vAlign w:val="center"/>
                </w:tcPr>
                <w:p w14:paraId="63B65A15">
                  <w:pPr>
                    <w:pStyle w:val="25"/>
                    <w:spacing w:line="240" w:lineRule="exact"/>
                    <w:ind w:firstLine="0" w:firstLineChars="0"/>
                    <w:jc w:val="center"/>
                    <w:rPr>
                      <w:rFonts w:hint="eastAsia" w:eastAsia="宋体" w:cs="Times New Roman"/>
                      <w:color w:val="auto"/>
                      <w:kern w:val="2"/>
                      <w:sz w:val="21"/>
                      <w:szCs w:val="21"/>
                      <w:lang w:val="en-US" w:eastAsia="zh-CN"/>
                    </w:rPr>
                  </w:pPr>
                  <w:r>
                    <w:rPr>
                      <w:rFonts w:hint="eastAsia" w:cs="Times New Roman"/>
                      <w:color w:val="auto"/>
                      <w:kern w:val="2"/>
                      <w:sz w:val="21"/>
                      <w:szCs w:val="21"/>
                      <w:lang w:val="en-US" w:eastAsia="zh-CN"/>
                    </w:rPr>
                    <w:t>本项目餐厨垃圾收运采用直运方式，“桶等车”模式；建设有餐厨垃圾和餐厨废弃油脂的初加工系统，</w:t>
                  </w:r>
                  <w:r>
                    <w:rPr>
                      <w:rFonts w:hint="eastAsia" w:cs="Times New Roman"/>
                      <w:color w:val="auto"/>
                      <w:kern w:val="2"/>
                      <w:sz w:val="21"/>
                      <w:szCs w:val="21"/>
                    </w:rPr>
                    <w:t>餐厨废弃物资源化利用和无害化处理水平</w:t>
                  </w:r>
                  <w:r>
                    <w:rPr>
                      <w:rFonts w:hint="eastAsia" w:cs="Times New Roman"/>
                      <w:color w:val="auto"/>
                      <w:kern w:val="2"/>
                      <w:sz w:val="21"/>
                      <w:szCs w:val="21"/>
                      <w:lang w:val="en-US" w:eastAsia="zh-CN"/>
                    </w:rPr>
                    <w:t>较高</w:t>
                  </w:r>
                  <w:r>
                    <w:rPr>
                      <w:rFonts w:hint="eastAsia"/>
                      <w:color w:val="auto"/>
                      <w:lang w:eastAsia="zh-CN"/>
                    </w:rPr>
                    <w:t>。</w:t>
                  </w:r>
                </w:p>
              </w:tc>
              <w:tc>
                <w:tcPr>
                  <w:tcW w:w="414" w:type="pct"/>
                  <w:noWrap w:val="0"/>
                  <w:tcMar>
                    <w:top w:w="57" w:type="dxa"/>
                    <w:left w:w="108" w:type="dxa"/>
                    <w:bottom w:w="57" w:type="dxa"/>
                    <w:right w:w="108" w:type="dxa"/>
                  </w:tcMar>
                  <w:vAlign w:val="center"/>
                </w:tcPr>
                <w:p w14:paraId="7FD7D63F">
                  <w:pPr>
                    <w:pStyle w:val="25"/>
                    <w:spacing w:line="240" w:lineRule="exact"/>
                    <w:ind w:firstLine="0" w:firstLineChars="0"/>
                    <w:jc w:val="center"/>
                    <w:rPr>
                      <w:rFonts w:cs="Times New Roman"/>
                      <w:color w:val="auto"/>
                      <w:kern w:val="2"/>
                      <w:sz w:val="21"/>
                      <w:szCs w:val="21"/>
                    </w:rPr>
                  </w:pPr>
                  <w:r>
                    <w:rPr>
                      <w:rFonts w:cs="Times New Roman"/>
                      <w:color w:val="auto"/>
                      <w:kern w:val="2"/>
                      <w:sz w:val="21"/>
                      <w:szCs w:val="21"/>
                    </w:rPr>
                    <w:t>符合要求</w:t>
                  </w:r>
                </w:p>
              </w:tc>
            </w:tr>
          </w:tbl>
          <w:p w14:paraId="05093CD7">
            <w:pPr>
              <w:numPr>
                <w:ilvl w:val="0"/>
                <w:numId w:val="0"/>
              </w:numPr>
              <w:snapToGrid/>
              <w:spacing w:line="360" w:lineRule="auto"/>
              <w:rPr>
                <w:rFonts w:hint="eastAsia" w:cs="Times New Roman"/>
                <w:b/>
                <w:bCs/>
                <w:color w:val="auto"/>
                <w:spacing w:val="0"/>
                <w:kern w:val="2"/>
                <w:sz w:val="24"/>
                <w:szCs w:val="24"/>
              </w:rPr>
            </w:pPr>
            <w:r>
              <w:rPr>
                <w:rFonts w:hint="eastAsia" w:cs="Times New Roman"/>
                <w:b/>
                <w:color w:val="auto"/>
                <w:sz w:val="24"/>
                <w:szCs w:val="24"/>
                <w:lang w:val="en-US" w:eastAsia="zh-CN"/>
              </w:rPr>
              <w:t>9、</w:t>
            </w:r>
            <w:r>
              <w:rPr>
                <w:rFonts w:hint="eastAsia" w:cs="Times New Roman"/>
                <w:b/>
                <w:bCs/>
                <w:color w:val="auto"/>
                <w:spacing w:val="0"/>
                <w:kern w:val="2"/>
                <w:sz w:val="24"/>
                <w:szCs w:val="24"/>
              </w:rPr>
              <w:t>《餐厨垃圾处理技术规范》（CJJ184-2012）符合性分析</w:t>
            </w:r>
          </w:p>
          <w:p w14:paraId="576F3563">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cs="Times New Roman"/>
                <w:color w:val="auto"/>
                <w:sz w:val="21"/>
                <w:szCs w:val="21"/>
              </w:rPr>
            </w:pPr>
            <w:r>
              <w:rPr>
                <w:rFonts w:cs="Times New Roman"/>
                <w:b/>
                <w:color w:val="auto"/>
                <w:spacing w:val="0"/>
                <w:sz w:val="21"/>
                <w:szCs w:val="21"/>
              </w:rPr>
              <w:t>表</w:t>
            </w:r>
            <w:r>
              <w:rPr>
                <w:rFonts w:hint="eastAsia" w:cs="Times New Roman"/>
                <w:b/>
                <w:color w:val="auto"/>
                <w:spacing w:val="0"/>
                <w:sz w:val="21"/>
                <w:szCs w:val="21"/>
                <w:lang w:val="en-US" w:eastAsia="zh-CN"/>
              </w:rPr>
              <w:t>1-9</w:t>
            </w:r>
            <w:r>
              <w:rPr>
                <w:rFonts w:cs="Times New Roman"/>
                <w:b/>
                <w:color w:val="auto"/>
                <w:spacing w:val="0"/>
                <w:sz w:val="21"/>
                <w:szCs w:val="21"/>
              </w:rPr>
              <w:t xml:space="preserve">  与《餐厨垃圾处理技术规范》（CJJ184-2012）中要求相符性分析</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9"/>
              <w:gridCol w:w="3404"/>
              <w:gridCol w:w="2842"/>
              <w:gridCol w:w="715"/>
            </w:tblGrid>
            <w:tr w14:paraId="38E9B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4" w:type="pct"/>
                  <w:noWrap w:val="0"/>
                  <w:tcMar>
                    <w:top w:w="57" w:type="dxa"/>
                    <w:left w:w="108" w:type="dxa"/>
                    <w:bottom w:w="57" w:type="dxa"/>
                    <w:right w:w="108" w:type="dxa"/>
                  </w:tcMar>
                  <w:vAlign w:val="center"/>
                </w:tcPr>
                <w:p w14:paraId="328944DA">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文件名称</w:t>
                  </w:r>
                </w:p>
              </w:tc>
              <w:tc>
                <w:tcPr>
                  <w:tcW w:w="2227" w:type="pct"/>
                  <w:noWrap w:val="0"/>
                  <w:tcMar>
                    <w:top w:w="57" w:type="dxa"/>
                    <w:left w:w="108" w:type="dxa"/>
                    <w:bottom w:w="57" w:type="dxa"/>
                    <w:right w:w="108" w:type="dxa"/>
                  </w:tcMar>
                  <w:vAlign w:val="center"/>
                </w:tcPr>
                <w:p w14:paraId="57F3BC51">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内容摘要</w:t>
                  </w:r>
                </w:p>
              </w:tc>
              <w:tc>
                <w:tcPr>
                  <w:tcW w:w="1859" w:type="pct"/>
                  <w:noWrap w:val="0"/>
                  <w:tcMar>
                    <w:top w:w="57" w:type="dxa"/>
                    <w:left w:w="108" w:type="dxa"/>
                    <w:bottom w:w="57" w:type="dxa"/>
                    <w:right w:w="108" w:type="dxa"/>
                  </w:tcMar>
                  <w:vAlign w:val="center"/>
                </w:tcPr>
                <w:p w14:paraId="28666762">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本项目建设内容</w:t>
                  </w:r>
                </w:p>
              </w:tc>
              <w:tc>
                <w:tcPr>
                  <w:tcW w:w="468" w:type="pct"/>
                  <w:noWrap w:val="0"/>
                  <w:tcMar>
                    <w:top w:w="57" w:type="dxa"/>
                    <w:left w:w="108" w:type="dxa"/>
                    <w:bottom w:w="57" w:type="dxa"/>
                    <w:right w:w="108" w:type="dxa"/>
                  </w:tcMar>
                  <w:vAlign w:val="center"/>
                </w:tcPr>
                <w:p w14:paraId="25E60086">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相符性分析</w:t>
                  </w:r>
                </w:p>
              </w:tc>
            </w:tr>
            <w:tr w14:paraId="03151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4" w:type="pct"/>
                  <w:vMerge w:val="restart"/>
                  <w:noWrap w:val="0"/>
                  <w:tcMar>
                    <w:top w:w="57" w:type="dxa"/>
                    <w:left w:w="108" w:type="dxa"/>
                    <w:bottom w:w="57" w:type="dxa"/>
                    <w:right w:w="108" w:type="dxa"/>
                  </w:tcMar>
                  <w:vAlign w:val="center"/>
                </w:tcPr>
                <w:p w14:paraId="00EC77D6">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4厂址选择</w:t>
                  </w:r>
                </w:p>
              </w:tc>
              <w:tc>
                <w:tcPr>
                  <w:tcW w:w="2227" w:type="pct"/>
                  <w:noWrap w:val="0"/>
                  <w:tcMar>
                    <w:top w:w="57" w:type="dxa"/>
                    <w:left w:w="108" w:type="dxa"/>
                    <w:bottom w:w="57" w:type="dxa"/>
                    <w:right w:w="108" w:type="dxa"/>
                  </w:tcMar>
                  <w:vAlign w:val="center"/>
                </w:tcPr>
                <w:p w14:paraId="1F62672B">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4.0.1餐厨垃圾处理厂的选址应符合当地城市总体规划，区域环境规划，城市环境卫生专业规划及相关规划的要求</w:t>
                  </w:r>
                </w:p>
              </w:tc>
              <w:tc>
                <w:tcPr>
                  <w:tcW w:w="1859" w:type="pct"/>
                  <w:vMerge w:val="restart"/>
                  <w:noWrap w:val="0"/>
                  <w:tcMar>
                    <w:top w:w="57" w:type="dxa"/>
                    <w:left w:w="108" w:type="dxa"/>
                    <w:bottom w:w="57" w:type="dxa"/>
                    <w:right w:w="108" w:type="dxa"/>
                  </w:tcMar>
                  <w:vAlign w:val="center"/>
                </w:tcPr>
                <w:p w14:paraId="358F6892">
                  <w:pPr>
                    <w:pStyle w:val="25"/>
                    <w:spacing w:line="240" w:lineRule="exact"/>
                    <w:ind w:firstLine="0" w:firstLineChars="0"/>
                    <w:jc w:val="center"/>
                    <w:rPr>
                      <w:rFonts w:hint="eastAsia" w:cs="Times New Roman"/>
                      <w:color w:val="auto"/>
                      <w:kern w:val="2"/>
                      <w:sz w:val="21"/>
                      <w:szCs w:val="21"/>
                      <w:lang w:val="en-US" w:eastAsia="zh-CN"/>
                    </w:rPr>
                  </w:pPr>
                  <w:r>
                    <w:rPr>
                      <w:rFonts w:hint="eastAsia" w:cs="Times New Roman"/>
                      <w:color w:val="auto"/>
                      <w:kern w:val="2"/>
                      <w:sz w:val="21"/>
                      <w:szCs w:val="21"/>
                    </w:rPr>
                    <w:t>本项目选址位于</w:t>
                  </w:r>
                  <w:r>
                    <w:rPr>
                      <w:rFonts w:hint="eastAsia" w:cs="Times New Roman"/>
                      <w:color w:val="auto"/>
                      <w:kern w:val="2"/>
                      <w:sz w:val="21"/>
                      <w:szCs w:val="21"/>
                      <w:lang w:eastAsia="zh-CN"/>
                    </w:rPr>
                    <w:t>安徽</w:t>
                  </w:r>
                  <w:r>
                    <w:rPr>
                      <w:rFonts w:hint="eastAsia" w:cs="Times New Roman"/>
                      <w:color w:val="auto"/>
                      <w:kern w:val="2"/>
                      <w:sz w:val="21"/>
                      <w:szCs w:val="21"/>
                      <w:lang w:val="en-US" w:eastAsia="zh-CN"/>
                    </w:rPr>
                    <w:t>东至经济开发区</w:t>
                  </w:r>
                  <w:r>
                    <w:rPr>
                      <w:rFonts w:hint="eastAsia" w:cs="Times New Roman"/>
                      <w:color w:val="auto"/>
                      <w:kern w:val="2"/>
                      <w:sz w:val="21"/>
                      <w:szCs w:val="21"/>
                    </w:rPr>
                    <w:t>，项目用地属于</w:t>
                  </w:r>
                  <w:r>
                    <w:rPr>
                      <w:rFonts w:hint="eastAsia" w:cs="Times New Roman"/>
                      <w:color w:val="auto"/>
                      <w:kern w:val="2"/>
                      <w:sz w:val="21"/>
                      <w:szCs w:val="21"/>
                      <w:lang w:eastAsia="zh-CN"/>
                    </w:rPr>
                    <w:t>工业用地，项目用地规划符合《东至县国土空间规划（</w:t>
                  </w:r>
                  <w:r>
                    <w:rPr>
                      <w:rFonts w:hint="eastAsia" w:cs="Times New Roman"/>
                      <w:color w:val="auto"/>
                      <w:kern w:val="2"/>
                      <w:sz w:val="21"/>
                      <w:szCs w:val="21"/>
                      <w:lang w:val="en-US" w:eastAsia="zh-CN"/>
                    </w:rPr>
                    <w:t>2021-2035年</w:t>
                  </w:r>
                  <w:r>
                    <w:rPr>
                      <w:rFonts w:hint="eastAsia" w:cs="Times New Roman"/>
                      <w:color w:val="auto"/>
                      <w:kern w:val="2"/>
                      <w:sz w:val="21"/>
                      <w:szCs w:val="21"/>
                      <w:lang w:eastAsia="zh-CN"/>
                    </w:rPr>
                    <w:t>）》、《香隅镇国土空间规划（</w:t>
                  </w:r>
                  <w:r>
                    <w:rPr>
                      <w:rFonts w:hint="eastAsia" w:cs="Times New Roman"/>
                      <w:color w:val="auto"/>
                      <w:kern w:val="2"/>
                      <w:sz w:val="21"/>
                      <w:szCs w:val="21"/>
                      <w:lang w:val="en-US" w:eastAsia="zh-CN"/>
                    </w:rPr>
                    <w:t>2021-2025年</w:t>
                  </w:r>
                  <w:r>
                    <w:rPr>
                      <w:rFonts w:hint="eastAsia" w:cs="Times New Roman"/>
                      <w:color w:val="auto"/>
                      <w:kern w:val="2"/>
                      <w:sz w:val="21"/>
                      <w:szCs w:val="21"/>
                      <w:lang w:eastAsia="zh-CN"/>
                    </w:rPr>
                    <w:t>）》，且本项目取得了的东至县自规局以</w:t>
                  </w:r>
                  <w:r>
                    <w:rPr>
                      <w:rFonts w:hint="eastAsia" w:cs="Times New Roman"/>
                      <w:color w:val="auto"/>
                      <w:kern w:val="2"/>
                      <w:sz w:val="21"/>
                      <w:szCs w:val="21"/>
                      <w:lang w:val="en-US" w:eastAsia="zh-CN"/>
                    </w:rPr>
                    <w:t>皖（2025）东至县不动产权第0009587项目用地规划许可</w:t>
                  </w:r>
                  <w:r>
                    <w:rPr>
                      <w:rFonts w:hint="eastAsia" w:cs="Times New Roman"/>
                      <w:color w:val="auto"/>
                      <w:kern w:val="2"/>
                      <w:sz w:val="21"/>
                      <w:szCs w:val="21"/>
                    </w:rPr>
                    <w:t>。</w:t>
                  </w:r>
                  <w:r>
                    <w:rPr>
                      <w:rFonts w:hint="eastAsia" w:cs="Times New Roman"/>
                      <w:color w:val="auto"/>
                      <w:kern w:val="2"/>
                      <w:sz w:val="21"/>
                      <w:szCs w:val="21"/>
                      <w:lang w:eastAsia="zh-CN"/>
                    </w:rPr>
                    <w:t>项目收集的餐厨垃圾均来源于</w:t>
                  </w:r>
                  <w:r>
                    <w:rPr>
                      <w:rFonts w:hint="eastAsia" w:cs="Times New Roman"/>
                      <w:color w:val="auto"/>
                      <w:kern w:val="2"/>
                      <w:sz w:val="21"/>
                      <w:szCs w:val="21"/>
                      <w:lang w:val="en-US" w:eastAsia="zh-CN"/>
                    </w:rPr>
                    <w:t>：食品加工、餐饮服务、集体供餐等活动中产生的食物残余、食品加工废料等。</w:t>
                  </w:r>
                  <w:r>
                    <w:rPr>
                      <w:rFonts w:hint="eastAsia" w:cs="Times New Roman"/>
                      <w:color w:val="auto"/>
                      <w:kern w:val="2"/>
                      <w:sz w:val="21"/>
                      <w:szCs w:val="21"/>
                      <w:lang w:eastAsia="zh-CN"/>
                    </w:rPr>
                    <w:t>项目区周边有环境卫生管理业</w:t>
                  </w:r>
                  <w:r>
                    <w:rPr>
                      <w:rFonts w:hint="eastAsia" w:cs="Times New Roman"/>
                      <w:color w:val="auto"/>
                      <w:kern w:val="2"/>
                      <w:sz w:val="21"/>
                      <w:szCs w:val="21"/>
                      <w:lang w:val="en-US" w:eastAsia="zh-CN"/>
                    </w:rPr>
                    <w:t>--</w:t>
                  </w:r>
                  <w:r>
                    <w:rPr>
                      <w:rFonts w:hint="eastAsia" w:cs="Times New Roman"/>
                      <w:color w:val="auto"/>
                      <w:kern w:val="2"/>
                      <w:sz w:val="21"/>
                      <w:szCs w:val="21"/>
                      <w:lang w:eastAsia="zh-CN"/>
                    </w:rPr>
                    <w:t>生活垃圾焚烧发电（东至海创环保科技有限公司）。本项目的废水排至池州中器环保科技有限公司的污水处理设施进行处理。</w:t>
                  </w:r>
                </w:p>
              </w:tc>
              <w:tc>
                <w:tcPr>
                  <w:tcW w:w="468" w:type="pct"/>
                  <w:noWrap w:val="0"/>
                  <w:tcMar>
                    <w:top w:w="57" w:type="dxa"/>
                    <w:left w:w="108" w:type="dxa"/>
                    <w:bottom w:w="57" w:type="dxa"/>
                    <w:right w:w="108" w:type="dxa"/>
                  </w:tcMar>
                  <w:vAlign w:val="center"/>
                </w:tcPr>
                <w:p w14:paraId="7DC0EAAA">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符合要求</w:t>
                  </w:r>
                </w:p>
              </w:tc>
            </w:tr>
            <w:tr w14:paraId="6DEEF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4" w:type="pct"/>
                  <w:vMerge w:val="continue"/>
                  <w:noWrap w:val="0"/>
                  <w:tcMar>
                    <w:top w:w="57" w:type="dxa"/>
                    <w:left w:w="108" w:type="dxa"/>
                    <w:bottom w:w="57" w:type="dxa"/>
                    <w:right w:w="108" w:type="dxa"/>
                  </w:tcMar>
                  <w:vAlign w:val="center"/>
                </w:tcPr>
                <w:p w14:paraId="4DB9DB18">
                  <w:pPr>
                    <w:pStyle w:val="25"/>
                    <w:spacing w:line="240" w:lineRule="exact"/>
                    <w:ind w:firstLine="0" w:firstLineChars="0"/>
                    <w:jc w:val="center"/>
                    <w:rPr>
                      <w:rFonts w:hint="eastAsia" w:cs="Times New Roman"/>
                      <w:color w:val="auto"/>
                      <w:kern w:val="2"/>
                      <w:sz w:val="21"/>
                      <w:szCs w:val="21"/>
                    </w:rPr>
                  </w:pPr>
                </w:p>
              </w:tc>
              <w:tc>
                <w:tcPr>
                  <w:tcW w:w="2227" w:type="pct"/>
                  <w:noWrap w:val="0"/>
                  <w:tcMar>
                    <w:top w:w="57" w:type="dxa"/>
                    <w:left w:w="108" w:type="dxa"/>
                    <w:bottom w:w="57" w:type="dxa"/>
                    <w:right w:w="108" w:type="dxa"/>
                  </w:tcMar>
                  <w:vAlign w:val="center"/>
                </w:tcPr>
                <w:p w14:paraId="214F910D">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4.0.2厂址选择应综合考虑餐厨垃圾处理厂的服务区域、服务单位、垃圾收集运输能力、运输距离、预留发展等因素。</w:t>
                  </w:r>
                </w:p>
              </w:tc>
              <w:tc>
                <w:tcPr>
                  <w:tcW w:w="1859" w:type="pct"/>
                  <w:vMerge w:val="continue"/>
                  <w:noWrap w:val="0"/>
                  <w:tcMar>
                    <w:top w:w="57" w:type="dxa"/>
                    <w:left w:w="108" w:type="dxa"/>
                    <w:bottom w:w="57" w:type="dxa"/>
                    <w:right w:w="108" w:type="dxa"/>
                  </w:tcMar>
                  <w:vAlign w:val="center"/>
                </w:tcPr>
                <w:p w14:paraId="4328395F">
                  <w:pPr>
                    <w:pStyle w:val="25"/>
                    <w:spacing w:line="240" w:lineRule="exact"/>
                    <w:ind w:firstLine="0" w:firstLineChars="0"/>
                    <w:jc w:val="center"/>
                    <w:rPr>
                      <w:rFonts w:hint="eastAsia" w:cs="Times New Roman"/>
                      <w:color w:val="auto"/>
                      <w:kern w:val="2"/>
                      <w:sz w:val="21"/>
                      <w:szCs w:val="21"/>
                    </w:rPr>
                  </w:pPr>
                </w:p>
              </w:tc>
              <w:tc>
                <w:tcPr>
                  <w:tcW w:w="468" w:type="pct"/>
                  <w:noWrap w:val="0"/>
                  <w:tcMar>
                    <w:top w:w="57" w:type="dxa"/>
                    <w:left w:w="108" w:type="dxa"/>
                    <w:bottom w:w="57" w:type="dxa"/>
                    <w:right w:w="108" w:type="dxa"/>
                  </w:tcMar>
                  <w:vAlign w:val="center"/>
                </w:tcPr>
                <w:p w14:paraId="0ED3CAE7">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符合要求</w:t>
                  </w:r>
                </w:p>
              </w:tc>
            </w:tr>
            <w:tr w14:paraId="48683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4" w:type="pct"/>
                  <w:vMerge w:val="continue"/>
                  <w:noWrap w:val="0"/>
                  <w:tcMar>
                    <w:top w:w="57" w:type="dxa"/>
                    <w:left w:w="108" w:type="dxa"/>
                    <w:bottom w:w="57" w:type="dxa"/>
                    <w:right w:w="108" w:type="dxa"/>
                  </w:tcMar>
                  <w:vAlign w:val="center"/>
                </w:tcPr>
                <w:p w14:paraId="6FCA2033">
                  <w:pPr>
                    <w:pStyle w:val="25"/>
                    <w:spacing w:line="240" w:lineRule="exact"/>
                    <w:ind w:firstLine="0" w:firstLineChars="0"/>
                    <w:jc w:val="center"/>
                    <w:rPr>
                      <w:rFonts w:hint="eastAsia" w:cs="Times New Roman"/>
                      <w:color w:val="auto"/>
                      <w:kern w:val="2"/>
                      <w:sz w:val="21"/>
                      <w:szCs w:val="21"/>
                    </w:rPr>
                  </w:pPr>
                </w:p>
              </w:tc>
              <w:tc>
                <w:tcPr>
                  <w:tcW w:w="2227" w:type="pct"/>
                  <w:noWrap w:val="0"/>
                  <w:tcMar>
                    <w:top w:w="57" w:type="dxa"/>
                    <w:left w:w="108" w:type="dxa"/>
                    <w:bottom w:w="57" w:type="dxa"/>
                    <w:right w:w="108" w:type="dxa"/>
                  </w:tcMar>
                  <w:vAlign w:val="center"/>
                </w:tcPr>
                <w:p w14:paraId="2A1E8A3C">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rPr>
                    <w:t>4.0.3餐厨垃圾处理设施宜与其他固体废物处理设施或污水处理设施同址建设</w:t>
                  </w:r>
                  <w:r>
                    <w:rPr>
                      <w:rFonts w:hint="eastAsia" w:cs="Times New Roman"/>
                      <w:color w:val="auto"/>
                      <w:kern w:val="2"/>
                      <w:sz w:val="21"/>
                      <w:szCs w:val="21"/>
                      <w:lang w:eastAsia="zh-CN"/>
                    </w:rPr>
                    <w:t>。</w:t>
                  </w:r>
                </w:p>
              </w:tc>
              <w:tc>
                <w:tcPr>
                  <w:tcW w:w="1859" w:type="pct"/>
                  <w:vMerge w:val="continue"/>
                  <w:noWrap w:val="0"/>
                  <w:tcMar>
                    <w:top w:w="57" w:type="dxa"/>
                    <w:left w:w="108" w:type="dxa"/>
                    <w:bottom w:w="57" w:type="dxa"/>
                    <w:right w:w="108" w:type="dxa"/>
                  </w:tcMar>
                  <w:vAlign w:val="center"/>
                </w:tcPr>
                <w:p w14:paraId="6C84778A">
                  <w:pPr>
                    <w:pStyle w:val="25"/>
                    <w:spacing w:line="240" w:lineRule="exact"/>
                    <w:ind w:firstLine="0" w:firstLineChars="0"/>
                    <w:jc w:val="center"/>
                    <w:rPr>
                      <w:rFonts w:hint="eastAsia" w:cs="Times New Roman"/>
                      <w:color w:val="auto"/>
                      <w:kern w:val="2"/>
                      <w:sz w:val="21"/>
                      <w:szCs w:val="21"/>
                    </w:rPr>
                  </w:pPr>
                </w:p>
              </w:tc>
              <w:tc>
                <w:tcPr>
                  <w:tcW w:w="468" w:type="pct"/>
                  <w:noWrap w:val="0"/>
                  <w:tcMar>
                    <w:top w:w="57" w:type="dxa"/>
                    <w:left w:w="108" w:type="dxa"/>
                    <w:bottom w:w="57" w:type="dxa"/>
                    <w:right w:w="108" w:type="dxa"/>
                  </w:tcMar>
                  <w:vAlign w:val="center"/>
                </w:tcPr>
                <w:p w14:paraId="640B7F5B">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符合要求</w:t>
                  </w:r>
                </w:p>
              </w:tc>
            </w:tr>
            <w:tr w14:paraId="5CA78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4" w:type="pct"/>
                  <w:noWrap w:val="0"/>
                  <w:tcMar>
                    <w:top w:w="57" w:type="dxa"/>
                    <w:left w:w="108" w:type="dxa"/>
                    <w:bottom w:w="57" w:type="dxa"/>
                    <w:right w:w="108" w:type="dxa"/>
                  </w:tcMar>
                  <w:vAlign w:val="center"/>
                </w:tcPr>
                <w:p w14:paraId="17CEEAFC">
                  <w:pPr>
                    <w:pStyle w:val="25"/>
                    <w:spacing w:line="240" w:lineRule="exact"/>
                    <w:ind w:firstLine="0" w:firstLineChars="0"/>
                    <w:jc w:val="center"/>
                    <w:rPr>
                      <w:rFonts w:hint="default" w:cs="Times New Roman"/>
                      <w:color w:val="auto"/>
                      <w:kern w:val="2"/>
                      <w:sz w:val="21"/>
                      <w:szCs w:val="21"/>
                      <w:lang w:val="en-US" w:eastAsia="zh-CN"/>
                    </w:rPr>
                  </w:pPr>
                  <w:r>
                    <w:rPr>
                      <w:rFonts w:hint="eastAsia" w:cs="Times New Roman"/>
                      <w:color w:val="auto"/>
                      <w:kern w:val="2"/>
                      <w:sz w:val="21"/>
                      <w:szCs w:val="21"/>
                      <w:lang w:val="en-US" w:eastAsia="zh-CN"/>
                    </w:rPr>
                    <w:t>5 总体设计</w:t>
                  </w:r>
                </w:p>
              </w:tc>
              <w:tc>
                <w:tcPr>
                  <w:tcW w:w="2227" w:type="pct"/>
                  <w:noWrap w:val="0"/>
                  <w:tcMar>
                    <w:top w:w="57" w:type="dxa"/>
                    <w:left w:w="108" w:type="dxa"/>
                    <w:bottom w:w="57" w:type="dxa"/>
                    <w:right w:w="108" w:type="dxa"/>
                  </w:tcMar>
                  <w:vAlign w:val="center"/>
                </w:tcPr>
                <w:p w14:paraId="71CE2DFD">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1物质流顺畅，各工段不应相互干扰</w:t>
                  </w:r>
                  <w:r>
                    <w:rPr>
                      <w:rFonts w:hint="eastAsia" w:cs="Times New Roman"/>
                      <w:color w:val="auto"/>
                      <w:kern w:val="2"/>
                      <w:sz w:val="21"/>
                      <w:szCs w:val="21"/>
                      <w:lang w:eastAsia="zh-CN"/>
                    </w:rPr>
                    <w:t>；</w:t>
                  </w:r>
                  <w:r>
                    <w:rPr>
                      <w:rFonts w:hint="eastAsia" w:cs="Times New Roman"/>
                      <w:color w:val="auto"/>
                      <w:kern w:val="2"/>
                      <w:sz w:val="21"/>
                      <w:szCs w:val="21"/>
                    </w:rPr>
                    <w:t>2应留有足够的设备检修空间，3进料和预处理工段应与主处理工段分开</w:t>
                  </w:r>
                  <w:r>
                    <w:rPr>
                      <w:rFonts w:hint="eastAsia" w:cs="Times New Roman"/>
                      <w:color w:val="auto"/>
                      <w:kern w:val="2"/>
                      <w:sz w:val="21"/>
                      <w:szCs w:val="21"/>
                      <w:lang w:eastAsia="zh-CN"/>
                    </w:rPr>
                    <w:t>；</w:t>
                  </w:r>
                  <w:r>
                    <w:rPr>
                      <w:rFonts w:hint="eastAsia" w:cs="Times New Roman"/>
                      <w:color w:val="auto"/>
                      <w:kern w:val="2"/>
                      <w:sz w:val="21"/>
                      <w:szCs w:val="21"/>
                    </w:rPr>
                    <w:t>4 应有利于车间全面通风的气流组织优化和环境维护。</w:t>
                  </w:r>
                </w:p>
              </w:tc>
              <w:tc>
                <w:tcPr>
                  <w:tcW w:w="1859" w:type="pct"/>
                  <w:noWrap w:val="0"/>
                  <w:tcMar>
                    <w:top w:w="57" w:type="dxa"/>
                    <w:left w:w="108" w:type="dxa"/>
                    <w:bottom w:w="57" w:type="dxa"/>
                    <w:right w:w="108" w:type="dxa"/>
                  </w:tcMar>
                  <w:vAlign w:val="center"/>
                </w:tcPr>
                <w:p w14:paraId="2441B5BF">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本项目各工段互不干扰；进料和预处理工段分开进行处理；厂区车间设通风设备，利于</w:t>
                  </w:r>
                  <w:r>
                    <w:rPr>
                      <w:rFonts w:hint="eastAsia" w:cs="Times New Roman"/>
                      <w:color w:val="auto"/>
                      <w:kern w:val="2"/>
                      <w:sz w:val="21"/>
                      <w:szCs w:val="21"/>
                    </w:rPr>
                    <w:t>气流组织优化和环境维护</w:t>
                  </w:r>
                  <w:r>
                    <w:rPr>
                      <w:rFonts w:hint="eastAsia" w:cs="Times New Roman"/>
                      <w:color w:val="auto"/>
                      <w:kern w:val="2"/>
                      <w:sz w:val="21"/>
                      <w:szCs w:val="21"/>
                      <w:lang w:eastAsia="zh-CN"/>
                    </w:rPr>
                    <w:t>。</w:t>
                  </w:r>
                </w:p>
              </w:tc>
              <w:tc>
                <w:tcPr>
                  <w:tcW w:w="468" w:type="pct"/>
                  <w:noWrap w:val="0"/>
                  <w:tcMar>
                    <w:top w:w="57" w:type="dxa"/>
                    <w:left w:w="108" w:type="dxa"/>
                    <w:bottom w:w="57" w:type="dxa"/>
                    <w:right w:w="108" w:type="dxa"/>
                  </w:tcMar>
                  <w:vAlign w:val="center"/>
                </w:tcPr>
                <w:p w14:paraId="74E450E2">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符合</w:t>
                  </w:r>
                </w:p>
              </w:tc>
            </w:tr>
            <w:tr w14:paraId="6AA5D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4" w:type="pct"/>
                  <w:vMerge w:val="restart"/>
                  <w:noWrap w:val="0"/>
                  <w:tcMar>
                    <w:top w:w="57" w:type="dxa"/>
                    <w:left w:w="108" w:type="dxa"/>
                    <w:bottom w:w="57" w:type="dxa"/>
                    <w:right w:w="108" w:type="dxa"/>
                  </w:tcMar>
                  <w:vAlign w:val="center"/>
                </w:tcPr>
                <w:p w14:paraId="5D67AA7D">
                  <w:pPr>
                    <w:pStyle w:val="25"/>
                    <w:spacing w:line="240" w:lineRule="exact"/>
                    <w:ind w:firstLine="0" w:firstLineChars="0"/>
                    <w:jc w:val="center"/>
                    <w:rPr>
                      <w:rFonts w:hint="eastAsia" w:cs="Times New Roman"/>
                      <w:color w:val="auto"/>
                      <w:kern w:val="2"/>
                      <w:sz w:val="21"/>
                      <w:szCs w:val="21"/>
                      <w:lang w:val="en-US" w:eastAsia="zh-CN"/>
                    </w:rPr>
                  </w:pPr>
                  <w:r>
                    <w:rPr>
                      <w:rFonts w:hint="eastAsia" w:cs="Times New Roman"/>
                      <w:color w:val="auto"/>
                      <w:kern w:val="2"/>
                      <w:sz w:val="21"/>
                      <w:szCs w:val="21"/>
                      <w:lang w:val="en-US" w:eastAsia="zh-CN"/>
                    </w:rPr>
                    <w:t>6计量、接受、运输</w:t>
                  </w:r>
                </w:p>
              </w:tc>
              <w:tc>
                <w:tcPr>
                  <w:tcW w:w="2227" w:type="pct"/>
                  <w:noWrap w:val="0"/>
                  <w:tcMar>
                    <w:top w:w="57" w:type="dxa"/>
                    <w:left w:w="108" w:type="dxa"/>
                    <w:bottom w:w="57" w:type="dxa"/>
                    <w:right w:w="108" w:type="dxa"/>
                  </w:tcMar>
                  <w:vAlign w:val="center"/>
                </w:tcPr>
                <w:p w14:paraId="3C678C83">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餐厨垃圾卸料间应封闭，垃圾车卸料平台尺寸应满足最大餐厨垃圾收集车的卸料作业。</w:t>
                  </w:r>
                </w:p>
              </w:tc>
              <w:tc>
                <w:tcPr>
                  <w:tcW w:w="1859" w:type="pct"/>
                  <w:noWrap w:val="0"/>
                  <w:tcMar>
                    <w:top w:w="57" w:type="dxa"/>
                    <w:left w:w="108" w:type="dxa"/>
                    <w:bottom w:w="57" w:type="dxa"/>
                    <w:right w:w="108" w:type="dxa"/>
                  </w:tcMar>
                  <w:vAlign w:val="center"/>
                </w:tcPr>
                <w:p w14:paraId="6AB3FE07">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厂区卸料间封闭，设置有</w:t>
                  </w:r>
                  <w:r>
                    <w:rPr>
                      <w:rFonts w:hint="eastAsia" w:cs="Times New Roman"/>
                      <w:color w:val="auto"/>
                      <w:kern w:val="2"/>
                      <w:sz w:val="21"/>
                      <w:szCs w:val="21"/>
                      <w:lang w:val="en-US" w:eastAsia="zh-CN"/>
                    </w:rPr>
                    <w:t>1间卸料间，卸料间</w:t>
                  </w:r>
                  <w:bookmarkStart w:id="35" w:name="_GoBack"/>
                  <w:bookmarkEnd w:id="35"/>
                  <w:r>
                    <w:rPr>
                      <w:rFonts w:hint="eastAsia" w:cs="Times New Roman"/>
                      <w:color w:val="auto"/>
                      <w:kern w:val="2"/>
                      <w:sz w:val="21"/>
                      <w:szCs w:val="21"/>
                      <w:lang w:val="en-US" w:eastAsia="zh-CN"/>
                    </w:rPr>
                    <w:t>的3个卸料斗上方配备密封房，满足</w:t>
                  </w:r>
                  <w:r>
                    <w:rPr>
                      <w:rFonts w:hint="eastAsia" w:cs="Times New Roman"/>
                      <w:color w:val="auto"/>
                      <w:kern w:val="2"/>
                      <w:sz w:val="21"/>
                      <w:szCs w:val="21"/>
                    </w:rPr>
                    <w:t>最大餐厨垃圾收集车的卸料作业</w:t>
                  </w:r>
                  <w:r>
                    <w:rPr>
                      <w:rFonts w:hint="eastAsia" w:cs="Times New Roman"/>
                      <w:color w:val="auto"/>
                      <w:kern w:val="2"/>
                      <w:sz w:val="21"/>
                      <w:szCs w:val="21"/>
                      <w:lang w:eastAsia="zh-CN"/>
                    </w:rPr>
                    <w:t>。</w:t>
                  </w:r>
                </w:p>
              </w:tc>
              <w:tc>
                <w:tcPr>
                  <w:tcW w:w="468" w:type="pct"/>
                  <w:vMerge w:val="restart"/>
                  <w:noWrap w:val="0"/>
                  <w:tcMar>
                    <w:top w:w="57" w:type="dxa"/>
                    <w:left w:w="108" w:type="dxa"/>
                    <w:bottom w:w="57" w:type="dxa"/>
                    <w:right w:w="108" w:type="dxa"/>
                  </w:tcMar>
                  <w:vAlign w:val="center"/>
                </w:tcPr>
                <w:p w14:paraId="6A4FE6BE">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符合</w:t>
                  </w:r>
                </w:p>
              </w:tc>
            </w:tr>
            <w:tr w14:paraId="07CF0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444" w:type="pct"/>
                  <w:vMerge w:val="continue"/>
                  <w:noWrap w:val="0"/>
                  <w:tcMar>
                    <w:top w:w="57" w:type="dxa"/>
                    <w:left w:w="108" w:type="dxa"/>
                    <w:bottom w:w="57" w:type="dxa"/>
                    <w:right w:w="108" w:type="dxa"/>
                  </w:tcMar>
                  <w:vAlign w:val="center"/>
                </w:tcPr>
                <w:p w14:paraId="729F6F44">
                  <w:pPr>
                    <w:pStyle w:val="25"/>
                    <w:spacing w:line="240" w:lineRule="exact"/>
                    <w:ind w:firstLine="0" w:firstLineChars="0"/>
                    <w:jc w:val="center"/>
                    <w:rPr>
                      <w:rFonts w:hint="eastAsia" w:cs="Times New Roman"/>
                      <w:color w:val="auto"/>
                      <w:kern w:val="2"/>
                      <w:sz w:val="21"/>
                      <w:szCs w:val="21"/>
                      <w:lang w:val="en-US" w:eastAsia="zh-CN"/>
                    </w:rPr>
                  </w:pPr>
                </w:p>
              </w:tc>
              <w:tc>
                <w:tcPr>
                  <w:tcW w:w="2227" w:type="pct"/>
                  <w:noWrap w:val="0"/>
                  <w:tcMar>
                    <w:top w:w="57" w:type="dxa"/>
                    <w:left w:w="108" w:type="dxa"/>
                    <w:bottom w:w="57" w:type="dxa"/>
                    <w:right w:w="108" w:type="dxa"/>
                  </w:tcMar>
                  <w:vAlign w:val="center"/>
                </w:tcPr>
                <w:p w14:paraId="2CE76558">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卸料间受料槽应设置局部排风罩，排风罩设计风量应满足卸料时控制臭味外逸的需要，卸料间的通风换气次数不应小于3次/h。</w:t>
                  </w:r>
                </w:p>
              </w:tc>
              <w:tc>
                <w:tcPr>
                  <w:tcW w:w="1859" w:type="pct"/>
                  <w:noWrap w:val="0"/>
                  <w:tcMar>
                    <w:top w:w="57" w:type="dxa"/>
                    <w:left w:w="108" w:type="dxa"/>
                    <w:bottom w:w="57" w:type="dxa"/>
                    <w:right w:w="108" w:type="dxa"/>
                  </w:tcMar>
                  <w:vAlign w:val="center"/>
                </w:tcPr>
                <w:p w14:paraId="6716C0AB">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厂区卸料间设置局部排风罩，风量设计的换风次数为</w:t>
                  </w:r>
                  <w:r>
                    <w:rPr>
                      <w:rFonts w:hint="eastAsia" w:cs="Times New Roman"/>
                      <w:color w:val="auto"/>
                      <w:kern w:val="2"/>
                      <w:sz w:val="21"/>
                      <w:szCs w:val="21"/>
                    </w:rPr>
                    <w:t>3次/h</w:t>
                  </w:r>
                  <w:r>
                    <w:rPr>
                      <w:rFonts w:hint="eastAsia" w:cs="Times New Roman"/>
                      <w:color w:val="auto"/>
                      <w:kern w:val="2"/>
                      <w:sz w:val="21"/>
                      <w:szCs w:val="21"/>
                      <w:lang w:eastAsia="zh-CN"/>
                    </w:rPr>
                    <w:t>。</w:t>
                  </w:r>
                </w:p>
              </w:tc>
              <w:tc>
                <w:tcPr>
                  <w:tcW w:w="468" w:type="pct"/>
                  <w:vMerge w:val="continue"/>
                  <w:noWrap w:val="0"/>
                  <w:tcMar>
                    <w:top w:w="57" w:type="dxa"/>
                    <w:left w:w="108" w:type="dxa"/>
                    <w:bottom w:w="57" w:type="dxa"/>
                    <w:right w:w="108" w:type="dxa"/>
                  </w:tcMar>
                  <w:vAlign w:val="center"/>
                </w:tcPr>
                <w:p w14:paraId="7FB3B61F">
                  <w:pPr>
                    <w:pStyle w:val="25"/>
                    <w:spacing w:line="240" w:lineRule="exact"/>
                    <w:ind w:firstLine="0" w:firstLineChars="0"/>
                    <w:jc w:val="center"/>
                    <w:rPr>
                      <w:rFonts w:hint="eastAsia" w:cs="Times New Roman"/>
                      <w:color w:val="auto"/>
                      <w:kern w:val="2"/>
                      <w:sz w:val="21"/>
                      <w:szCs w:val="21"/>
                    </w:rPr>
                  </w:pPr>
                </w:p>
              </w:tc>
            </w:tr>
            <w:tr w14:paraId="4B460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444" w:type="pct"/>
                  <w:noWrap w:val="0"/>
                  <w:tcMar>
                    <w:top w:w="57" w:type="dxa"/>
                    <w:left w:w="108" w:type="dxa"/>
                    <w:bottom w:w="57" w:type="dxa"/>
                    <w:right w:w="108" w:type="dxa"/>
                  </w:tcMar>
                  <w:vAlign w:val="center"/>
                </w:tcPr>
                <w:p w14:paraId="04E3D509">
                  <w:pPr>
                    <w:pStyle w:val="25"/>
                    <w:spacing w:line="240" w:lineRule="exact"/>
                    <w:ind w:firstLine="0" w:firstLineChars="0"/>
                    <w:jc w:val="center"/>
                    <w:rPr>
                      <w:rFonts w:hint="default" w:cs="Times New Roman"/>
                      <w:color w:val="auto"/>
                      <w:kern w:val="2"/>
                      <w:sz w:val="21"/>
                      <w:szCs w:val="21"/>
                      <w:lang w:val="en-US" w:eastAsia="zh-CN"/>
                    </w:rPr>
                  </w:pPr>
                  <w:r>
                    <w:rPr>
                      <w:rFonts w:hint="eastAsia" w:cs="Times New Roman"/>
                      <w:color w:val="auto"/>
                      <w:kern w:val="2"/>
                      <w:sz w:val="21"/>
                      <w:szCs w:val="21"/>
                      <w:lang w:val="en-US" w:eastAsia="zh-CN"/>
                    </w:rPr>
                    <w:t>7预处理</w:t>
                  </w:r>
                </w:p>
              </w:tc>
              <w:tc>
                <w:tcPr>
                  <w:tcW w:w="2227" w:type="pct"/>
                  <w:noWrap w:val="0"/>
                  <w:tcMar>
                    <w:top w:w="57" w:type="dxa"/>
                    <w:left w:w="108" w:type="dxa"/>
                    <w:bottom w:w="57" w:type="dxa"/>
                    <w:right w:w="108" w:type="dxa"/>
                  </w:tcMar>
                  <w:vAlign w:val="center"/>
                </w:tcPr>
                <w:p w14:paraId="2F02B2B6">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餐厨垃圾液相油脂分离收集率应大于90%。应对分离出的油脂进行妥善处理和利用。</w:t>
                  </w:r>
                </w:p>
              </w:tc>
              <w:tc>
                <w:tcPr>
                  <w:tcW w:w="1859" w:type="pct"/>
                  <w:noWrap w:val="0"/>
                  <w:tcMar>
                    <w:top w:w="57" w:type="dxa"/>
                    <w:left w:w="108" w:type="dxa"/>
                    <w:bottom w:w="57" w:type="dxa"/>
                    <w:right w:w="108" w:type="dxa"/>
                  </w:tcMar>
                  <w:vAlign w:val="center"/>
                </w:tcPr>
                <w:p w14:paraId="0894BA16">
                  <w:pPr>
                    <w:pStyle w:val="25"/>
                    <w:spacing w:line="240" w:lineRule="exact"/>
                    <w:ind w:firstLine="0" w:firstLineChars="0"/>
                    <w:jc w:val="center"/>
                    <w:rPr>
                      <w:rFonts w:hint="default" w:cs="Times New Roman"/>
                      <w:color w:val="auto"/>
                      <w:kern w:val="2"/>
                      <w:sz w:val="21"/>
                      <w:szCs w:val="21"/>
                      <w:lang w:val="en-US" w:eastAsia="zh-CN"/>
                    </w:rPr>
                  </w:pPr>
                  <w:r>
                    <w:rPr>
                      <w:rFonts w:hint="eastAsia" w:cs="Times New Roman"/>
                      <w:color w:val="auto"/>
                      <w:kern w:val="2"/>
                      <w:sz w:val="21"/>
                      <w:szCs w:val="21"/>
                      <w:lang w:eastAsia="zh-CN"/>
                    </w:rPr>
                    <w:t>本项目的油脂分离收集率为</w:t>
                  </w:r>
                  <w:r>
                    <w:rPr>
                      <w:rFonts w:hint="eastAsia" w:cs="Times New Roman"/>
                      <w:color w:val="auto"/>
                      <w:kern w:val="2"/>
                      <w:sz w:val="21"/>
                      <w:szCs w:val="21"/>
                      <w:lang w:val="en-US" w:eastAsia="zh-CN"/>
                    </w:rPr>
                    <w:t>大于90%，分离出的油脂提供给中器再生企业进行加工利用。</w:t>
                  </w:r>
                </w:p>
              </w:tc>
              <w:tc>
                <w:tcPr>
                  <w:tcW w:w="468" w:type="pct"/>
                  <w:noWrap w:val="0"/>
                  <w:tcMar>
                    <w:top w:w="57" w:type="dxa"/>
                    <w:left w:w="108" w:type="dxa"/>
                    <w:bottom w:w="57" w:type="dxa"/>
                    <w:right w:w="108" w:type="dxa"/>
                  </w:tcMar>
                  <w:vAlign w:val="center"/>
                </w:tcPr>
                <w:p w14:paraId="0955CE00">
                  <w:pPr>
                    <w:pStyle w:val="25"/>
                    <w:spacing w:line="240" w:lineRule="exact"/>
                    <w:ind w:firstLine="0" w:firstLineChars="0"/>
                    <w:jc w:val="center"/>
                    <w:rPr>
                      <w:rFonts w:hint="eastAsia" w:cs="Times New Roman"/>
                      <w:color w:val="auto"/>
                      <w:kern w:val="2"/>
                      <w:sz w:val="21"/>
                      <w:szCs w:val="21"/>
                    </w:rPr>
                  </w:pPr>
                </w:p>
              </w:tc>
            </w:tr>
            <w:tr w14:paraId="462D7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4" w:type="pct"/>
                  <w:vMerge w:val="restart"/>
                  <w:noWrap w:val="0"/>
                  <w:tcMar>
                    <w:top w:w="57" w:type="dxa"/>
                    <w:left w:w="108" w:type="dxa"/>
                    <w:bottom w:w="57" w:type="dxa"/>
                    <w:right w:w="108" w:type="dxa"/>
                  </w:tcMar>
                  <w:vAlign w:val="center"/>
                </w:tcPr>
                <w:p w14:paraId="7BC7A95A">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8.4环境保护</w:t>
                  </w:r>
                </w:p>
              </w:tc>
              <w:tc>
                <w:tcPr>
                  <w:tcW w:w="2227" w:type="pct"/>
                  <w:noWrap w:val="0"/>
                  <w:tcMar>
                    <w:top w:w="57" w:type="dxa"/>
                    <w:left w:w="108" w:type="dxa"/>
                    <w:bottom w:w="57" w:type="dxa"/>
                    <w:right w:w="108" w:type="dxa"/>
                  </w:tcMar>
                  <w:vAlign w:val="center"/>
                </w:tcPr>
                <w:p w14:paraId="6864E1F0">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rPr>
                    <w:t>8.4.1餐厨垃圾的输送、处理各环节应做到密闭，并应设置臭气收集、处理设施，不能密闭的部位应设置局部排风除臭装置</w:t>
                  </w:r>
                  <w:r>
                    <w:rPr>
                      <w:rFonts w:hint="eastAsia" w:cs="Times New Roman"/>
                      <w:color w:val="auto"/>
                      <w:kern w:val="2"/>
                      <w:sz w:val="21"/>
                      <w:szCs w:val="21"/>
                      <w:lang w:eastAsia="zh-CN"/>
                    </w:rPr>
                    <w:t>。</w:t>
                  </w:r>
                </w:p>
              </w:tc>
              <w:tc>
                <w:tcPr>
                  <w:tcW w:w="1859" w:type="pct"/>
                  <w:noWrap w:val="0"/>
                  <w:tcMar>
                    <w:top w:w="57" w:type="dxa"/>
                    <w:left w:w="108" w:type="dxa"/>
                    <w:bottom w:w="57" w:type="dxa"/>
                    <w:right w:w="108" w:type="dxa"/>
                  </w:tcMar>
                  <w:vAlign w:val="center"/>
                </w:tcPr>
                <w:p w14:paraId="4EF55E23">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rPr>
                    <w:t>本项目输送及储存过程均为密闭，生产过程中</w:t>
                  </w:r>
                  <w:r>
                    <w:rPr>
                      <w:rFonts w:hint="eastAsia" w:cs="Times New Roman"/>
                      <w:color w:val="auto"/>
                      <w:kern w:val="2"/>
                      <w:sz w:val="21"/>
                      <w:szCs w:val="21"/>
                      <w:lang w:eastAsia="zh-CN"/>
                    </w:rPr>
                    <w:t>设备及车间保持密闭</w:t>
                  </w:r>
                  <w:r>
                    <w:rPr>
                      <w:rFonts w:hint="eastAsia" w:cs="Times New Roman"/>
                      <w:color w:val="auto"/>
                      <w:kern w:val="2"/>
                      <w:sz w:val="21"/>
                      <w:szCs w:val="21"/>
                    </w:rPr>
                    <w:t>，</w:t>
                  </w:r>
                  <w:r>
                    <w:rPr>
                      <w:rFonts w:hint="eastAsia" w:cs="Times New Roman"/>
                      <w:color w:val="auto"/>
                      <w:kern w:val="2"/>
                      <w:sz w:val="21"/>
                      <w:szCs w:val="21"/>
                      <w:lang w:eastAsia="zh-CN"/>
                    </w:rPr>
                    <w:t>生产车间加热罐、三相离心设备废气经油雾净化器</w:t>
                  </w:r>
                  <w:r>
                    <w:rPr>
                      <w:rFonts w:hint="eastAsia" w:cs="Times New Roman"/>
                      <w:color w:val="auto"/>
                      <w:kern w:val="2"/>
                      <w:sz w:val="21"/>
                      <w:szCs w:val="21"/>
                      <w:lang w:val="en-US" w:eastAsia="zh-CN"/>
                    </w:rPr>
                    <w:t>+管式热交换器</w:t>
                  </w:r>
                  <w:r>
                    <w:rPr>
                      <w:rFonts w:hint="eastAsia" w:cs="Times New Roman"/>
                      <w:color w:val="auto"/>
                      <w:kern w:val="2"/>
                      <w:sz w:val="21"/>
                      <w:szCs w:val="21"/>
                      <w:lang w:eastAsia="zh-CN"/>
                    </w:rPr>
                    <w:t>处理后、汇同车间其他废气、储罐废气一起进入酸洗+碱洗+次氯酸钠洗</w:t>
                  </w:r>
                  <w:r>
                    <w:rPr>
                      <w:rFonts w:hint="eastAsia" w:cs="Times New Roman"/>
                      <w:color w:val="auto"/>
                      <w:kern w:val="2"/>
                      <w:sz w:val="21"/>
                      <w:szCs w:val="21"/>
                      <w:lang w:val="en-US" w:eastAsia="zh-CN"/>
                    </w:rPr>
                    <w:t>+</w:t>
                  </w:r>
                  <w:r>
                    <w:rPr>
                      <w:rFonts w:hint="eastAsia" w:cs="Times New Roman"/>
                      <w:color w:val="auto"/>
                      <w:kern w:val="2"/>
                      <w:sz w:val="21"/>
                      <w:szCs w:val="21"/>
                      <w:lang w:eastAsia="zh-CN"/>
                    </w:rPr>
                    <w:t>干式过滤器+一级活性炭处理，通过排气筒（15m）排放（编号：DA001）。</w:t>
                  </w:r>
                </w:p>
              </w:tc>
              <w:tc>
                <w:tcPr>
                  <w:tcW w:w="468" w:type="pct"/>
                  <w:noWrap w:val="0"/>
                  <w:tcMar>
                    <w:top w:w="57" w:type="dxa"/>
                    <w:left w:w="108" w:type="dxa"/>
                    <w:bottom w:w="57" w:type="dxa"/>
                    <w:right w:w="108" w:type="dxa"/>
                  </w:tcMar>
                  <w:vAlign w:val="center"/>
                </w:tcPr>
                <w:p w14:paraId="7F554F16">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符合要求</w:t>
                  </w:r>
                </w:p>
              </w:tc>
            </w:tr>
            <w:tr w14:paraId="3C9B7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4" w:type="pct"/>
                  <w:vMerge w:val="continue"/>
                  <w:noWrap w:val="0"/>
                  <w:tcMar>
                    <w:top w:w="57" w:type="dxa"/>
                    <w:left w:w="108" w:type="dxa"/>
                    <w:bottom w:w="57" w:type="dxa"/>
                    <w:right w:w="108" w:type="dxa"/>
                  </w:tcMar>
                  <w:vAlign w:val="center"/>
                </w:tcPr>
                <w:p w14:paraId="731AE0B4">
                  <w:pPr>
                    <w:pStyle w:val="25"/>
                    <w:spacing w:line="240" w:lineRule="exact"/>
                    <w:ind w:firstLine="0" w:firstLineChars="0"/>
                    <w:jc w:val="center"/>
                    <w:rPr>
                      <w:rFonts w:hint="eastAsia" w:cs="Times New Roman"/>
                      <w:color w:val="auto"/>
                      <w:kern w:val="2"/>
                      <w:sz w:val="21"/>
                      <w:szCs w:val="21"/>
                    </w:rPr>
                  </w:pPr>
                </w:p>
              </w:tc>
              <w:tc>
                <w:tcPr>
                  <w:tcW w:w="2227" w:type="pct"/>
                  <w:noWrap w:val="0"/>
                  <w:tcMar>
                    <w:top w:w="57" w:type="dxa"/>
                    <w:left w:w="108" w:type="dxa"/>
                    <w:bottom w:w="57" w:type="dxa"/>
                    <w:right w:w="108" w:type="dxa"/>
                  </w:tcMar>
                  <w:vAlign w:val="center"/>
                </w:tcPr>
                <w:p w14:paraId="6B9B499F">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8.4.2车间内粉尘及有害气体浓度应符合国家现行有关标准的规定，集中排放气体和厂界大气的恶臭气体浓度应符合现行国家标准《恶臭污染物排放标准》GB14554的有关规定。</w:t>
                  </w:r>
                </w:p>
              </w:tc>
              <w:tc>
                <w:tcPr>
                  <w:tcW w:w="1859" w:type="pct"/>
                  <w:noWrap w:val="0"/>
                  <w:tcMar>
                    <w:top w:w="57" w:type="dxa"/>
                    <w:left w:w="108" w:type="dxa"/>
                    <w:bottom w:w="57" w:type="dxa"/>
                    <w:right w:w="108" w:type="dxa"/>
                  </w:tcMar>
                  <w:vAlign w:val="center"/>
                </w:tcPr>
                <w:p w14:paraId="4E7AFC79">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根据项目工程分析，</w:t>
                  </w:r>
                  <w:r>
                    <w:rPr>
                      <w:rFonts w:hint="eastAsia" w:cs="Times New Roman"/>
                      <w:color w:val="auto"/>
                      <w:kern w:val="2"/>
                      <w:sz w:val="21"/>
                      <w:szCs w:val="21"/>
                    </w:rPr>
                    <w:t>有组织恶臭</w:t>
                  </w:r>
                  <w:r>
                    <w:rPr>
                      <w:rFonts w:hint="eastAsia" w:cs="Times New Roman"/>
                      <w:color w:val="auto"/>
                      <w:kern w:val="2"/>
                      <w:sz w:val="21"/>
                      <w:szCs w:val="21"/>
                      <w:lang w:eastAsia="zh-CN"/>
                    </w:rPr>
                    <w:t>排放</w:t>
                  </w:r>
                  <w:r>
                    <w:rPr>
                      <w:rFonts w:hint="eastAsia" w:cs="Times New Roman"/>
                      <w:color w:val="auto"/>
                      <w:kern w:val="2"/>
                      <w:sz w:val="21"/>
                      <w:szCs w:val="21"/>
                    </w:rPr>
                    <w:t>能达到相应标准要求，无组织排放的恶臭厂界浓度满足要求</w:t>
                  </w:r>
                  <w:r>
                    <w:rPr>
                      <w:rFonts w:hint="eastAsia" w:cs="Times New Roman"/>
                      <w:color w:val="auto"/>
                      <w:kern w:val="2"/>
                      <w:sz w:val="21"/>
                      <w:szCs w:val="21"/>
                      <w:lang w:eastAsia="zh-CN"/>
                    </w:rPr>
                    <w:t>。</w:t>
                  </w:r>
                </w:p>
              </w:tc>
              <w:tc>
                <w:tcPr>
                  <w:tcW w:w="468" w:type="pct"/>
                  <w:noWrap w:val="0"/>
                  <w:tcMar>
                    <w:top w:w="57" w:type="dxa"/>
                    <w:left w:w="108" w:type="dxa"/>
                    <w:bottom w:w="57" w:type="dxa"/>
                    <w:right w:w="108" w:type="dxa"/>
                  </w:tcMar>
                  <w:vAlign w:val="center"/>
                </w:tcPr>
                <w:p w14:paraId="757E1416">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符合要求</w:t>
                  </w:r>
                </w:p>
              </w:tc>
            </w:tr>
            <w:tr w14:paraId="166AD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4" w:type="pct"/>
                  <w:vMerge w:val="continue"/>
                  <w:noWrap w:val="0"/>
                  <w:tcMar>
                    <w:top w:w="57" w:type="dxa"/>
                    <w:left w:w="108" w:type="dxa"/>
                    <w:bottom w:w="57" w:type="dxa"/>
                    <w:right w:w="108" w:type="dxa"/>
                  </w:tcMar>
                  <w:vAlign w:val="center"/>
                </w:tcPr>
                <w:p w14:paraId="689B245C">
                  <w:pPr>
                    <w:pStyle w:val="25"/>
                    <w:spacing w:line="240" w:lineRule="exact"/>
                    <w:ind w:firstLine="0" w:firstLineChars="0"/>
                    <w:jc w:val="center"/>
                    <w:rPr>
                      <w:rFonts w:hint="eastAsia" w:cs="Times New Roman"/>
                      <w:color w:val="auto"/>
                      <w:kern w:val="2"/>
                      <w:sz w:val="21"/>
                      <w:szCs w:val="21"/>
                    </w:rPr>
                  </w:pPr>
                </w:p>
              </w:tc>
              <w:tc>
                <w:tcPr>
                  <w:tcW w:w="2227" w:type="pct"/>
                  <w:noWrap w:val="0"/>
                  <w:tcMar>
                    <w:top w:w="57" w:type="dxa"/>
                    <w:left w:w="108" w:type="dxa"/>
                    <w:bottom w:w="57" w:type="dxa"/>
                    <w:right w:w="108" w:type="dxa"/>
                  </w:tcMar>
                  <w:vAlign w:val="center"/>
                </w:tcPr>
                <w:p w14:paraId="3E82984C">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8.4.3餐厨垃圾处理过程中产生的污水应得到有效收集和妥善处理，不得污染环境</w:t>
                  </w:r>
                </w:p>
              </w:tc>
              <w:tc>
                <w:tcPr>
                  <w:tcW w:w="1859" w:type="pct"/>
                  <w:noWrap w:val="0"/>
                  <w:tcMar>
                    <w:top w:w="57" w:type="dxa"/>
                    <w:left w:w="108" w:type="dxa"/>
                    <w:bottom w:w="57" w:type="dxa"/>
                    <w:right w:w="108" w:type="dxa"/>
                  </w:tcMar>
                  <w:vAlign w:val="center"/>
                </w:tcPr>
                <w:p w14:paraId="0D17269E">
                  <w:pPr>
                    <w:pStyle w:val="25"/>
                    <w:spacing w:line="240" w:lineRule="exact"/>
                    <w:ind w:firstLine="0" w:firstLineChars="0"/>
                    <w:jc w:val="center"/>
                    <w:rPr>
                      <w:rFonts w:hint="eastAsia" w:cs="Times New Roman"/>
                      <w:color w:val="auto"/>
                      <w:kern w:val="2"/>
                      <w:sz w:val="21"/>
                      <w:szCs w:val="21"/>
                      <w:lang w:val="en-US" w:eastAsia="zh-CN"/>
                    </w:rPr>
                  </w:pPr>
                  <w:r>
                    <w:rPr>
                      <w:rFonts w:hint="eastAsia" w:cs="Times New Roman"/>
                      <w:color w:val="auto"/>
                      <w:kern w:val="2"/>
                      <w:sz w:val="21"/>
                      <w:szCs w:val="21"/>
                      <w:lang w:val="en-US" w:eastAsia="zh-CN"/>
                    </w:rPr>
                    <w:t>排水实行雨污分流制。雨水排入市政雨水管网；车间地面冲洗废水、设备冲洗废水和车辆冲洗废水含有残留的厨余垃圾，随餐厨垃圾一起处理，经化粪池收集的生活污水、初期雨水、循环冷却排水和高浓废水（三相离心废水（含沉降罐沥水）和喷淋废水）通过新建管道输送至池州中器环保科技有限公司的污水处理设施进行处理。</w:t>
                  </w:r>
                </w:p>
              </w:tc>
              <w:tc>
                <w:tcPr>
                  <w:tcW w:w="468" w:type="pct"/>
                  <w:noWrap w:val="0"/>
                  <w:tcMar>
                    <w:top w:w="57" w:type="dxa"/>
                    <w:left w:w="108" w:type="dxa"/>
                    <w:bottom w:w="57" w:type="dxa"/>
                    <w:right w:w="108" w:type="dxa"/>
                  </w:tcMar>
                  <w:vAlign w:val="center"/>
                </w:tcPr>
                <w:p w14:paraId="7DB616CF">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符合要求</w:t>
                  </w:r>
                </w:p>
              </w:tc>
            </w:tr>
            <w:tr w14:paraId="4F7C7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4" w:type="pct"/>
                  <w:vMerge w:val="continue"/>
                  <w:noWrap w:val="0"/>
                  <w:tcMar>
                    <w:top w:w="57" w:type="dxa"/>
                    <w:left w:w="108" w:type="dxa"/>
                    <w:bottom w:w="57" w:type="dxa"/>
                    <w:right w:w="108" w:type="dxa"/>
                  </w:tcMar>
                  <w:vAlign w:val="center"/>
                </w:tcPr>
                <w:p w14:paraId="65720FCD">
                  <w:pPr>
                    <w:pStyle w:val="25"/>
                    <w:spacing w:line="240" w:lineRule="exact"/>
                    <w:ind w:firstLine="0" w:firstLineChars="0"/>
                    <w:jc w:val="center"/>
                    <w:rPr>
                      <w:rFonts w:hint="eastAsia" w:cs="Times New Roman"/>
                      <w:color w:val="auto"/>
                      <w:kern w:val="2"/>
                      <w:sz w:val="21"/>
                      <w:szCs w:val="21"/>
                    </w:rPr>
                  </w:pPr>
                </w:p>
              </w:tc>
              <w:tc>
                <w:tcPr>
                  <w:tcW w:w="2227" w:type="pct"/>
                  <w:noWrap w:val="0"/>
                  <w:tcMar>
                    <w:top w:w="57" w:type="dxa"/>
                    <w:left w:w="108" w:type="dxa"/>
                    <w:bottom w:w="57" w:type="dxa"/>
                    <w:right w:w="108" w:type="dxa"/>
                  </w:tcMar>
                  <w:vAlign w:val="center"/>
                </w:tcPr>
                <w:p w14:paraId="4969611E">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8.4.4餐厨垃圾处理过程中产生的废渣应得到无害化处理</w:t>
                  </w:r>
                </w:p>
              </w:tc>
              <w:tc>
                <w:tcPr>
                  <w:tcW w:w="1859" w:type="pct"/>
                  <w:noWrap w:val="0"/>
                  <w:tcMar>
                    <w:top w:w="57" w:type="dxa"/>
                    <w:left w:w="108" w:type="dxa"/>
                    <w:bottom w:w="57" w:type="dxa"/>
                    <w:right w:w="108" w:type="dxa"/>
                  </w:tcMar>
                  <w:vAlign w:val="center"/>
                </w:tcPr>
                <w:p w14:paraId="05359AAB">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rPr>
                    <w:t>本项目</w:t>
                  </w:r>
                  <w:r>
                    <w:rPr>
                      <w:rFonts w:hint="eastAsia" w:cs="Times New Roman"/>
                      <w:color w:val="auto"/>
                      <w:kern w:val="2"/>
                      <w:sz w:val="21"/>
                      <w:szCs w:val="21"/>
                      <w:lang w:eastAsia="zh-CN"/>
                    </w:rPr>
                    <w:t>固渣外运至东至海创环保科技有限公司垃圾焚烧发电厂进行焚烧处理，达到无害化处理。</w:t>
                  </w:r>
                </w:p>
              </w:tc>
              <w:tc>
                <w:tcPr>
                  <w:tcW w:w="468" w:type="pct"/>
                  <w:noWrap w:val="0"/>
                  <w:tcMar>
                    <w:top w:w="57" w:type="dxa"/>
                    <w:left w:w="108" w:type="dxa"/>
                    <w:bottom w:w="57" w:type="dxa"/>
                    <w:right w:w="108" w:type="dxa"/>
                  </w:tcMar>
                  <w:vAlign w:val="center"/>
                </w:tcPr>
                <w:p w14:paraId="0E5908FA">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符合要求</w:t>
                  </w:r>
                </w:p>
              </w:tc>
            </w:tr>
            <w:tr w14:paraId="4A1C5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4" w:type="pct"/>
                  <w:vMerge w:val="continue"/>
                  <w:noWrap w:val="0"/>
                  <w:tcMar>
                    <w:top w:w="57" w:type="dxa"/>
                    <w:left w:w="108" w:type="dxa"/>
                    <w:bottom w:w="57" w:type="dxa"/>
                    <w:right w:w="108" w:type="dxa"/>
                  </w:tcMar>
                  <w:vAlign w:val="center"/>
                </w:tcPr>
                <w:p w14:paraId="63399215">
                  <w:pPr>
                    <w:pStyle w:val="25"/>
                    <w:spacing w:line="240" w:lineRule="exact"/>
                    <w:ind w:firstLine="0" w:firstLineChars="0"/>
                    <w:jc w:val="center"/>
                    <w:rPr>
                      <w:rFonts w:hint="eastAsia" w:cs="Times New Roman"/>
                      <w:color w:val="auto"/>
                      <w:kern w:val="2"/>
                      <w:sz w:val="21"/>
                      <w:szCs w:val="21"/>
                    </w:rPr>
                  </w:pPr>
                </w:p>
              </w:tc>
              <w:tc>
                <w:tcPr>
                  <w:tcW w:w="2227" w:type="pct"/>
                  <w:noWrap w:val="0"/>
                  <w:tcMar>
                    <w:top w:w="57" w:type="dxa"/>
                    <w:left w:w="108" w:type="dxa"/>
                    <w:bottom w:w="57" w:type="dxa"/>
                    <w:right w:w="108" w:type="dxa"/>
                  </w:tcMar>
                  <w:vAlign w:val="center"/>
                </w:tcPr>
                <w:p w14:paraId="7EC3D77D">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8.4.5对噪声大的设备应采取隔声、吸声、降噪等措施。作业区的噪声应符合国家有关标准的规定</w:t>
                  </w:r>
                </w:p>
              </w:tc>
              <w:tc>
                <w:tcPr>
                  <w:tcW w:w="1859" w:type="pct"/>
                  <w:noWrap w:val="0"/>
                  <w:tcMar>
                    <w:top w:w="57" w:type="dxa"/>
                    <w:left w:w="108" w:type="dxa"/>
                    <w:bottom w:w="57" w:type="dxa"/>
                    <w:right w:w="108" w:type="dxa"/>
                  </w:tcMar>
                  <w:vAlign w:val="center"/>
                </w:tcPr>
                <w:p w14:paraId="18D14CE0">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rPr>
                    <w:t>本项目对噪声设备采取了相应的隔声、减震、消声措施，厂界噪声均能满足</w:t>
                  </w:r>
                  <w:r>
                    <w:rPr>
                      <w:rFonts w:hint="eastAsia" w:cs="Times New Roman"/>
                      <w:color w:val="auto"/>
                      <w:kern w:val="2"/>
                      <w:sz w:val="21"/>
                      <w:szCs w:val="21"/>
                      <w:lang w:val="en-US" w:eastAsia="zh-CN"/>
                    </w:rPr>
                    <w:t>2</w:t>
                  </w:r>
                  <w:r>
                    <w:rPr>
                      <w:rFonts w:hint="eastAsia" w:cs="Times New Roman"/>
                      <w:color w:val="auto"/>
                      <w:kern w:val="2"/>
                      <w:sz w:val="21"/>
                      <w:szCs w:val="21"/>
                    </w:rPr>
                    <w:t>类区要求</w:t>
                  </w:r>
                  <w:r>
                    <w:rPr>
                      <w:rFonts w:hint="eastAsia" w:cs="Times New Roman"/>
                      <w:color w:val="auto"/>
                      <w:kern w:val="2"/>
                      <w:sz w:val="21"/>
                      <w:szCs w:val="21"/>
                      <w:lang w:eastAsia="zh-CN"/>
                    </w:rPr>
                    <w:t>。</w:t>
                  </w:r>
                </w:p>
              </w:tc>
              <w:tc>
                <w:tcPr>
                  <w:tcW w:w="468" w:type="pct"/>
                  <w:noWrap w:val="0"/>
                  <w:tcMar>
                    <w:top w:w="57" w:type="dxa"/>
                    <w:left w:w="108" w:type="dxa"/>
                    <w:bottom w:w="57" w:type="dxa"/>
                    <w:right w:w="108" w:type="dxa"/>
                  </w:tcMar>
                  <w:vAlign w:val="center"/>
                </w:tcPr>
                <w:p w14:paraId="60021C85">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符合要求</w:t>
                  </w:r>
                </w:p>
              </w:tc>
            </w:tr>
            <w:tr w14:paraId="7881E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4" w:type="pct"/>
                  <w:vMerge w:val="continue"/>
                  <w:noWrap w:val="0"/>
                  <w:tcMar>
                    <w:top w:w="57" w:type="dxa"/>
                    <w:left w:w="108" w:type="dxa"/>
                    <w:bottom w:w="57" w:type="dxa"/>
                    <w:right w:w="108" w:type="dxa"/>
                  </w:tcMar>
                  <w:vAlign w:val="center"/>
                </w:tcPr>
                <w:p w14:paraId="35997B28">
                  <w:pPr>
                    <w:pStyle w:val="25"/>
                    <w:spacing w:line="240" w:lineRule="exact"/>
                    <w:ind w:firstLine="0" w:firstLineChars="0"/>
                    <w:jc w:val="center"/>
                    <w:rPr>
                      <w:rFonts w:hint="eastAsia" w:cs="Times New Roman"/>
                      <w:color w:val="auto"/>
                      <w:kern w:val="2"/>
                      <w:sz w:val="21"/>
                      <w:szCs w:val="21"/>
                    </w:rPr>
                  </w:pPr>
                </w:p>
              </w:tc>
              <w:tc>
                <w:tcPr>
                  <w:tcW w:w="2227" w:type="pct"/>
                  <w:noWrap w:val="0"/>
                  <w:tcMar>
                    <w:top w:w="57" w:type="dxa"/>
                    <w:left w:w="108" w:type="dxa"/>
                    <w:bottom w:w="57" w:type="dxa"/>
                    <w:right w:w="108" w:type="dxa"/>
                  </w:tcMar>
                  <w:vAlign w:val="center"/>
                </w:tcPr>
                <w:p w14:paraId="2E92B339">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8.4.6餐厨垃圾处理厂应具备常规的监测设施和设备，并应定期对工作场所和厂界进行环境监测。</w:t>
                  </w:r>
                </w:p>
              </w:tc>
              <w:tc>
                <w:tcPr>
                  <w:tcW w:w="1859" w:type="pct"/>
                  <w:noWrap w:val="0"/>
                  <w:tcMar>
                    <w:top w:w="57" w:type="dxa"/>
                    <w:left w:w="108" w:type="dxa"/>
                    <w:bottom w:w="57" w:type="dxa"/>
                    <w:right w:w="108" w:type="dxa"/>
                  </w:tcMar>
                  <w:vAlign w:val="center"/>
                </w:tcPr>
                <w:p w14:paraId="05F1FF5D">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rPr>
                    <w:t>本环评要求建设单位按监测计划要求，对场所和厂界进行环境监测</w:t>
                  </w:r>
                  <w:r>
                    <w:rPr>
                      <w:rFonts w:hint="eastAsia" w:cs="Times New Roman"/>
                      <w:color w:val="auto"/>
                      <w:kern w:val="2"/>
                      <w:sz w:val="21"/>
                      <w:szCs w:val="21"/>
                      <w:lang w:eastAsia="zh-CN"/>
                    </w:rPr>
                    <w:t>。</w:t>
                  </w:r>
                </w:p>
              </w:tc>
              <w:tc>
                <w:tcPr>
                  <w:tcW w:w="468" w:type="pct"/>
                  <w:noWrap w:val="0"/>
                  <w:tcMar>
                    <w:top w:w="57" w:type="dxa"/>
                    <w:left w:w="108" w:type="dxa"/>
                    <w:bottom w:w="57" w:type="dxa"/>
                    <w:right w:w="108" w:type="dxa"/>
                  </w:tcMar>
                  <w:vAlign w:val="center"/>
                </w:tcPr>
                <w:p w14:paraId="0373BBE3">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符合要求</w:t>
                  </w:r>
                </w:p>
              </w:tc>
            </w:tr>
          </w:tbl>
          <w:p w14:paraId="39A1A1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textAlignment w:val="auto"/>
              <w:rPr>
                <w:rFonts w:hint="eastAsia" w:cs="Times New Roman"/>
                <w:b/>
                <w:bCs/>
                <w:color w:val="auto"/>
                <w:spacing w:val="0"/>
                <w:kern w:val="2"/>
                <w:sz w:val="24"/>
                <w:szCs w:val="24"/>
              </w:rPr>
            </w:pPr>
            <w:r>
              <w:rPr>
                <w:rFonts w:hint="eastAsia" w:cs="Times New Roman"/>
                <w:b/>
                <w:bCs/>
                <w:color w:val="auto"/>
                <w:spacing w:val="0"/>
                <w:kern w:val="2"/>
                <w:sz w:val="24"/>
                <w:szCs w:val="24"/>
                <w:lang w:val="en-US" w:eastAsia="zh-CN"/>
              </w:rPr>
              <w:t>10、</w:t>
            </w:r>
            <w:r>
              <w:rPr>
                <w:rFonts w:hint="eastAsia" w:cs="Times New Roman"/>
                <w:b/>
                <w:bCs/>
                <w:color w:val="auto"/>
                <w:spacing w:val="0"/>
                <w:kern w:val="2"/>
                <w:sz w:val="24"/>
                <w:szCs w:val="24"/>
              </w:rPr>
              <w:t>《餐厨废油资源回收和深加工技术要求》（GB/T40133-2021）（2021.12.01实施）符合性分析</w:t>
            </w:r>
          </w:p>
          <w:p w14:paraId="27BA198D">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cs="Times New Roman"/>
                <w:color w:val="auto"/>
                <w:sz w:val="21"/>
                <w:szCs w:val="21"/>
              </w:rPr>
            </w:pPr>
            <w:r>
              <w:rPr>
                <w:rFonts w:cs="Times New Roman"/>
                <w:b/>
                <w:color w:val="auto"/>
                <w:spacing w:val="0"/>
                <w:sz w:val="21"/>
                <w:szCs w:val="21"/>
              </w:rPr>
              <w:t>表</w:t>
            </w:r>
            <w:r>
              <w:rPr>
                <w:rFonts w:hint="eastAsia" w:cs="Times New Roman"/>
                <w:b/>
                <w:color w:val="auto"/>
                <w:spacing w:val="0"/>
                <w:sz w:val="21"/>
                <w:szCs w:val="21"/>
                <w:lang w:val="en-US" w:eastAsia="zh-CN"/>
              </w:rPr>
              <w:t>1-10</w:t>
            </w:r>
            <w:r>
              <w:rPr>
                <w:rFonts w:cs="Times New Roman"/>
                <w:b/>
                <w:color w:val="auto"/>
                <w:spacing w:val="0"/>
                <w:sz w:val="21"/>
                <w:szCs w:val="21"/>
              </w:rPr>
              <w:t xml:space="preserve"> 与</w:t>
            </w:r>
            <w:r>
              <w:rPr>
                <w:rFonts w:hint="eastAsia" w:cs="Times New Roman"/>
                <w:b/>
                <w:color w:val="auto"/>
                <w:spacing w:val="0"/>
                <w:sz w:val="21"/>
                <w:szCs w:val="21"/>
              </w:rPr>
              <w:t>《餐厨废油资源回收和深加工技术要求》（GB/T40133-2021）</w:t>
            </w:r>
            <w:r>
              <w:rPr>
                <w:rFonts w:cs="Times New Roman"/>
                <w:b/>
                <w:color w:val="auto"/>
                <w:spacing w:val="0"/>
                <w:sz w:val="21"/>
                <w:szCs w:val="21"/>
              </w:rPr>
              <w:t>中要求相符性分析</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6"/>
              <w:gridCol w:w="3134"/>
              <w:gridCol w:w="2331"/>
              <w:gridCol w:w="689"/>
            </w:tblGrid>
            <w:tr w14:paraId="03371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 w:type="pct"/>
                  <w:noWrap w:val="0"/>
                  <w:tcMar>
                    <w:top w:w="57" w:type="dxa"/>
                    <w:left w:w="108" w:type="dxa"/>
                    <w:bottom w:w="57" w:type="dxa"/>
                    <w:right w:w="108" w:type="dxa"/>
                  </w:tcMar>
                  <w:vAlign w:val="center"/>
                </w:tcPr>
                <w:p w14:paraId="76374FD7">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文件内容</w:t>
                  </w:r>
                </w:p>
              </w:tc>
              <w:tc>
                <w:tcPr>
                  <w:tcW w:w="2050" w:type="pct"/>
                  <w:noWrap w:val="0"/>
                  <w:tcMar>
                    <w:top w:w="57" w:type="dxa"/>
                    <w:left w:w="108" w:type="dxa"/>
                    <w:bottom w:w="57" w:type="dxa"/>
                    <w:right w:w="108" w:type="dxa"/>
                  </w:tcMar>
                  <w:vAlign w:val="center"/>
                </w:tcPr>
                <w:p w14:paraId="101224C9">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内容摘要</w:t>
                  </w:r>
                </w:p>
              </w:tc>
              <w:tc>
                <w:tcPr>
                  <w:tcW w:w="1525" w:type="pct"/>
                  <w:noWrap w:val="0"/>
                  <w:tcMar>
                    <w:top w:w="57" w:type="dxa"/>
                    <w:left w:w="108" w:type="dxa"/>
                    <w:bottom w:w="57" w:type="dxa"/>
                    <w:right w:w="108" w:type="dxa"/>
                  </w:tcMar>
                  <w:vAlign w:val="center"/>
                </w:tcPr>
                <w:p w14:paraId="77A69109">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本项目建设内容</w:t>
                  </w:r>
                </w:p>
              </w:tc>
              <w:tc>
                <w:tcPr>
                  <w:tcW w:w="451" w:type="pct"/>
                  <w:noWrap w:val="0"/>
                  <w:tcMar>
                    <w:top w:w="57" w:type="dxa"/>
                    <w:left w:w="108" w:type="dxa"/>
                    <w:bottom w:w="57" w:type="dxa"/>
                    <w:right w:w="108" w:type="dxa"/>
                  </w:tcMar>
                  <w:vAlign w:val="center"/>
                </w:tcPr>
                <w:p w14:paraId="18F71103">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相符性分析</w:t>
                  </w:r>
                </w:p>
              </w:tc>
            </w:tr>
            <w:tr w14:paraId="4CA80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 w:type="pct"/>
                  <w:vMerge w:val="restart"/>
                  <w:noWrap w:val="0"/>
                  <w:tcMar>
                    <w:top w:w="57" w:type="dxa"/>
                    <w:left w:w="108" w:type="dxa"/>
                    <w:bottom w:w="57" w:type="dxa"/>
                    <w:right w:w="108" w:type="dxa"/>
                  </w:tcMar>
                  <w:vAlign w:val="center"/>
                </w:tcPr>
                <w:p w14:paraId="261E931F">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4.1一般要求</w:t>
                  </w:r>
                </w:p>
              </w:tc>
              <w:tc>
                <w:tcPr>
                  <w:tcW w:w="2050" w:type="pct"/>
                  <w:noWrap w:val="0"/>
                  <w:tcMar>
                    <w:top w:w="57" w:type="dxa"/>
                    <w:left w:w="108" w:type="dxa"/>
                    <w:bottom w:w="57" w:type="dxa"/>
                    <w:right w:w="108" w:type="dxa"/>
                  </w:tcMar>
                  <w:vAlign w:val="center"/>
                </w:tcPr>
                <w:p w14:paraId="6B372E97">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rPr>
                    <w:t>4.1.1餐厨废油收运车辆和容器应密闭可靠，在收运过程中不应有垃圾遗洒、污水滴漏和异味溢出等二次污染现象发生</w:t>
                  </w:r>
                  <w:r>
                    <w:rPr>
                      <w:rFonts w:hint="eastAsia" w:cs="Times New Roman"/>
                      <w:color w:val="auto"/>
                      <w:kern w:val="2"/>
                      <w:sz w:val="21"/>
                      <w:szCs w:val="21"/>
                      <w:lang w:eastAsia="zh-CN"/>
                    </w:rPr>
                    <w:t>。</w:t>
                  </w:r>
                </w:p>
              </w:tc>
              <w:tc>
                <w:tcPr>
                  <w:tcW w:w="1525" w:type="pct"/>
                  <w:noWrap w:val="0"/>
                  <w:tcMar>
                    <w:top w:w="57" w:type="dxa"/>
                    <w:left w:w="108" w:type="dxa"/>
                    <w:bottom w:w="57" w:type="dxa"/>
                    <w:right w:w="108" w:type="dxa"/>
                  </w:tcMar>
                  <w:vAlign w:val="center"/>
                </w:tcPr>
                <w:p w14:paraId="05ABFEE8">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rPr>
                    <w:t>项目</w:t>
                  </w:r>
                  <w:r>
                    <w:rPr>
                      <w:rFonts w:hint="eastAsia" w:cs="Times New Roman"/>
                      <w:color w:val="auto"/>
                      <w:kern w:val="2"/>
                      <w:sz w:val="21"/>
                      <w:szCs w:val="21"/>
                      <w:lang w:val="en-US" w:eastAsia="zh-CN"/>
                    </w:rPr>
                    <w:t>中的餐厨垃圾、餐厨废弃油脂</w:t>
                  </w:r>
                  <w:r>
                    <w:rPr>
                      <w:rFonts w:hint="eastAsia" w:cs="Times New Roman"/>
                      <w:color w:val="auto"/>
                      <w:kern w:val="2"/>
                      <w:sz w:val="21"/>
                      <w:szCs w:val="21"/>
                    </w:rPr>
                    <w:t>采用带盖塑料桶或铁桶储运</w:t>
                  </w:r>
                  <w:r>
                    <w:rPr>
                      <w:rFonts w:hint="eastAsia" w:cs="Times New Roman"/>
                      <w:color w:val="auto"/>
                      <w:kern w:val="2"/>
                      <w:sz w:val="21"/>
                      <w:szCs w:val="21"/>
                      <w:lang w:eastAsia="zh-CN"/>
                    </w:rPr>
                    <w:t>餐厨废油脂</w:t>
                  </w:r>
                  <w:r>
                    <w:rPr>
                      <w:rFonts w:hint="eastAsia" w:cs="Times New Roman"/>
                      <w:color w:val="auto"/>
                      <w:kern w:val="2"/>
                      <w:sz w:val="21"/>
                      <w:szCs w:val="21"/>
                    </w:rPr>
                    <w:t>，运输过程中车辆密闭，正常情况下不会产生垃圾遗洒、污水滴漏和异味溢出等二次污染</w:t>
                  </w:r>
                  <w:r>
                    <w:rPr>
                      <w:rFonts w:hint="eastAsia" w:cs="Times New Roman"/>
                      <w:color w:val="auto"/>
                      <w:kern w:val="2"/>
                      <w:sz w:val="21"/>
                      <w:szCs w:val="21"/>
                      <w:lang w:eastAsia="zh-CN"/>
                    </w:rPr>
                    <w:t>。</w:t>
                  </w:r>
                </w:p>
              </w:tc>
              <w:tc>
                <w:tcPr>
                  <w:tcW w:w="451" w:type="pct"/>
                  <w:noWrap w:val="0"/>
                  <w:tcMar>
                    <w:top w:w="57" w:type="dxa"/>
                    <w:left w:w="108" w:type="dxa"/>
                    <w:bottom w:w="57" w:type="dxa"/>
                    <w:right w:w="108" w:type="dxa"/>
                  </w:tcMar>
                  <w:vAlign w:val="center"/>
                </w:tcPr>
                <w:p w14:paraId="3FC4EF2A">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符合要求</w:t>
                  </w:r>
                </w:p>
              </w:tc>
            </w:tr>
            <w:tr w14:paraId="3ACF2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 w:type="pct"/>
                  <w:vMerge w:val="continue"/>
                  <w:noWrap w:val="0"/>
                  <w:tcMar>
                    <w:top w:w="57" w:type="dxa"/>
                    <w:left w:w="108" w:type="dxa"/>
                    <w:bottom w:w="57" w:type="dxa"/>
                    <w:right w:w="108" w:type="dxa"/>
                  </w:tcMar>
                  <w:vAlign w:val="center"/>
                </w:tcPr>
                <w:p w14:paraId="38E89CC0">
                  <w:pPr>
                    <w:pStyle w:val="25"/>
                    <w:spacing w:line="240" w:lineRule="exact"/>
                    <w:ind w:firstLine="0" w:firstLineChars="0"/>
                    <w:jc w:val="center"/>
                    <w:rPr>
                      <w:rFonts w:hint="eastAsia" w:cs="Times New Roman"/>
                      <w:color w:val="auto"/>
                      <w:kern w:val="2"/>
                      <w:sz w:val="21"/>
                      <w:szCs w:val="21"/>
                    </w:rPr>
                  </w:pPr>
                </w:p>
              </w:tc>
              <w:tc>
                <w:tcPr>
                  <w:tcW w:w="2050" w:type="pct"/>
                  <w:noWrap w:val="0"/>
                  <w:tcMar>
                    <w:top w:w="57" w:type="dxa"/>
                    <w:left w:w="108" w:type="dxa"/>
                    <w:bottom w:w="57" w:type="dxa"/>
                    <w:right w:w="108" w:type="dxa"/>
                  </w:tcMar>
                  <w:vAlign w:val="center"/>
                </w:tcPr>
                <w:p w14:paraId="19AB5637">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rPr>
                    <w:t>4.1.2合理选择餐厨废油分离回收技术和分离设备，分离回收的过程应工艺完善、流程合理、环保达标</w:t>
                  </w:r>
                  <w:r>
                    <w:rPr>
                      <w:rFonts w:hint="eastAsia" w:cs="Times New Roman"/>
                      <w:color w:val="auto"/>
                      <w:kern w:val="2"/>
                      <w:sz w:val="21"/>
                      <w:szCs w:val="21"/>
                      <w:lang w:eastAsia="zh-CN"/>
                    </w:rPr>
                    <w:t>。</w:t>
                  </w:r>
                </w:p>
              </w:tc>
              <w:tc>
                <w:tcPr>
                  <w:tcW w:w="1525" w:type="pct"/>
                  <w:noWrap w:val="0"/>
                  <w:tcMar>
                    <w:top w:w="57" w:type="dxa"/>
                    <w:left w:w="108" w:type="dxa"/>
                    <w:bottom w:w="57" w:type="dxa"/>
                    <w:right w:w="108" w:type="dxa"/>
                  </w:tcMar>
                  <w:vAlign w:val="center"/>
                </w:tcPr>
                <w:p w14:paraId="5AB393D1">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本项目回收的</w:t>
                  </w:r>
                  <w:r>
                    <w:rPr>
                      <w:rFonts w:hint="eastAsia" w:cs="Times New Roman"/>
                      <w:color w:val="auto"/>
                      <w:kern w:val="2"/>
                      <w:sz w:val="21"/>
                      <w:szCs w:val="21"/>
                      <w:lang w:eastAsia="zh-CN"/>
                    </w:rPr>
                    <w:t>餐厨废油分离技术和设备为三相分离设备。</w:t>
                  </w:r>
                  <w:r>
                    <w:rPr>
                      <w:rFonts w:hint="eastAsia" w:cs="Times New Roman"/>
                      <w:color w:val="auto"/>
                      <w:kern w:val="2"/>
                      <w:sz w:val="21"/>
                      <w:szCs w:val="21"/>
                    </w:rPr>
                    <w:t>项目废气、废水等均采取治理措施后合理处置，不会对外环境造成太大影响。</w:t>
                  </w:r>
                </w:p>
              </w:tc>
              <w:tc>
                <w:tcPr>
                  <w:tcW w:w="451" w:type="pct"/>
                  <w:noWrap w:val="0"/>
                  <w:tcMar>
                    <w:top w:w="57" w:type="dxa"/>
                    <w:left w:w="108" w:type="dxa"/>
                    <w:bottom w:w="57" w:type="dxa"/>
                    <w:right w:w="108" w:type="dxa"/>
                  </w:tcMar>
                  <w:vAlign w:val="center"/>
                </w:tcPr>
                <w:p w14:paraId="514034EF">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符合要求</w:t>
                  </w:r>
                </w:p>
              </w:tc>
            </w:tr>
            <w:tr w14:paraId="19905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72" w:type="pct"/>
                  <w:vMerge w:val="continue"/>
                  <w:noWrap w:val="0"/>
                  <w:tcMar>
                    <w:top w:w="57" w:type="dxa"/>
                    <w:left w:w="108" w:type="dxa"/>
                    <w:bottom w:w="57" w:type="dxa"/>
                    <w:right w:w="108" w:type="dxa"/>
                  </w:tcMar>
                  <w:vAlign w:val="center"/>
                </w:tcPr>
                <w:p w14:paraId="49E5F3B4">
                  <w:pPr>
                    <w:pStyle w:val="25"/>
                    <w:spacing w:line="240" w:lineRule="exact"/>
                    <w:ind w:firstLine="0" w:firstLineChars="0"/>
                    <w:jc w:val="center"/>
                    <w:rPr>
                      <w:rFonts w:hint="eastAsia" w:cs="Times New Roman"/>
                      <w:color w:val="auto"/>
                      <w:kern w:val="2"/>
                      <w:sz w:val="21"/>
                      <w:szCs w:val="21"/>
                    </w:rPr>
                  </w:pPr>
                </w:p>
              </w:tc>
              <w:tc>
                <w:tcPr>
                  <w:tcW w:w="2050" w:type="pct"/>
                  <w:noWrap w:val="0"/>
                  <w:tcMar>
                    <w:top w:w="57" w:type="dxa"/>
                    <w:left w:w="108" w:type="dxa"/>
                    <w:bottom w:w="57" w:type="dxa"/>
                    <w:right w:w="108" w:type="dxa"/>
                  </w:tcMar>
                  <w:vAlign w:val="center"/>
                </w:tcPr>
                <w:p w14:paraId="0AAF0A66">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4.1.3餐饮废油的分离回收宜先经过湿热处理，处理温度和加热时间的确定应综合考虑能耗等经济因素。</w:t>
                  </w:r>
                </w:p>
              </w:tc>
              <w:tc>
                <w:tcPr>
                  <w:tcW w:w="1525" w:type="pct"/>
                  <w:noWrap w:val="0"/>
                  <w:tcMar>
                    <w:top w:w="57" w:type="dxa"/>
                    <w:left w:w="108" w:type="dxa"/>
                    <w:bottom w:w="57" w:type="dxa"/>
                    <w:right w:w="108" w:type="dxa"/>
                  </w:tcMar>
                  <w:vAlign w:val="center"/>
                </w:tcPr>
                <w:p w14:paraId="79C226C9">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lang w:eastAsia="zh-CN"/>
                    </w:rPr>
                    <w:t>本项目的餐厨废油</w:t>
                  </w:r>
                  <w:r>
                    <w:rPr>
                      <w:rFonts w:hint="eastAsia" w:cs="Times New Roman"/>
                      <w:color w:val="auto"/>
                      <w:kern w:val="2"/>
                      <w:sz w:val="21"/>
                      <w:szCs w:val="21"/>
                    </w:rPr>
                    <w:t>经除</w:t>
                  </w:r>
                  <w:r>
                    <w:rPr>
                      <w:rFonts w:hint="eastAsia" w:cs="Times New Roman"/>
                      <w:color w:val="auto"/>
                      <w:kern w:val="2"/>
                      <w:sz w:val="21"/>
                      <w:szCs w:val="21"/>
                      <w:lang w:eastAsia="zh-CN"/>
                    </w:rPr>
                    <w:t>杂</w:t>
                  </w:r>
                  <w:r>
                    <w:rPr>
                      <w:rFonts w:hint="eastAsia" w:cs="Times New Roman"/>
                      <w:color w:val="auto"/>
                      <w:kern w:val="2"/>
                      <w:sz w:val="21"/>
                      <w:szCs w:val="21"/>
                    </w:rPr>
                    <w:t>后进入</w:t>
                  </w:r>
                  <w:r>
                    <w:rPr>
                      <w:rFonts w:hint="eastAsia" w:cs="Times New Roman"/>
                      <w:color w:val="auto"/>
                      <w:kern w:val="2"/>
                      <w:sz w:val="21"/>
                      <w:szCs w:val="21"/>
                      <w:lang w:eastAsia="zh-CN"/>
                    </w:rPr>
                    <w:t>加热罐</w:t>
                  </w:r>
                  <w:r>
                    <w:rPr>
                      <w:rFonts w:hint="eastAsia" w:cs="Times New Roman"/>
                      <w:color w:val="auto"/>
                      <w:kern w:val="2"/>
                      <w:sz w:val="21"/>
                      <w:szCs w:val="21"/>
                      <w:lang w:val="en-US" w:eastAsia="zh-CN"/>
                    </w:rPr>
                    <w:t>/加热沉降釜进行加热</w:t>
                  </w:r>
                  <w:r>
                    <w:rPr>
                      <w:rFonts w:hint="eastAsia" w:cs="Times New Roman"/>
                      <w:color w:val="auto"/>
                      <w:kern w:val="2"/>
                      <w:sz w:val="21"/>
                      <w:szCs w:val="21"/>
                    </w:rPr>
                    <w:t>。</w:t>
                  </w:r>
                </w:p>
              </w:tc>
              <w:tc>
                <w:tcPr>
                  <w:tcW w:w="451" w:type="pct"/>
                  <w:noWrap w:val="0"/>
                  <w:tcMar>
                    <w:top w:w="57" w:type="dxa"/>
                    <w:left w:w="108" w:type="dxa"/>
                    <w:bottom w:w="57" w:type="dxa"/>
                    <w:right w:w="108" w:type="dxa"/>
                  </w:tcMar>
                  <w:vAlign w:val="center"/>
                </w:tcPr>
                <w:p w14:paraId="2F2A17FB">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符合要求</w:t>
                  </w:r>
                </w:p>
              </w:tc>
            </w:tr>
            <w:tr w14:paraId="2545E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 w:type="pct"/>
                  <w:noWrap w:val="0"/>
                  <w:tcMar>
                    <w:top w:w="57" w:type="dxa"/>
                    <w:left w:w="108" w:type="dxa"/>
                    <w:bottom w:w="57" w:type="dxa"/>
                    <w:right w:w="108" w:type="dxa"/>
                  </w:tcMar>
                  <w:vAlign w:val="center"/>
                </w:tcPr>
                <w:p w14:paraId="28571A92">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4.3离心分离</w:t>
                  </w:r>
                </w:p>
              </w:tc>
              <w:tc>
                <w:tcPr>
                  <w:tcW w:w="2050" w:type="pct"/>
                  <w:noWrap w:val="0"/>
                  <w:tcMar>
                    <w:top w:w="57" w:type="dxa"/>
                    <w:left w:w="108" w:type="dxa"/>
                    <w:bottom w:w="57" w:type="dxa"/>
                    <w:right w:w="108" w:type="dxa"/>
                  </w:tcMar>
                  <w:vAlign w:val="center"/>
                </w:tcPr>
                <w:p w14:paraId="73607E9F">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采用离心分离技术时，预加热温度不低于70℃，离心转速宜选择1000r/min-3000r/min。</w:t>
                  </w:r>
                </w:p>
              </w:tc>
              <w:tc>
                <w:tcPr>
                  <w:tcW w:w="1525" w:type="pct"/>
                  <w:noWrap w:val="0"/>
                  <w:tcMar>
                    <w:top w:w="57" w:type="dxa"/>
                    <w:left w:w="108" w:type="dxa"/>
                    <w:bottom w:w="57" w:type="dxa"/>
                    <w:right w:w="108" w:type="dxa"/>
                  </w:tcMar>
                  <w:vAlign w:val="center"/>
                </w:tcPr>
                <w:p w14:paraId="737743EB">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rPr>
                    <w:t>项目采用三相离心机进行油水渣分离，</w:t>
                  </w:r>
                  <w:r>
                    <w:rPr>
                      <w:rFonts w:hint="eastAsia" w:cs="Times New Roman"/>
                      <w:color w:val="auto"/>
                      <w:kern w:val="2"/>
                      <w:sz w:val="21"/>
                      <w:szCs w:val="21"/>
                      <w:lang w:eastAsia="zh-CN"/>
                    </w:rPr>
                    <w:t>预加热温度不低于</w:t>
                  </w:r>
                  <w:r>
                    <w:rPr>
                      <w:rFonts w:hint="eastAsia" w:cs="Times New Roman"/>
                      <w:color w:val="auto"/>
                      <w:kern w:val="2"/>
                      <w:sz w:val="21"/>
                      <w:szCs w:val="21"/>
                      <w:lang w:val="en-US" w:eastAsia="zh-CN"/>
                    </w:rPr>
                    <w:t>70摄氏度</w:t>
                  </w:r>
                  <w:r>
                    <w:rPr>
                      <w:rFonts w:hint="eastAsia" w:cs="Times New Roman"/>
                      <w:color w:val="auto"/>
                      <w:kern w:val="2"/>
                      <w:sz w:val="21"/>
                      <w:szCs w:val="21"/>
                      <w:lang w:eastAsia="zh-CN"/>
                    </w:rPr>
                    <w:t>，离心转速为</w:t>
                  </w:r>
                  <w:r>
                    <w:rPr>
                      <w:rFonts w:hint="eastAsia" w:cs="Times New Roman"/>
                      <w:color w:val="auto"/>
                      <w:kern w:val="2"/>
                      <w:sz w:val="21"/>
                      <w:szCs w:val="21"/>
                      <w:lang w:val="en-US" w:eastAsia="zh-CN"/>
                    </w:rPr>
                    <w:t>1500-</w:t>
                  </w:r>
                  <w:r>
                    <w:rPr>
                      <w:rFonts w:hint="eastAsia" w:cs="Times New Roman"/>
                      <w:color w:val="auto"/>
                      <w:kern w:val="2"/>
                      <w:sz w:val="21"/>
                      <w:szCs w:val="21"/>
                    </w:rPr>
                    <w:t>-3000r/min</w:t>
                  </w:r>
                  <w:r>
                    <w:rPr>
                      <w:rFonts w:hint="eastAsia" w:cs="Times New Roman"/>
                      <w:color w:val="auto"/>
                      <w:kern w:val="2"/>
                      <w:sz w:val="21"/>
                      <w:szCs w:val="21"/>
                      <w:lang w:eastAsia="zh-CN"/>
                    </w:rPr>
                    <w:t>，根据要求进行实时调速。</w:t>
                  </w:r>
                </w:p>
              </w:tc>
              <w:tc>
                <w:tcPr>
                  <w:tcW w:w="451" w:type="pct"/>
                  <w:noWrap w:val="0"/>
                  <w:tcMar>
                    <w:top w:w="57" w:type="dxa"/>
                    <w:left w:w="108" w:type="dxa"/>
                    <w:bottom w:w="57" w:type="dxa"/>
                    <w:right w:w="108" w:type="dxa"/>
                  </w:tcMar>
                  <w:vAlign w:val="center"/>
                </w:tcPr>
                <w:p w14:paraId="0879727A">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符合要求</w:t>
                  </w:r>
                </w:p>
              </w:tc>
            </w:tr>
            <w:tr w14:paraId="294D4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 w:type="pct"/>
                  <w:vMerge w:val="restart"/>
                  <w:noWrap w:val="0"/>
                  <w:tcMar>
                    <w:top w:w="57" w:type="dxa"/>
                    <w:left w:w="108" w:type="dxa"/>
                    <w:bottom w:w="57" w:type="dxa"/>
                    <w:right w:w="108" w:type="dxa"/>
                  </w:tcMar>
                  <w:vAlign w:val="center"/>
                </w:tcPr>
                <w:p w14:paraId="0C0164F5">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4.7湿热处理</w:t>
                  </w:r>
                </w:p>
              </w:tc>
              <w:tc>
                <w:tcPr>
                  <w:tcW w:w="2050" w:type="pct"/>
                  <w:noWrap w:val="0"/>
                  <w:tcMar>
                    <w:top w:w="57" w:type="dxa"/>
                    <w:left w:w="108" w:type="dxa"/>
                    <w:bottom w:w="57" w:type="dxa"/>
                    <w:right w:w="108" w:type="dxa"/>
                  </w:tcMar>
                  <w:vAlign w:val="center"/>
                </w:tcPr>
                <w:p w14:paraId="5ED3C50B">
                  <w:pPr>
                    <w:pStyle w:val="25"/>
                    <w:spacing w:line="240" w:lineRule="exact"/>
                    <w:ind w:firstLine="0" w:firstLineChars="0"/>
                    <w:jc w:val="center"/>
                    <w:rPr>
                      <w:rFonts w:hint="eastAsia" w:cs="Times New Roman"/>
                      <w:color w:val="auto"/>
                      <w:kern w:val="2"/>
                      <w:sz w:val="21"/>
                      <w:szCs w:val="21"/>
                      <w:lang w:val="en-US" w:eastAsia="zh-CN"/>
                    </w:rPr>
                  </w:pPr>
                  <w:r>
                    <w:rPr>
                      <w:rFonts w:hint="eastAsia" w:cs="Times New Roman"/>
                      <w:color w:val="auto"/>
                      <w:kern w:val="2"/>
                      <w:sz w:val="21"/>
                      <w:szCs w:val="21"/>
                    </w:rPr>
                    <w:t>4.7.3蒸汽直接加热宜用于含水率低于85%的餐厨废弃物，间接加热应保证餐厨废弃物搅拌均匀</w:t>
                  </w:r>
                  <w:r>
                    <w:rPr>
                      <w:rFonts w:hint="eastAsia" w:cs="Times New Roman"/>
                      <w:color w:val="auto"/>
                      <w:kern w:val="2"/>
                      <w:sz w:val="21"/>
                      <w:szCs w:val="21"/>
                      <w:lang w:eastAsia="zh-CN"/>
                    </w:rPr>
                    <w:t>。</w:t>
                  </w:r>
                </w:p>
              </w:tc>
              <w:tc>
                <w:tcPr>
                  <w:tcW w:w="1525" w:type="pct"/>
                  <w:noWrap w:val="0"/>
                  <w:tcMar>
                    <w:top w:w="57" w:type="dxa"/>
                    <w:left w:w="108" w:type="dxa"/>
                    <w:bottom w:w="57" w:type="dxa"/>
                    <w:right w:w="108" w:type="dxa"/>
                  </w:tcMar>
                  <w:vAlign w:val="center"/>
                </w:tcPr>
                <w:p w14:paraId="719C156E">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本项目</w:t>
                  </w:r>
                  <w:r>
                    <w:rPr>
                      <w:rFonts w:hint="eastAsia" w:cs="Times New Roman"/>
                      <w:color w:val="auto"/>
                      <w:kern w:val="2"/>
                      <w:sz w:val="21"/>
                      <w:szCs w:val="21"/>
                      <w:lang w:eastAsia="zh-CN"/>
                    </w:rPr>
                    <w:t>加热罐采用间接加热，加热过程中对餐厨垃圾进行搅拌，从而保证搅拌均匀</w:t>
                  </w:r>
                  <w:r>
                    <w:rPr>
                      <w:rFonts w:hint="eastAsia" w:cs="Times New Roman"/>
                      <w:color w:val="auto"/>
                      <w:kern w:val="2"/>
                      <w:sz w:val="21"/>
                      <w:szCs w:val="21"/>
                      <w:lang w:val="en-US" w:eastAsia="zh-CN"/>
                    </w:rPr>
                    <w:t>符合进行直接加热要求</w:t>
                  </w:r>
                  <w:r>
                    <w:rPr>
                      <w:rFonts w:hint="eastAsia" w:cs="Times New Roman"/>
                      <w:color w:val="auto"/>
                      <w:kern w:val="2"/>
                      <w:sz w:val="21"/>
                      <w:szCs w:val="21"/>
                    </w:rPr>
                    <w:t>。</w:t>
                  </w:r>
                </w:p>
              </w:tc>
              <w:tc>
                <w:tcPr>
                  <w:tcW w:w="451" w:type="pct"/>
                  <w:noWrap w:val="0"/>
                  <w:tcMar>
                    <w:top w:w="57" w:type="dxa"/>
                    <w:left w:w="108" w:type="dxa"/>
                    <w:bottom w:w="57" w:type="dxa"/>
                    <w:right w:w="108" w:type="dxa"/>
                  </w:tcMar>
                  <w:vAlign w:val="center"/>
                </w:tcPr>
                <w:p w14:paraId="7F69EF7E">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符合要求</w:t>
                  </w:r>
                </w:p>
              </w:tc>
            </w:tr>
            <w:tr w14:paraId="2AE77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 w:type="pct"/>
                  <w:vMerge w:val="continue"/>
                  <w:noWrap w:val="0"/>
                  <w:tcMar>
                    <w:top w:w="57" w:type="dxa"/>
                    <w:left w:w="108" w:type="dxa"/>
                    <w:bottom w:w="57" w:type="dxa"/>
                    <w:right w:w="108" w:type="dxa"/>
                  </w:tcMar>
                  <w:vAlign w:val="center"/>
                </w:tcPr>
                <w:p w14:paraId="171328A6">
                  <w:pPr>
                    <w:pStyle w:val="25"/>
                    <w:spacing w:line="240" w:lineRule="exact"/>
                    <w:ind w:firstLine="0" w:firstLineChars="0"/>
                    <w:jc w:val="center"/>
                    <w:rPr>
                      <w:rFonts w:hint="eastAsia" w:cs="Times New Roman"/>
                      <w:color w:val="auto"/>
                      <w:kern w:val="2"/>
                      <w:sz w:val="21"/>
                      <w:szCs w:val="21"/>
                    </w:rPr>
                  </w:pPr>
                </w:p>
              </w:tc>
              <w:tc>
                <w:tcPr>
                  <w:tcW w:w="2050" w:type="pct"/>
                  <w:noWrap w:val="0"/>
                  <w:tcMar>
                    <w:top w:w="57" w:type="dxa"/>
                    <w:left w:w="108" w:type="dxa"/>
                    <w:bottom w:w="57" w:type="dxa"/>
                    <w:right w:w="108" w:type="dxa"/>
                  </w:tcMar>
                  <w:vAlign w:val="center"/>
                </w:tcPr>
                <w:p w14:paraId="38236DBB">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rPr>
                    <w:t>4.7.4湿热处理技术可与离心分离技术、粗粒化技术等其他分离技术联用，并应考虑节能环保要求</w:t>
                  </w:r>
                  <w:r>
                    <w:rPr>
                      <w:rFonts w:hint="eastAsia" w:cs="Times New Roman"/>
                      <w:color w:val="auto"/>
                      <w:kern w:val="2"/>
                      <w:sz w:val="21"/>
                      <w:szCs w:val="21"/>
                      <w:lang w:eastAsia="zh-CN"/>
                    </w:rPr>
                    <w:t>。</w:t>
                  </w:r>
                </w:p>
              </w:tc>
              <w:tc>
                <w:tcPr>
                  <w:tcW w:w="1525" w:type="pct"/>
                  <w:noWrap w:val="0"/>
                  <w:tcMar>
                    <w:top w:w="57" w:type="dxa"/>
                    <w:left w:w="108" w:type="dxa"/>
                    <w:bottom w:w="57" w:type="dxa"/>
                    <w:right w:w="108" w:type="dxa"/>
                  </w:tcMar>
                  <w:vAlign w:val="center"/>
                </w:tcPr>
                <w:p w14:paraId="022933D3">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本项目采用湿热处理后，经三相离心机分离水</w:t>
                  </w:r>
                  <w:r>
                    <w:rPr>
                      <w:rFonts w:hint="eastAsia" w:cs="Times New Roman"/>
                      <w:color w:val="auto"/>
                      <w:kern w:val="2"/>
                      <w:sz w:val="21"/>
                      <w:szCs w:val="21"/>
                      <w:lang w:eastAsia="zh-CN"/>
                    </w:rPr>
                    <w:t>、</w:t>
                  </w:r>
                  <w:r>
                    <w:rPr>
                      <w:rFonts w:hint="eastAsia" w:cs="Times New Roman"/>
                      <w:color w:val="auto"/>
                      <w:kern w:val="2"/>
                      <w:sz w:val="21"/>
                      <w:szCs w:val="21"/>
                    </w:rPr>
                    <w:t>渣</w:t>
                  </w:r>
                  <w:r>
                    <w:rPr>
                      <w:rFonts w:hint="eastAsia" w:cs="Times New Roman"/>
                      <w:color w:val="auto"/>
                      <w:kern w:val="2"/>
                      <w:sz w:val="21"/>
                      <w:szCs w:val="21"/>
                      <w:lang w:eastAsia="zh-CN"/>
                    </w:rPr>
                    <w:t>和</w:t>
                  </w:r>
                  <w:r>
                    <w:rPr>
                      <w:rFonts w:hint="eastAsia" w:cs="Times New Roman"/>
                      <w:color w:val="auto"/>
                      <w:kern w:val="2"/>
                      <w:sz w:val="21"/>
                      <w:szCs w:val="21"/>
                    </w:rPr>
                    <w:t>油</w:t>
                  </w:r>
                  <w:r>
                    <w:rPr>
                      <w:rFonts w:hint="eastAsia" w:cs="Times New Roman"/>
                      <w:color w:val="auto"/>
                      <w:kern w:val="2"/>
                      <w:sz w:val="21"/>
                      <w:szCs w:val="21"/>
                      <w:lang w:eastAsia="zh-CN"/>
                    </w:rPr>
                    <w:t>。</w:t>
                  </w:r>
                </w:p>
              </w:tc>
              <w:tc>
                <w:tcPr>
                  <w:tcW w:w="451" w:type="pct"/>
                  <w:noWrap w:val="0"/>
                  <w:tcMar>
                    <w:top w:w="57" w:type="dxa"/>
                    <w:left w:w="108" w:type="dxa"/>
                    <w:bottom w:w="57" w:type="dxa"/>
                    <w:right w:w="108" w:type="dxa"/>
                  </w:tcMar>
                  <w:vAlign w:val="center"/>
                </w:tcPr>
                <w:p w14:paraId="691639AF">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符合要求</w:t>
                  </w:r>
                </w:p>
              </w:tc>
            </w:tr>
            <w:tr w14:paraId="08D20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 w:type="pct"/>
                  <w:vMerge w:val="restart"/>
                  <w:noWrap w:val="0"/>
                  <w:tcMar>
                    <w:top w:w="57" w:type="dxa"/>
                    <w:left w:w="108" w:type="dxa"/>
                    <w:bottom w:w="57" w:type="dxa"/>
                    <w:right w:w="108" w:type="dxa"/>
                  </w:tcMar>
                  <w:vAlign w:val="center"/>
                </w:tcPr>
                <w:p w14:paraId="57794B15">
                  <w:pPr>
                    <w:pStyle w:val="25"/>
                    <w:spacing w:line="240" w:lineRule="exact"/>
                    <w:ind w:firstLine="0" w:firstLineChars="0"/>
                    <w:jc w:val="center"/>
                    <w:rPr>
                      <w:rFonts w:hint="default" w:cs="Times New Roman"/>
                      <w:color w:val="auto"/>
                      <w:kern w:val="2"/>
                      <w:sz w:val="21"/>
                      <w:szCs w:val="21"/>
                      <w:lang w:val="en-US" w:eastAsia="zh-CN"/>
                    </w:rPr>
                  </w:pPr>
                  <w:r>
                    <w:rPr>
                      <w:rFonts w:hint="eastAsia" w:cs="Times New Roman"/>
                      <w:color w:val="auto"/>
                      <w:kern w:val="2"/>
                      <w:sz w:val="21"/>
                      <w:szCs w:val="21"/>
                      <w:lang w:val="en-US" w:eastAsia="zh-CN"/>
                    </w:rPr>
                    <w:t>6.1环境保护</w:t>
                  </w:r>
                </w:p>
              </w:tc>
              <w:tc>
                <w:tcPr>
                  <w:tcW w:w="2050" w:type="pct"/>
                  <w:noWrap w:val="0"/>
                  <w:tcMar>
                    <w:top w:w="57" w:type="dxa"/>
                    <w:left w:w="108" w:type="dxa"/>
                    <w:bottom w:w="57" w:type="dxa"/>
                    <w:right w:w="108" w:type="dxa"/>
                  </w:tcMar>
                  <w:vAlign w:val="center"/>
                </w:tcPr>
                <w:p w14:paraId="7668F0E7">
                  <w:pPr>
                    <w:pStyle w:val="25"/>
                    <w:spacing w:line="240" w:lineRule="exact"/>
                    <w:ind w:firstLine="0" w:firstLineChars="0"/>
                    <w:jc w:val="center"/>
                    <w:rPr>
                      <w:rFonts w:hint="eastAsia" w:cs="Times New Roman"/>
                      <w:color w:val="auto"/>
                      <w:kern w:val="2"/>
                      <w:sz w:val="21"/>
                      <w:szCs w:val="21"/>
                      <w:lang w:val="en-US" w:eastAsia="zh-CN"/>
                    </w:rPr>
                  </w:pPr>
                  <w:r>
                    <w:rPr>
                      <w:rFonts w:hint="eastAsia" w:cs="Times New Roman"/>
                      <w:color w:val="auto"/>
                      <w:kern w:val="2"/>
                      <w:sz w:val="21"/>
                      <w:szCs w:val="21"/>
                    </w:rPr>
                    <w:t>6</w:t>
                  </w:r>
                  <w:r>
                    <w:rPr>
                      <w:rFonts w:hint="eastAsia" w:cs="Times New Roman"/>
                      <w:color w:val="auto"/>
                      <w:kern w:val="2"/>
                      <w:sz w:val="21"/>
                      <w:szCs w:val="21"/>
                      <w:lang w:eastAsia="zh-CN"/>
                    </w:rPr>
                    <w:t>.</w:t>
                  </w:r>
                  <w:r>
                    <w:rPr>
                      <w:rFonts w:hint="eastAsia" w:cs="Times New Roman"/>
                      <w:color w:val="auto"/>
                      <w:kern w:val="2"/>
                      <w:sz w:val="21"/>
                      <w:szCs w:val="21"/>
                    </w:rPr>
                    <w:t>1</w:t>
                  </w:r>
                  <w:r>
                    <w:rPr>
                      <w:rFonts w:hint="eastAsia" w:cs="Times New Roman"/>
                      <w:color w:val="auto"/>
                      <w:kern w:val="2"/>
                      <w:sz w:val="21"/>
                      <w:szCs w:val="21"/>
                      <w:lang w:val="en-US" w:eastAsia="zh-CN"/>
                    </w:rPr>
                    <w:t>.</w:t>
                  </w:r>
                  <w:r>
                    <w:rPr>
                      <w:rFonts w:hint="eastAsia" w:cs="Times New Roman"/>
                      <w:color w:val="auto"/>
                      <w:kern w:val="2"/>
                      <w:sz w:val="21"/>
                      <w:szCs w:val="21"/>
                    </w:rPr>
                    <w:t>1 在收集回收和处理餐厨废油时，不应向下水道、河道及街面倾倒</w:t>
                  </w:r>
                  <w:r>
                    <w:rPr>
                      <w:rFonts w:hint="eastAsia" w:cs="Times New Roman"/>
                      <w:color w:val="auto"/>
                      <w:kern w:val="2"/>
                      <w:sz w:val="21"/>
                      <w:szCs w:val="21"/>
                      <w:lang w:eastAsia="zh-CN"/>
                    </w:rPr>
                    <w:t>。</w:t>
                  </w:r>
                </w:p>
              </w:tc>
              <w:tc>
                <w:tcPr>
                  <w:tcW w:w="1525" w:type="pct"/>
                  <w:noWrap w:val="0"/>
                  <w:tcMar>
                    <w:top w:w="57" w:type="dxa"/>
                    <w:left w:w="108" w:type="dxa"/>
                    <w:bottom w:w="57" w:type="dxa"/>
                    <w:right w:w="108" w:type="dxa"/>
                  </w:tcMar>
                  <w:vAlign w:val="center"/>
                </w:tcPr>
                <w:p w14:paraId="449DC176">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本项目规范收集回收、处理餐厨废油，不向下水道、河道及街面倾倒。</w:t>
                  </w:r>
                </w:p>
              </w:tc>
              <w:tc>
                <w:tcPr>
                  <w:tcW w:w="451" w:type="pct"/>
                  <w:noWrap w:val="0"/>
                  <w:tcMar>
                    <w:top w:w="57" w:type="dxa"/>
                    <w:left w:w="108" w:type="dxa"/>
                    <w:bottom w:w="57" w:type="dxa"/>
                    <w:right w:w="108" w:type="dxa"/>
                  </w:tcMar>
                  <w:vAlign w:val="center"/>
                </w:tcPr>
                <w:p w14:paraId="439114FC">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rPr>
                    <w:t>符合要求</w:t>
                  </w:r>
                </w:p>
              </w:tc>
            </w:tr>
            <w:tr w14:paraId="20FB7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 w:type="pct"/>
                  <w:vMerge w:val="continue"/>
                  <w:noWrap w:val="0"/>
                  <w:tcMar>
                    <w:top w:w="57" w:type="dxa"/>
                    <w:left w:w="108" w:type="dxa"/>
                    <w:bottom w:w="57" w:type="dxa"/>
                    <w:right w:w="108" w:type="dxa"/>
                  </w:tcMar>
                  <w:vAlign w:val="center"/>
                </w:tcPr>
                <w:p w14:paraId="46388069">
                  <w:pPr>
                    <w:pStyle w:val="25"/>
                    <w:spacing w:line="240" w:lineRule="exact"/>
                    <w:ind w:firstLine="0" w:firstLineChars="0"/>
                    <w:jc w:val="center"/>
                    <w:rPr>
                      <w:rFonts w:hint="eastAsia" w:cs="Times New Roman"/>
                      <w:color w:val="auto"/>
                      <w:kern w:val="2"/>
                      <w:sz w:val="21"/>
                      <w:szCs w:val="21"/>
                      <w:lang w:val="en-US" w:eastAsia="zh-CN"/>
                    </w:rPr>
                  </w:pPr>
                </w:p>
              </w:tc>
              <w:tc>
                <w:tcPr>
                  <w:tcW w:w="2050" w:type="pct"/>
                  <w:noWrap w:val="0"/>
                  <w:tcMar>
                    <w:top w:w="57" w:type="dxa"/>
                    <w:left w:w="108" w:type="dxa"/>
                    <w:bottom w:w="57" w:type="dxa"/>
                    <w:right w:w="108" w:type="dxa"/>
                  </w:tcMar>
                  <w:vAlign w:val="center"/>
                </w:tcPr>
                <w:p w14:paraId="00D77117">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6</w:t>
                  </w:r>
                  <w:r>
                    <w:rPr>
                      <w:rFonts w:hint="eastAsia" w:cs="Times New Roman"/>
                      <w:color w:val="auto"/>
                      <w:kern w:val="2"/>
                      <w:sz w:val="21"/>
                      <w:szCs w:val="21"/>
                      <w:lang w:val="en-US" w:eastAsia="zh-CN"/>
                    </w:rPr>
                    <w:t>.</w:t>
                  </w:r>
                  <w:r>
                    <w:rPr>
                      <w:rFonts w:hint="eastAsia" w:cs="Times New Roman"/>
                      <w:color w:val="auto"/>
                      <w:kern w:val="2"/>
                      <w:sz w:val="21"/>
                      <w:szCs w:val="21"/>
                    </w:rPr>
                    <w:t>1</w:t>
                  </w:r>
                  <w:r>
                    <w:rPr>
                      <w:rFonts w:hint="eastAsia" w:cs="Times New Roman"/>
                      <w:color w:val="auto"/>
                      <w:kern w:val="2"/>
                      <w:sz w:val="21"/>
                      <w:szCs w:val="21"/>
                      <w:lang w:val="en-US" w:eastAsia="zh-CN"/>
                    </w:rPr>
                    <w:t>.</w:t>
                  </w:r>
                  <w:r>
                    <w:rPr>
                      <w:rFonts w:hint="eastAsia" w:cs="Times New Roman"/>
                      <w:color w:val="auto"/>
                      <w:kern w:val="2"/>
                      <w:sz w:val="21"/>
                      <w:szCs w:val="21"/>
                    </w:rPr>
                    <w:t>3餐厨废油分离回收和深加工单位应设有相应的废气处理设施，处理后符合GB16297和 GB14554的要求。</w:t>
                  </w:r>
                </w:p>
              </w:tc>
              <w:tc>
                <w:tcPr>
                  <w:tcW w:w="1525" w:type="pct"/>
                  <w:noWrap w:val="0"/>
                  <w:tcMar>
                    <w:top w:w="57" w:type="dxa"/>
                    <w:left w:w="108" w:type="dxa"/>
                    <w:bottom w:w="57" w:type="dxa"/>
                    <w:right w:w="108" w:type="dxa"/>
                  </w:tcMar>
                  <w:vAlign w:val="center"/>
                </w:tcPr>
                <w:p w14:paraId="77C34866">
                  <w:pPr>
                    <w:pStyle w:val="25"/>
                    <w:spacing w:line="240" w:lineRule="exact"/>
                    <w:ind w:firstLine="0" w:firstLineChars="0"/>
                    <w:jc w:val="center"/>
                    <w:rPr>
                      <w:rFonts w:hint="eastAsia" w:cs="Times New Roman"/>
                      <w:color w:val="auto"/>
                      <w:kern w:val="2"/>
                      <w:sz w:val="21"/>
                      <w:szCs w:val="21"/>
                      <w:lang w:val="en-US" w:eastAsia="zh-CN"/>
                    </w:rPr>
                  </w:pPr>
                  <w:r>
                    <w:rPr>
                      <w:rFonts w:hint="eastAsia" w:cs="Times New Roman"/>
                      <w:color w:val="auto"/>
                      <w:kern w:val="2"/>
                      <w:sz w:val="21"/>
                      <w:szCs w:val="21"/>
                      <w:lang w:eastAsia="zh-CN"/>
                    </w:rPr>
                    <w:t>项目产生的臭气经</w:t>
                  </w:r>
                  <w:r>
                    <w:rPr>
                      <w:rFonts w:hint="eastAsia" w:cs="Times New Roman"/>
                      <w:color w:val="auto"/>
                      <w:kern w:val="2"/>
                      <w:sz w:val="21"/>
                      <w:szCs w:val="21"/>
                      <w:lang w:val="en-US" w:eastAsia="zh-CN"/>
                    </w:rPr>
                    <w:t>处理能够达到</w:t>
                  </w:r>
                  <w:r>
                    <w:rPr>
                      <w:rFonts w:hint="eastAsia" w:cs="Times New Roman"/>
                      <w:color w:val="auto"/>
                      <w:kern w:val="2"/>
                      <w:sz w:val="21"/>
                      <w:szCs w:val="21"/>
                    </w:rPr>
                    <w:t>GB16297和GB14554的要</w:t>
                  </w:r>
                  <w:r>
                    <w:rPr>
                      <w:rFonts w:hint="eastAsia" w:cs="Times New Roman"/>
                      <w:color w:val="auto"/>
                      <w:kern w:val="2"/>
                      <w:sz w:val="21"/>
                      <w:szCs w:val="21"/>
                      <w:lang w:eastAsia="zh-CN"/>
                    </w:rPr>
                    <w:t>求。</w:t>
                  </w:r>
                </w:p>
              </w:tc>
              <w:tc>
                <w:tcPr>
                  <w:tcW w:w="451" w:type="pct"/>
                  <w:noWrap w:val="0"/>
                  <w:tcMar>
                    <w:top w:w="57" w:type="dxa"/>
                    <w:left w:w="108" w:type="dxa"/>
                    <w:bottom w:w="57" w:type="dxa"/>
                    <w:right w:w="108" w:type="dxa"/>
                  </w:tcMar>
                  <w:vAlign w:val="center"/>
                </w:tcPr>
                <w:p w14:paraId="2EBAA09C">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rPr>
                    <w:t>符合要求</w:t>
                  </w:r>
                </w:p>
              </w:tc>
            </w:tr>
            <w:tr w14:paraId="2E619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 w:type="pct"/>
                  <w:vMerge w:val="continue"/>
                  <w:noWrap w:val="0"/>
                  <w:tcMar>
                    <w:top w:w="57" w:type="dxa"/>
                    <w:left w:w="108" w:type="dxa"/>
                    <w:bottom w:w="57" w:type="dxa"/>
                    <w:right w:w="108" w:type="dxa"/>
                  </w:tcMar>
                  <w:vAlign w:val="center"/>
                </w:tcPr>
                <w:p w14:paraId="7FF75FC1">
                  <w:pPr>
                    <w:pStyle w:val="25"/>
                    <w:spacing w:line="240" w:lineRule="exact"/>
                    <w:ind w:firstLine="0" w:firstLineChars="0"/>
                    <w:jc w:val="center"/>
                    <w:rPr>
                      <w:rFonts w:hint="eastAsia" w:cs="Times New Roman"/>
                      <w:color w:val="auto"/>
                      <w:kern w:val="2"/>
                      <w:sz w:val="21"/>
                      <w:szCs w:val="21"/>
                      <w:lang w:val="en-US" w:eastAsia="zh-CN"/>
                    </w:rPr>
                  </w:pPr>
                </w:p>
              </w:tc>
              <w:tc>
                <w:tcPr>
                  <w:tcW w:w="2050" w:type="pct"/>
                  <w:noWrap w:val="0"/>
                  <w:tcMar>
                    <w:top w:w="57" w:type="dxa"/>
                    <w:left w:w="108" w:type="dxa"/>
                    <w:bottom w:w="57" w:type="dxa"/>
                    <w:right w:w="108" w:type="dxa"/>
                  </w:tcMar>
                  <w:vAlign w:val="center"/>
                </w:tcPr>
                <w:p w14:paraId="414DC6BD">
                  <w:pPr>
                    <w:pStyle w:val="25"/>
                    <w:spacing w:line="240" w:lineRule="exact"/>
                    <w:ind w:firstLine="0" w:firstLineChars="0"/>
                    <w:jc w:val="center"/>
                    <w:rPr>
                      <w:rFonts w:hint="eastAsia" w:cs="Times New Roman"/>
                      <w:color w:val="auto"/>
                      <w:kern w:val="2"/>
                      <w:sz w:val="21"/>
                      <w:szCs w:val="21"/>
                      <w:lang w:val="en-US" w:eastAsia="zh-CN"/>
                    </w:rPr>
                  </w:pPr>
                  <w:r>
                    <w:rPr>
                      <w:rFonts w:hint="eastAsia" w:cs="Times New Roman"/>
                      <w:color w:val="auto"/>
                      <w:kern w:val="2"/>
                      <w:sz w:val="21"/>
                      <w:szCs w:val="21"/>
                    </w:rPr>
                    <w:t>6</w:t>
                  </w:r>
                  <w:r>
                    <w:rPr>
                      <w:rFonts w:hint="eastAsia" w:cs="Times New Roman"/>
                      <w:color w:val="auto"/>
                      <w:kern w:val="2"/>
                      <w:sz w:val="21"/>
                      <w:szCs w:val="21"/>
                      <w:lang w:val="en-US" w:eastAsia="zh-CN"/>
                    </w:rPr>
                    <w:t>..1.4</w:t>
                  </w:r>
                  <w:r>
                    <w:rPr>
                      <w:rFonts w:hint="eastAsia" w:cs="Times New Roman"/>
                      <w:color w:val="auto"/>
                      <w:kern w:val="2"/>
                      <w:sz w:val="21"/>
                      <w:szCs w:val="21"/>
                    </w:rPr>
                    <w:t>餐厨废油分离回收和深加工单位产生的废渣应进行废物鉴别，根据鉴别属性进行合规处置。</w:t>
                  </w:r>
                </w:p>
              </w:tc>
              <w:tc>
                <w:tcPr>
                  <w:tcW w:w="1525" w:type="pct"/>
                  <w:noWrap w:val="0"/>
                  <w:tcMar>
                    <w:top w:w="57" w:type="dxa"/>
                    <w:left w:w="108" w:type="dxa"/>
                    <w:bottom w:w="57" w:type="dxa"/>
                    <w:right w:w="108" w:type="dxa"/>
                  </w:tcMar>
                  <w:vAlign w:val="center"/>
                </w:tcPr>
                <w:p w14:paraId="549881AE">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本项目对餐厨废油脂只是进行简单地分离回收，不涉及深加工。三相分离产生的固渣交由东至海创环保科技有限公司垃圾焚烧发电厂进行焚烧处理。</w:t>
                  </w:r>
                </w:p>
              </w:tc>
              <w:tc>
                <w:tcPr>
                  <w:tcW w:w="451" w:type="pct"/>
                  <w:noWrap w:val="0"/>
                  <w:tcMar>
                    <w:top w:w="57" w:type="dxa"/>
                    <w:left w:w="108" w:type="dxa"/>
                    <w:bottom w:w="57" w:type="dxa"/>
                    <w:right w:w="108" w:type="dxa"/>
                  </w:tcMar>
                  <w:vAlign w:val="center"/>
                </w:tcPr>
                <w:p w14:paraId="48A6C59E">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rPr>
                    <w:t>符合要求</w:t>
                  </w:r>
                </w:p>
              </w:tc>
            </w:tr>
            <w:tr w14:paraId="3C7BB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 w:type="pct"/>
                  <w:vMerge w:val="continue"/>
                  <w:noWrap w:val="0"/>
                  <w:tcMar>
                    <w:top w:w="57" w:type="dxa"/>
                    <w:left w:w="108" w:type="dxa"/>
                    <w:bottom w:w="57" w:type="dxa"/>
                    <w:right w:w="108" w:type="dxa"/>
                  </w:tcMar>
                  <w:vAlign w:val="center"/>
                </w:tcPr>
                <w:p w14:paraId="38E031B6">
                  <w:pPr>
                    <w:pStyle w:val="25"/>
                    <w:spacing w:line="240" w:lineRule="exact"/>
                    <w:ind w:firstLine="0" w:firstLineChars="0"/>
                    <w:jc w:val="center"/>
                    <w:rPr>
                      <w:rFonts w:hint="eastAsia" w:cs="Times New Roman"/>
                      <w:color w:val="auto"/>
                      <w:kern w:val="2"/>
                      <w:sz w:val="21"/>
                      <w:szCs w:val="21"/>
                      <w:lang w:val="en-US" w:eastAsia="zh-CN"/>
                    </w:rPr>
                  </w:pPr>
                </w:p>
              </w:tc>
              <w:tc>
                <w:tcPr>
                  <w:tcW w:w="2050" w:type="pct"/>
                  <w:noWrap w:val="0"/>
                  <w:tcMar>
                    <w:top w:w="57" w:type="dxa"/>
                    <w:left w:w="108" w:type="dxa"/>
                    <w:bottom w:w="57" w:type="dxa"/>
                    <w:right w:w="108" w:type="dxa"/>
                  </w:tcMar>
                  <w:vAlign w:val="center"/>
                </w:tcPr>
                <w:p w14:paraId="26B41C79">
                  <w:pPr>
                    <w:pStyle w:val="25"/>
                    <w:spacing w:line="240" w:lineRule="exact"/>
                    <w:ind w:firstLine="0" w:firstLineChars="0"/>
                    <w:jc w:val="center"/>
                    <w:rPr>
                      <w:rFonts w:hint="eastAsia" w:cs="Times New Roman"/>
                      <w:color w:val="auto"/>
                      <w:kern w:val="2"/>
                      <w:sz w:val="21"/>
                      <w:szCs w:val="21"/>
                      <w:lang w:val="en-US" w:eastAsia="zh-CN"/>
                    </w:rPr>
                  </w:pPr>
                  <w:r>
                    <w:rPr>
                      <w:rFonts w:hint="eastAsia" w:cs="Times New Roman"/>
                      <w:color w:val="auto"/>
                      <w:kern w:val="2"/>
                      <w:sz w:val="21"/>
                      <w:szCs w:val="21"/>
                    </w:rPr>
                    <w:t>6</w:t>
                  </w:r>
                  <w:r>
                    <w:rPr>
                      <w:rFonts w:hint="eastAsia" w:cs="Times New Roman"/>
                      <w:color w:val="auto"/>
                      <w:kern w:val="2"/>
                      <w:sz w:val="21"/>
                      <w:szCs w:val="21"/>
                      <w:lang w:val="en-US" w:eastAsia="zh-CN"/>
                    </w:rPr>
                    <w:t>.</w:t>
                  </w:r>
                  <w:r>
                    <w:rPr>
                      <w:rFonts w:hint="eastAsia" w:cs="Times New Roman"/>
                      <w:color w:val="auto"/>
                      <w:kern w:val="2"/>
                      <w:sz w:val="21"/>
                      <w:szCs w:val="21"/>
                    </w:rPr>
                    <w:t>1</w:t>
                  </w:r>
                  <w:r>
                    <w:rPr>
                      <w:rFonts w:hint="eastAsia" w:cs="Times New Roman"/>
                      <w:color w:val="auto"/>
                      <w:kern w:val="2"/>
                      <w:sz w:val="21"/>
                      <w:szCs w:val="21"/>
                      <w:lang w:val="en-US" w:eastAsia="zh-CN"/>
                    </w:rPr>
                    <w:t>.</w:t>
                  </w:r>
                  <w:r>
                    <w:rPr>
                      <w:rFonts w:hint="eastAsia" w:cs="Times New Roman"/>
                      <w:color w:val="auto"/>
                      <w:kern w:val="2"/>
                      <w:sz w:val="21"/>
                      <w:szCs w:val="21"/>
                    </w:rPr>
                    <w:t>5餐厨废油分离回收和深加工单位噪声控制应符合GB12348的要求。</w:t>
                  </w:r>
                </w:p>
              </w:tc>
              <w:tc>
                <w:tcPr>
                  <w:tcW w:w="1525" w:type="pct"/>
                  <w:noWrap w:val="0"/>
                  <w:tcMar>
                    <w:top w:w="57" w:type="dxa"/>
                    <w:left w:w="108" w:type="dxa"/>
                    <w:bottom w:w="57" w:type="dxa"/>
                    <w:right w:w="108" w:type="dxa"/>
                  </w:tcMar>
                  <w:vAlign w:val="center"/>
                </w:tcPr>
                <w:p w14:paraId="710E4355">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厂区设备噪声采取</w:t>
                  </w:r>
                  <w:r>
                    <w:rPr>
                      <w:rFonts w:hint="eastAsia" w:cs="Times New Roman"/>
                      <w:color w:val="auto"/>
                      <w:kern w:val="2"/>
                      <w:sz w:val="21"/>
                      <w:szCs w:val="21"/>
                    </w:rPr>
                    <w:t>车间隔声、设备减震、设置空压机房等措施</w:t>
                  </w:r>
                  <w:r>
                    <w:rPr>
                      <w:rFonts w:hint="eastAsia" w:cs="Times New Roman"/>
                      <w:color w:val="auto"/>
                      <w:kern w:val="2"/>
                      <w:sz w:val="21"/>
                      <w:szCs w:val="21"/>
                      <w:lang w:eastAsia="zh-CN"/>
                    </w:rPr>
                    <w:t>，使得噪声</w:t>
                  </w:r>
                  <w:r>
                    <w:rPr>
                      <w:rFonts w:hint="eastAsia" w:cs="Times New Roman"/>
                      <w:color w:val="auto"/>
                      <w:kern w:val="2"/>
                      <w:sz w:val="21"/>
                      <w:szCs w:val="21"/>
                    </w:rPr>
                    <w:t>符合GB12348的要求</w:t>
                  </w:r>
                  <w:r>
                    <w:rPr>
                      <w:rFonts w:hint="eastAsia" w:cs="Times New Roman"/>
                      <w:color w:val="auto"/>
                      <w:kern w:val="2"/>
                      <w:sz w:val="21"/>
                      <w:szCs w:val="21"/>
                      <w:lang w:eastAsia="zh-CN"/>
                    </w:rPr>
                    <w:t>。</w:t>
                  </w:r>
                </w:p>
              </w:tc>
              <w:tc>
                <w:tcPr>
                  <w:tcW w:w="451" w:type="pct"/>
                  <w:noWrap w:val="0"/>
                  <w:tcMar>
                    <w:top w:w="57" w:type="dxa"/>
                    <w:left w:w="108" w:type="dxa"/>
                    <w:bottom w:w="57" w:type="dxa"/>
                    <w:right w:w="108" w:type="dxa"/>
                  </w:tcMar>
                  <w:vAlign w:val="center"/>
                </w:tcPr>
                <w:p w14:paraId="33C6561F">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rPr>
                    <w:t>符合要求</w:t>
                  </w:r>
                </w:p>
              </w:tc>
            </w:tr>
            <w:tr w14:paraId="33C06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 w:type="pct"/>
                  <w:vMerge w:val="restart"/>
                  <w:noWrap w:val="0"/>
                  <w:tcMar>
                    <w:top w:w="57" w:type="dxa"/>
                    <w:left w:w="108" w:type="dxa"/>
                    <w:bottom w:w="57" w:type="dxa"/>
                    <w:right w:w="108" w:type="dxa"/>
                  </w:tcMar>
                  <w:vAlign w:val="center"/>
                </w:tcPr>
                <w:p w14:paraId="19535365">
                  <w:pPr>
                    <w:pStyle w:val="25"/>
                    <w:spacing w:line="240" w:lineRule="exact"/>
                    <w:ind w:firstLine="0" w:firstLineChars="0"/>
                    <w:jc w:val="center"/>
                    <w:rPr>
                      <w:rFonts w:hint="default" w:cs="Times New Roman"/>
                      <w:color w:val="auto"/>
                      <w:kern w:val="2"/>
                      <w:sz w:val="21"/>
                      <w:szCs w:val="21"/>
                      <w:lang w:val="en-US" w:eastAsia="zh-CN"/>
                    </w:rPr>
                  </w:pPr>
                  <w:r>
                    <w:rPr>
                      <w:rFonts w:hint="eastAsia" w:cs="Times New Roman"/>
                      <w:color w:val="auto"/>
                      <w:kern w:val="2"/>
                      <w:sz w:val="21"/>
                      <w:szCs w:val="21"/>
                      <w:lang w:val="en-US" w:eastAsia="zh-CN"/>
                    </w:rPr>
                    <w:t>6.2 劳动卫生</w:t>
                  </w:r>
                </w:p>
              </w:tc>
              <w:tc>
                <w:tcPr>
                  <w:tcW w:w="2050" w:type="pct"/>
                  <w:noWrap w:val="0"/>
                  <w:tcMar>
                    <w:top w:w="57" w:type="dxa"/>
                    <w:left w:w="108" w:type="dxa"/>
                    <w:bottom w:w="57" w:type="dxa"/>
                    <w:right w:w="108" w:type="dxa"/>
                  </w:tcMar>
                  <w:vAlign w:val="center"/>
                </w:tcPr>
                <w:p w14:paraId="31717CB2">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val="en-US" w:eastAsia="zh-CN"/>
                    </w:rPr>
                    <w:t>6.2.2</w:t>
                  </w:r>
                  <w:r>
                    <w:rPr>
                      <w:rFonts w:hint="eastAsia" w:cs="Times New Roman"/>
                      <w:color w:val="auto"/>
                      <w:kern w:val="2"/>
                      <w:sz w:val="21"/>
                      <w:szCs w:val="21"/>
                    </w:rPr>
                    <w:t>餐厨废油分离回收和深加工单位厂区应设置消防水池、消防设施。</w:t>
                  </w:r>
                </w:p>
              </w:tc>
              <w:tc>
                <w:tcPr>
                  <w:tcW w:w="1525" w:type="pct"/>
                  <w:noWrap w:val="0"/>
                  <w:tcMar>
                    <w:top w:w="57" w:type="dxa"/>
                    <w:left w:w="108" w:type="dxa"/>
                    <w:bottom w:w="57" w:type="dxa"/>
                    <w:right w:w="108" w:type="dxa"/>
                  </w:tcMar>
                  <w:vAlign w:val="center"/>
                </w:tcPr>
                <w:p w14:paraId="20453D46">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项目厂区设施有</w:t>
                  </w:r>
                  <w:r>
                    <w:rPr>
                      <w:rFonts w:hint="eastAsia" w:cs="Times New Roman"/>
                      <w:color w:val="auto"/>
                      <w:kern w:val="2"/>
                      <w:sz w:val="21"/>
                      <w:szCs w:val="21"/>
                      <w:lang w:val="en-US" w:eastAsia="zh-CN"/>
                    </w:rPr>
                    <w:t>2个450m³的消防水池</w:t>
                  </w:r>
                  <w:r>
                    <w:rPr>
                      <w:rFonts w:hint="eastAsia" w:cs="Times New Roman"/>
                      <w:color w:val="auto"/>
                      <w:kern w:val="2"/>
                      <w:sz w:val="21"/>
                      <w:szCs w:val="21"/>
                      <w:lang w:eastAsia="zh-CN"/>
                    </w:rPr>
                    <w:t>以及配套的消防设施。</w:t>
                  </w:r>
                </w:p>
              </w:tc>
              <w:tc>
                <w:tcPr>
                  <w:tcW w:w="451" w:type="pct"/>
                  <w:vMerge w:val="restart"/>
                  <w:noWrap w:val="0"/>
                  <w:tcMar>
                    <w:top w:w="57" w:type="dxa"/>
                    <w:left w:w="108" w:type="dxa"/>
                    <w:bottom w:w="57" w:type="dxa"/>
                    <w:right w:w="108" w:type="dxa"/>
                  </w:tcMar>
                  <w:vAlign w:val="center"/>
                </w:tcPr>
                <w:p w14:paraId="1B1CDB7F">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符合要求</w:t>
                  </w:r>
                </w:p>
              </w:tc>
            </w:tr>
            <w:tr w14:paraId="21383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 w:type="pct"/>
                  <w:vMerge w:val="continue"/>
                  <w:noWrap w:val="0"/>
                  <w:tcMar>
                    <w:top w:w="57" w:type="dxa"/>
                    <w:left w:w="108" w:type="dxa"/>
                    <w:bottom w:w="57" w:type="dxa"/>
                    <w:right w:w="108" w:type="dxa"/>
                  </w:tcMar>
                  <w:vAlign w:val="center"/>
                </w:tcPr>
                <w:p w14:paraId="5C762329">
                  <w:pPr>
                    <w:pStyle w:val="25"/>
                    <w:spacing w:line="240" w:lineRule="exact"/>
                    <w:ind w:firstLine="0" w:firstLineChars="0"/>
                    <w:jc w:val="center"/>
                    <w:rPr>
                      <w:rFonts w:hint="eastAsia" w:cs="Times New Roman"/>
                      <w:color w:val="auto"/>
                      <w:kern w:val="2"/>
                      <w:sz w:val="21"/>
                      <w:szCs w:val="21"/>
                    </w:rPr>
                  </w:pPr>
                </w:p>
              </w:tc>
              <w:tc>
                <w:tcPr>
                  <w:tcW w:w="2050" w:type="pct"/>
                  <w:noWrap w:val="0"/>
                  <w:tcMar>
                    <w:top w:w="57" w:type="dxa"/>
                    <w:left w:w="108" w:type="dxa"/>
                    <w:bottom w:w="57" w:type="dxa"/>
                    <w:right w:w="108" w:type="dxa"/>
                  </w:tcMar>
                  <w:vAlign w:val="center"/>
                </w:tcPr>
                <w:p w14:paraId="039A8127">
                  <w:pPr>
                    <w:pStyle w:val="25"/>
                    <w:spacing w:line="240" w:lineRule="exact"/>
                    <w:ind w:firstLine="0" w:firstLineChars="0"/>
                    <w:jc w:val="center"/>
                    <w:rPr>
                      <w:rFonts w:hint="eastAsia" w:cs="Times New Roman"/>
                      <w:color w:val="auto"/>
                      <w:kern w:val="2"/>
                      <w:sz w:val="21"/>
                      <w:szCs w:val="21"/>
                    </w:rPr>
                  </w:pPr>
                  <w:r>
                    <w:rPr>
                      <w:rFonts w:hint="eastAsia" w:cs="Times New Roman"/>
                      <w:color w:val="auto"/>
                      <w:kern w:val="2"/>
                      <w:sz w:val="21"/>
                      <w:szCs w:val="21"/>
                    </w:rPr>
                    <w:t>6</w:t>
                  </w:r>
                  <w:r>
                    <w:rPr>
                      <w:rFonts w:hint="eastAsia" w:cs="Times New Roman"/>
                      <w:color w:val="auto"/>
                      <w:kern w:val="2"/>
                      <w:sz w:val="21"/>
                      <w:szCs w:val="21"/>
                      <w:lang w:val="en-US" w:eastAsia="zh-CN"/>
                    </w:rPr>
                    <w:t>.</w:t>
                  </w:r>
                  <w:r>
                    <w:rPr>
                      <w:rFonts w:hint="eastAsia" w:cs="Times New Roman"/>
                      <w:color w:val="auto"/>
                      <w:kern w:val="2"/>
                      <w:sz w:val="21"/>
                      <w:szCs w:val="21"/>
                    </w:rPr>
                    <w:t>2.3餐厨废油分离回收和深加工单位周围应设绿化防护带，并设有相应的安全防护设施。</w:t>
                  </w:r>
                </w:p>
              </w:tc>
              <w:tc>
                <w:tcPr>
                  <w:tcW w:w="1525" w:type="pct"/>
                  <w:noWrap w:val="0"/>
                  <w:tcMar>
                    <w:top w:w="57" w:type="dxa"/>
                    <w:left w:w="108" w:type="dxa"/>
                    <w:bottom w:w="57" w:type="dxa"/>
                    <w:right w:w="108" w:type="dxa"/>
                  </w:tcMar>
                  <w:vAlign w:val="center"/>
                </w:tcPr>
                <w:p w14:paraId="1A4F8A4F">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此项目厂区内设置了绿化防护带。</w:t>
                  </w:r>
                </w:p>
              </w:tc>
              <w:tc>
                <w:tcPr>
                  <w:tcW w:w="451" w:type="pct"/>
                  <w:vMerge w:val="continue"/>
                  <w:noWrap w:val="0"/>
                  <w:tcMar>
                    <w:top w:w="57" w:type="dxa"/>
                    <w:left w:w="108" w:type="dxa"/>
                    <w:bottom w:w="57" w:type="dxa"/>
                    <w:right w:w="108" w:type="dxa"/>
                  </w:tcMar>
                  <w:vAlign w:val="center"/>
                </w:tcPr>
                <w:p w14:paraId="5E1A77CE">
                  <w:pPr>
                    <w:pStyle w:val="25"/>
                    <w:spacing w:line="240" w:lineRule="exact"/>
                    <w:ind w:firstLine="0" w:firstLineChars="0"/>
                    <w:jc w:val="center"/>
                    <w:rPr>
                      <w:rFonts w:hint="eastAsia" w:cs="Times New Roman"/>
                      <w:color w:val="auto"/>
                      <w:kern w:val="2"/>
                      <w:sz w:val="21"/>
                      <w:szCs w:val="21"/>
                    </w:rPr>
                  </w:pPr>
                </w:p>
              </w:tc>
            </w:tr>
            <w:tr w14:paraId="7227C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 w:type="pct"/>
                  <w:vMerge w:val="continue"/>
                  <w:noWrap w:val="0"/>
                  <w:tcMar>
                    <w:top w:w="57" w:type="dxa"/>
                    <w:left w:w="108" w:type="dxa"/>
                    <w:bottom w:w="57" w:type="dxa"/>
                    <w:right w:w="108" w:type="dxa"/>
                  </w:tcMar>
                  <w:vAlign w:val="center"/>
                </w:tcPr>
                <w:p w14:paraId="6AEFF5D6">
                  <w:pPr>
                    <w:pStyle w:val="25"/>
                    <w:spacing w:line="240" w:lineRule="exact"/>
                    <w:ind w:firstLine="0" w:firstLineChars="0"/>
                    <w:jc w:val="center"/>
                    <w:rPr>
                      <w:rFonts w:hint="eastAsia" w:cs="Times New Roman"/>
                      <w:color w:val="auto"/>
                      <w:kern w:val="2"/>
                      <w:sz w:val="21"/>
                      <w:szCs w:val="21"/>
                    </w:rPr>
                  </w:pPr>
                </w:p>
              </w:tc>
              <w:tc>
                <w:tcPr>
                  <w:tcW w:w="2050" w:type="pct"/>
                  <w:noWrap w:val="0"/>
                  <w:tcMar>
                    <w:top w:w="57" w:type="dxa"/>
                    <w:left w:w="108" w:type="dxa"/>
                    <w:bottom w:w="57" w:type="dxa"/>
                    <w:right w:w="108" w:type="dxa"/>
                  </w:tcMar>
                  <w:vAlign w:val="center"/>
                </w:tcPr>
                <w:p w14:paraId="53F923E7">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6.2.4餐厨废油分离回收和深加工单位厂区应设有道路行车指示标志、安全标志、防火防爆及环境卫生设施标志。</w:t>
                  </w:r>
                </w:p>
              </w:tc>
              <w:tc>
                <w:tcPr>
                  <w:tcW w:w="1525" w:type="pct"/>
                  <w:noWrap w:val="0"/>
                  <w:tcMar>
                    <w:top w:w="57" w:type="dxa"/>
                    <w:left w:w="108" w:type="dxa"/>
                    <w:bottom w:w="57" w:type="dxa"/>
                    <w:right w:w="108" w:type="dxa"/>
                  </w:tcMar>
                  <w:vAlign w:val="center"/>
                </w:tcPr>
                <w:p w14:paraId="41B18DC6">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项目厂区设有道路行车指示标志、安全标志、防火防爆及环境卫生标志。</w:t>
                  </w:r>
                </w:p>
              </w:tc>
              <w:tc>
                <w:tcPr>
                  <w:tcW w:w="451" w:type="pct"/>
                  <w:vMerge w:val="continue"/>
                  <w:noWrap w:val="0"/>
                  <w:tcMar>
                    <w:top w:w="57" w:type="dxa"/>
                    <w:left w:w="108" w:type="dxa"/>
                    <w:bottom w:w="57" w:type="dxa"/>
                    <w:right w:w="108" w:type="dxa"/>
                  </w:tcMar>
                  <w:vAlign w:val="center"/>
                </w:tcPr>
                <w:p w14:paraId="05E980F4">
                  <w:pPr>
                    <w:pStyle w:val="25"/>
                    <w:spacing w:line="240" w:lineRule="exact"/>
                    <w:ind w:firstLine="0" w:firstLineChars="0"/>
                    <w:jc w:val="center"/>
                    <w:rPr>
                      <w:rFonts w:hint="eastAsia" w:cs="Times New Roman"/>
                      <w:color w:val="auto"/>
                      <w:kern w:val="2"/>
                      <w:sz w:val="21"/>
                      <w:szCs w:val="21"/>
                    </w:rPr>
                  </w:pPr>
                </w:p>
              </w:tc>
            </w:tr>
            <w:tr w14:paraId="75639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 w:type="pct"/>
                  <w:vMerge w:val="continue"/>
                  <w:noWrap w:val="0"/>
                  <w:tcMar>
                    <w:top w:w="57" w:type="dxa"/>
                    <w:left w:w="108" w:type="dxa"/>
                    <w:bottom w:w="57" w:type="dxa"/>
                    <w:right w:w="108" w:type="dxa"/>
                  </w:tcMar>
                  <w:vAlign w:val="center"/>
                </w:tcPr>
                <w:p w14:paraId="14451C15">
                  <w:pPr>
                    <w:pStyle w:val="25"/>
                    <w:spacing w:line="240" w:lineRule="exact"/>
                    <w:ind w:firstLine="0" w:firstLineChars="0"/>
                    <w:jc w:val="center"/>
                    <w:rPr>
                      <w:rFonts w:hint="eastAsia" w:cs="Times New Roman"/>
                      <w:color w:val="auto"/>
                      <w:kern w:val="2"/>
                      <w:sz w:val="21"/>
                      <w:szCs w:val="21"/>
                    </w:rPr>
                  </w:pPr>
                </w:p>
              </w:tc>
              <w:tc>
                <w:tcPr>
                  <w:tcW w:w="2050" w:type="pct"/>
                  <w:noWrap w:val="0"/>
                  <w:tcMar>
                    <w:top w:w="57" w:type="dxa"/>
                    <w:left w:w="108" w:type="dxa"/>
                    <w:bottom w:w="57" w:type="dxa"/>
                    <w:right w:w="108" w:type="dxa"/>
                  </w:tcMar>
                  <w:vAlign w:val="center"/>
                </w:tcPr>
                <w:p w14:paraId="6549FE0E">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6.2.5餐厨废油分离回收和深加工单位现场工作人员应佩戴口罩、防护帽、防护手套、防护鞋等劳保防护用品。</w:t>
                  </w:r>
                </w:p>
              </w:tc>
              <w:tc>
                <w:tcPr>
                  <w:tcW w:w="1525" w:type="pct"/>
                  <w:noWrap w:val="0"/>
                  <w:tcMar>
                    <w:top w:w="57" w:type="dxa"/>
                    <w:left w:w="108" w:type="dxa"/>
                    <w:bottom w:w="57" w:type="dxa"/>
                    <w:right w:w="108" w:type="dxa"/>
                  </w:tcMar>
                  <w:vAlign w:val="center"/>
                </w:tcPr>
                <w:p w14:paraId="2E9B10DC">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厂区工作人员在进行餐厨废油的分离操作时配套相应的劳保防护用品。</w:t>
                  </w:r>
                </w:p>
              </w:tc>
              <w:tc>
                <w:tcPr>
                  <w:tcW w:w="451" w:type="pct"/>
                  <w:vMerge w:val="continue"/>
                  <w:noWrap w:val="0"/>
                  <w:tcMar>
                    <w:top w:w="57" w:type="dxa"/>
                    <w:left w:w="108" w:type="dxa"/>
                    <w:bottom w:w="57" w:type="dxa"/>
                    <w:right w:w="108" w:type="dxa"/>
                  </w:tcMar>
                  <w:vAlign w:val="center"/>
                </w:tcPr>
                <w:p w14:paraId="447C9C70">
                  <w:pPr>
                    <w:pStyle w:val="25"/>
                    <w:spacing w:line="240" w:lineRule="exact"/>
                    <w:ind w:firstLine="0" w:firstLineChars="0"/>
                    <w:jc w:val="center"/>
                    <w:rPr>
                      <w:rFonts w:hint="eastAsia" w:cs="Times New Roman"/>
                      <w:color w:val="auto"/>
                      <w:kern w:val="2"/>
                      <w:sz w:val="21"/>
                      <w:szCs w:val="21"/>
                    </w:rPr>
                  </w:pPr>
                </w:p>
              </w:tc>
            </w:tr>
            <w:tr w14:paraId="4BB55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2" w:type="pct"/>
                  <w:vMerge w:val="continue"/>
                  <w:noWrap w:val="0"/>
                  <w:tcMar>
                    <w:top w:w="57" w:type="dxa"/>
                    <w:left w:w="108" w:type="dxa"/>
                    <w:bottom w:w="57" w:type="dxa"/>
                    <w:right w:w="108" w:type="dxa"/>
                  </w:tcMar>
                  <w:vAlign w:val="center"/>
                </w:tcPr>
                <w:p w14:paraId="041DEE57">
                  <w:pPr>
                    <w:pStyle w:val="25"/>
                    <w:spacing w:line="240" w:lineRule="exact"/>
                    <w:ind w:firstLine="0" w:firstLineChars="0"/>
                    <w:jc w:val="center"/>
                    <w:rPr>
                      <w:rFonts w:hint="eastAsia" w:cs="Times New Roman"/>
                      <w:color w:val="auto"/>
                      <w:kern w:val="2"/>
                      <w:sz w:val="21"/>
                      <w:szCs w:val="21"/>
                    </w:rPr>
                  </w:pPr>
                </w:p>
              </w:tc>
              <w:tc>
                <w:tcPr>
                  <w:tcW w:w="2050" w:type="pct"/>
                  <w:noWrap w:val="0"/>
                  <w:tcMar>
                    <w:top w:w="57" w:type="dxa"/>
                    <w:left w:w="108" w:type="dxa"/>
                    <w:bottom w:w="57" w:type="dxa"/>
                    <w:right w:w="108" w:type="dxa"/>
                  </w:tcMar>
                  <w:vAlign w:val="center"/>
                </w:tcPr>
                <w:p w14:paraId="3F5DA4F3">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6.2.7餐厨废油分离回收和深加工单位原材料储罐设计及布置应符合相关安全质量规范。</w:t>
                  </w:r>
                </w:p>
              </w:tc>
              <w:tc>
                <w:tcPr>
                  <w:tcW w:w="1525" w:type="pct"/>
                  <w:noWrap w:val="0"/>
                  <w:tcMar>
                    <w:top w:w="57" w:type="dxa"/>
                    <w:left w:w="108" w:type="dxa"/>
                    <w:bottom w:w="57" w:type="dxa"/>
                    <w:right w:w="108" w:type="dxa"/>
                  </w:tcMar>
                  <w:vAlign w:val="center"/>
                </w:tcPr>
                <w:p w14:paraId="6A2D8237">
                  <w:pPr>
                    <w:pStyle w:val="25"/>
                    <w:spacing w:line="240" w:lineRule="exact"/>
                    <w:ind w:firstLine="0" w:firstLineChars="0"/>
                    <w:jc w:val="center"/>
                    <w:rPr>
                      <w:rFonts w:hint="eastAsia" w:cs="Times New Roman"/>
                      <w:color w:val="auto"/>
                      <w:kern w:val="2"/>
                      <w:sz w:val="21"/>
                      <w:szCs w:val="21"/>
                      <w:lang w:eastAsia="zh-CN"/>
                    </w:rPr>
                  </w:pPr>
                  <w:r>
                    <w:rPr>
                      <w:rFonts w:hint="eastAsia" w:cs="Times New Roman"/>
                      <w:color w:val="auto"/>
                      <w:kern w:val="2"/>
                      <w:sz w:val="21"/>
                      <w:szCs w:val="21"/>
                      <w:lang w:eastAsia="zh-CN"/>
                    </w:rPr>
                    <w:t>厂区粗油脂的储罐设计和布局合理，符合规范。</w:t>
                  </w:r>
                </w:p>
              </w:tc>
              <w:tc>
                <w:tcPr>
                  <w:tcW w:w="451" w:type="pct"/>
                  <w:vMerge w:val="continue"/>
                  <w:noWrap w:val="0"/>
                  <w:tcMar>
                    <w:top w:w="57" w:type="dxa"/>
                    <w:left w:w="108" w:type="dxa"/>
                    <w:bottom w:w="57" w:type="dxa"/>
                    <w:right w:w="108" w:type="dxa"/>
                  </w:tcMar>
                  <w:vAlign w:val="center"/>
                </w:tcPr>
                <w:p w14:paraId="66AAC723">
                  <w:pPr>
                    <w:pStyle w:val="25"/>
                    <w:spacing w:line="240" w:lineRule="exact"/>
                    <w:ind w:firstLine="0" w:firstLineChars="0"/>
                    <w:jc w:val="center"/>
                    <w:rPr>
                      <w:rFonts w:hint="eastAsia" w:cs="Times New Roman"/>
                      <w:color w:val="auto"/>
                      <w:kern w:val="2"/>
                      <w:sz w:val="21"/>
                      <w:szCs w:val="21"/>
                    </w:rPr>
                  </w:pPr>
                </w:p>
              </w:tc>
            </w:tr>
          </w:tbl>
          <w:p w14:paraId="75CE7FAA">
            <w:pPr>
              <w:rPr>
                <w:rFonts w:hint="default"/>
                <w:color w:val="auto"/>
                <w:lang w:val="en-US" w:eastAsia="zh-CN"/>
              </w:rPr>
            </w:pPr>
          </w:p>
        </w:tc>
      </w:tr>
    </w:tbl>
    <w:p w14:paraId="0406786F">
      <w:pPr>
        <w:spacing w:line="360" w:lineRule="auto"/>
        <w:outlineLvl w:val="0"/>
        <w:rPr>
          <w:rFonts w:eastAsia="黑体"/>
          <w:color w:val="auto"/>
          <w:sz w:val="30"/>
        </w:rPr>
        <w:sectPr>
          <w:footerReference r:id="rId5" w:type="default"/>
          <w:pgSz w:w="11906" w:h="16838"/>
          <w:pgMar w:top="1587" w:right="1531" w:bottom="1587" w:left="1531" w:header="851" w:footer="1077" w:gutter="0"/>
          <w:pgNumType w:start="1"/>
          <w:cols w:space="720" w:num="1"/>
          <w:docGrid w:linePitch="312" w:charSpace="0"/>
        </w:sectPr>
      </w:pPr>
    </w:p>
    <w:p w14:paraId="3D3A9E6B">
      <w:pPr>
        <w:pStyle w:val="25"/>
        <w:jc w:val="center"/>
        <w:outlineLvl w:val="0"/>
        <w:rPr>
          <w:rFonts w:ascii="黑体" w:hAnsi="黑体" w:eastAsia="黑体"/>
          <w:snapToGrid w:val="0"/>
          <w:color w:val="auto"/>
          <w:sz w:val="30"/>
          <w:szCs w:val="30"/>
        </w:rPr>
      </w:pPr>
      <w:r>
        <w:rPr>
          <w:rFonts w:hint="eastAsia" w:ascii="黑体" w:hAnsi="黑体" w:eastAsia="黑体"/>
          <w:snapToGrid w:val="0"/>
          <w:color w:val="auto"/>
          <w:sz w:val="30"/>
          <w:szCs w:val="30"/>
        </w:rPr>
        <w:t>二、建设项目工程分析</w:t>
      </w:r>
    </w:p>
    <w:tbl>
      <w:tblPr>
        <w:tblStyle w:val="28"/>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9"/>
        <w:gridCol w:w="8621"/>
      </w:tblGrid>
      <w:tr w14:paraId="3D872A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9" w:type="dxa"/>
            <w:vAlign w:val="center"/>
          </w:tcPr>
          <w:p w14:paraId="4EFBEA98">
            <w:pPr>
              <w:pStyle w:val="25"/>
              <w:adjustRightInd w:val="0"/>
              <w:snapToGrid w:val="0"/>
              <w:spacing w:before="0" w:beforeAutospacing="0" w:after="0" w:afterAutospacing="0"/>
              <w:jc w:val="center"/>
              <w:rPr>
                <w:rFonts w:ascii="Times New Roman" w:hAnsi="Times New Roman"/>
                <w:color w:val="auto"/>
                <w:szCs w:val="24"/>
              </w:rPr>
            </w:pPr>
            <w:r>
              <w:rPr>
                <w:rFonts w:ascii="Times New Roman" w:hAnsi="Times New Roman"/>
                <w:color w:val="auto"/>
                <w:szCs w:val="24"/>
              </w:rPr>
              <w:t>建设内容</w:t>
            </w:r>
          </w:p>
        </w:tc>
        <w:tc>
          <w:tcPr>
            <w:tcW w:w="8621" w:type="dxa"/>
          </w:tcPr>
          <w:p w14:paraId="73058BF9">
            <w:pPr>
              <w:adjustRightInd w:val="0"/>
              <w:snapToGrid w:val="0"/>
              <w:spacing w:line="360" w:lineRule="auto"/>
              <w:rPr>
                <w:color w:val="auto"/>
                <w:sz w:val="24"/>
              </w:rPr>
            </w:pPr>
            <w:r>
              <w:rPr>
                <w:color w:val="auto"/>
                <w:sz w:val="24"/>
              </w:rPr>
              <w:t>1、项目建设背景</w:t>
            </w:r>
          </w:p>
          <w:p w14:paraId="2B77F6BA">
            <w:pPr>
              <w:pStyle w:val="70"/>
              <w:keepNext w:val="0"/>
              <w:keepLines w:val="0"/>
              <w:pageBreakBefore w:val="0"/>
              <w:widowControl w:val="0"/>
              <w:kinsoku/>
              <w:wordWrap/>
              <w:overflowPunct/>
              <w:topLinePunct w:val="0"/>
              <w:autoSpaceDE/>
              <w:autoSpaceDN/>
              <w:bidi w:val="0"/>
              <w:adjustRightInd w:val="0"/>
              <w:snapToGrid w:val="0"/>
              <w:spacing w:line="360" w:lineRule="auto"/>
              <w:ind w:firstLine="624"/>
              <w:textAlignment w:val="auto"/>
              <w:rPr>
                <w:rFonts w:hint="eastAsia" w:ascii="宋体" w:cs="宋体"/>
                <w:snapToGrid w:val="0"/>
                <w:color w:val="auto"/>
                <w:spacing w:val="16"/>
                <w:sz w:val="24"/>
                <w:szCs w:val="22"/>
                <w:highlight w:val="none"/>
                <w:lang w:val="en-US" w:eastAsia="zh-CN"/>
              </w:rPr>
            </w:pPr>
            <w:r>
              <w:rPr>
                <w:rFonts w:hint="eastAsia" w:ascii="宋体" w:cs="宋体"/>
                <w:snapToGrid w:val="0"/>
                <w:color w:val="auto"/>
                <w:spacing w:val="16"/>
                <w:sz w:val="24"/>
                <w:szCs w:val="22"/>
                <w:highlight w:val="none"/>
                <w:lang w:val="en-US" w:eastAsia="zh-CN"/>
              </w:rPr>
              <w:t>东至县目前餐厨垃圾处置全部依托池州市处理设备进行处理，最大的短板就是没有自己的处理设施设备，存在高投入，高风险，零回报现状。因此池州中器再生资源有限公司于2025年投资建设“池州中器再生资源有限公司餐厨垃圾和废弃油脂收集、初加工项目”。该项目立足于东至县，为池州市中器环保科技有限公司《废弃油脂资源化利用项目(一期)--年产15 万吨生物柴油、年产80万吨工业级混合油、年产5万吨生物碳源项目》提供原料，且解决了东至县餐厨垃圾的处理的短板。</w:t>
            </w:r>
          </w:p>
          <w:p w14:paraId="7E6A2C88">
            <w:pPr>
              <w:pStyle w:val="70"/>
              <w:keepNext w:val="0"/>
              <w:keepLines w:val="0"/>
              <w:pageBreakBefore w:val="0"/>
              <w:widowControl w:val="0"/>
              <w:kinsoku/>
              <w:wordWrap/>
              <w:overflowPunct/>
              <w:topLinePunct w:val="0"/>
              <w:autoSpaceDE/>
              <w:autoSpaceDN/>
              <w:bidi w:val="0"/>
              <w:adjustRightInd w:val="0"/>
              <w:snapToGrid w:val="0"/>
              <w:spacing w:line="360" w:lineRule="auto"/>
              <w:ind w:firstLine="624"/>
              <w:textAlignment w:val="auto"/>
              <w:rPr>
                <w:color w:val="auto"/>
                <w:sz w:val="24"/>
              </w:rPr>
            </w:pPr>
            <w:r>
              <w:rPr>
                <w:rFonts w:hint="eastAsia" w:ascii="宋体" w:cs="宋体"/>
                <w:snapToGrid w:val="0"/>
                <w:color w:val="auto"/>
                <w:spacing w:val="16"/>
                <w:sz w:val="24"/>
                <w:szCs w:val="22"/>
                <w:lang w:val="en-US" w:eastAsia="zh-CN"/>
              </w:rPr>
              <w:t>该项目已取得</w:t>
            </w:r>
            <w:r>
              <w:rPr>
                <w:rFonts w:hint="eastAsia"/>
                <w:color w:val="auto"/>
                <w:sz w:val="24"/>
                <w:lang w:eastAsia="zh-CN"/>
              </w:rPr>
              <w:t>东至县发展和改革委员会备案（项目代码</w:t>
            </w:r>
            <w:r>
              <w:rPr>
                <w:rFonts w:hint="eastAsia"/>
                <w:color w:val="auto"/>
                <w:sz w:val="24"/>
                <w:lang w:val="en-US" w:eastAsia="zh-CN"/>
              </w:rPr>
              <w:t>2505-341721-04-01-658065</w:t>
            </w:r>
            <w:r>
              <w:rPr>
                <w:rFonts w:hint="eastAsia"/>
                <w:color w:val="auto"/>
                <w:sz w:val="24"/>
                <w:lang w:eastAsia="zh-CN"/>
              </w:rPr>
              <w:t>）</w:t>
            </w:r>
            <w:r>
              <w:rPr>
                <w:rFonts w:hint="eastAsia"/>
                <w:color w:val="auto"/>
                <w:kern w:val="0"/>
                <w:sz w:val="24"/>
                <w:lang w:val="en-US" w:eastAsia="zh-CN"/>
              </w:rPr>
              <w:t>。</w:t>
            </w:r>
            <w:r>
              <w:rPr>
                <w:color w:val="auto"/>
                <w:sz w:val="24"/>
              </w:rPr>
              <w:t>根据《中华人民共和国环境影响评价法》及《建设项目环境保护管理条例》等法规文件，同时根据《建设项目环境影响评价分类管理名录》（2021年版），本项目属于</w:t>
            </w:r>
            <w:r>
              <w:rPr>
                <w:rFonts w:hint="eastAsia"/>
                <w:color w:val="auto"/>
                <w:sz w:val="24"/>
                <w:lang w:eastAsia="zh-CN"/>
              </w:rPr>
              <w:t>“四十八、公共设施管理业</w:t>
            </w:r>
            <w:r>
              <w:rPr>
                <w:rFonts w:hint="eastAsia"/>
                <w:color w:val="auto"/>
                <w:sz w:val="24"/>
                <w:lang w:val="en-US" w:eastAsia="zh-CN"/>
              </w:rPr>
              <w:t>-生活垃圾（含餐厨废弃物）集中处置（生活垃圾发电除外）-其他处置方式日处置能力50吨以下10吨以上</w:t>
            </w:r>
            <w:r>
              <w:rPr>
                <w:rFonts w:hint="eastAsia"/>
                <w:color w:val="auto"/>
                <w:sz w:val="24"/>
                <w:lang w:eastAsia="zh-CN"/>
              </w:rPr>
              <w:t>”</w:t>
            </w:r>
            <w:r>
              <w:rPr>
                <w:color w:val="auto"/>
                <w:sz w:val="24"/>
              </w:rPr>
              <w:t>，需编制环境影响评价报告表，为此</w:t>
            </w:r>
            <w:r>
              <w:rPr>
                <w:rFonts w:hint="eastAsia"/>
                <w:color w:val="auto"/>
                <w:kern w:val="0"/>
                <w:sz w:val="24"/>
              </w:rPr>
              <w:t>池州中器再生资源有限公司</w:t>
            </w:r>
            <w:r>
              <w:rPr>
                <w:color w:val="auto"/>
                <w:sz w:val="24"/>
              </w:rPr>
              <w:t>委托</w:t>
            </w:r>
            <w:r>
              <w:rPr>
                <w:rFonts w:hint="eastAsia"/>
                <w:color w:val="auto"/>
                <w:sz w:val="24"/>
                <w:lang w:eastAsia="zh-CN"/>
              </w:rPr>
              <w:t>安徽显闰环境科技有限公司</w:t>
            </w:r>
            <w:r>
              <w:rPr>
                <w:color w:val="auto"/>
                <w:sz w:val="24"/>
              </w:rPr>
              <w:t>开展本项目环境影响报告表的编制工作。环评单位接受委托后，立即开展了详细的现场踏勘、资料收集工作，在对项目有关环境现状和环境影响进行分析后，依照环境影响评价技术相关导则的要求编制了《</w:t>
            </w:r>
            <w:r>
              <w:rPr>
                <w:rFonts w:hint="eastAsia"/>
                <w:color w:val="auto"/>
                <w:kern w:val="0"/>
                <w:sz w:val="24"/>
              </w:rPr>
              <w:t>池州中器再生资源有限公司</w:t>
            </w:r>
            <w:r>
              <w:rPr>
                <w:rFonts w:hint="eastAsia" w:ascii="宋体" w:cs="宋体"/>
                <w:snapToGrid w:val="0"/>
                <w:color w:val="auto"/>
                <w:spacing w:val="16"/>
                <w:sz w:val="24"/>
                <w:szCs w:val="22"/>
                <w:highlight w:val="none"/>
                <w:lang w:val="en-US" w:eastAsia="zh-CN"/>
              </w:rPr>
              <w:t>餐厨垃圾和废弃油脂收集、初加工项目</w:t>
            </w:r>
            <w:r>
              <w:rPr>
                <w:color w:val="auto"/>
                <w:sz w:val="24"/>
              </w:rPr>
              <w:t>环境影响报告表》，报请生态环境主管部门审批。</w:t>
            </w:r>
          </w:p>
          <w:p w14:paraId="4E5C601F">
            <w:pPr>
              <w:adjustRightInd w:val="0"/>
              <w:snapToGrid w:val="0"/>
              <w:spacing w:line="360" w:lineRule="auto"/>
              <w:ind w:firstLine="482" w:firstLineChars="200"/>
              <w:rPr>
                <w:color w:val="auto"/>
                <w:sz w:val="24"/>
              </w:rPr>
            </w:pPr>
            <w:r>
              <w:rPr>
                <w:b/>
                <w:bCs/>
                <w:color w:val="auto"/>
                <w:sz w:val="24"/>
              </w:rPr>
              <w:t>排污许可管理类别判定：</w:t>
            </w:r>
            <w:r>
              <w:rPr>
                <w:rFonts w:hint="eastAsia"/>
                <w:color w:val="auto"/>
                <w:sz w:val="24"/>
              </w:rPr>
              <w:t>企业</w:t>
            </w:r>
            <w:r>
              <w:rPr>
                <w:rFonts w:hint="eastAsia"/>
                <w:color w:val="auto"/>
                <w:sz w:val="24"/>
                <w:lang w:eastAsia="zh-CN"/>
              </w:rPr>
              <w:t>新建</w:t>
            </w:r>
            <w:r>
              <w:rPr>
                <w:color w:val="auto"/>
                <w:sz w:val="24"/>
              </w:rPr>
              <w:t>项目属于《国民经济行业分类》（2017年版）的</w:t>
            </w:r>
            <w:r>
              <w:rPr>
                <w:rFonts w:hint="eastAsia"/>
                <w:color w:val="auto"/>
                <w:sz w:val="24"/>
                <w:lang w:eastAsia="zh-CN"/>
              </w:rPr>
              <w:t>环境卫生管理</w:t>
            </w:r>
            <w:r>
              <w:rPr>
                <w:rFonts w:hint="eastAsia"/>
                <w:color w:val="auto"/>
                <w:sz w:val="24"/>
              </w:rPr>
              <w:t>（</w:t>
            </w:r>
            <w:r>
              <w:rPr>
                <w:rFonts w:hint="eastAsia"/>
                <w:color w:val="auto"/>
                <w:sz w:val="24"/>
                <w:lang w:val="en-US" w:eastAsia="zh-CN"/>
              </w:rPr>
              <w:t>N7820</w:t>
            </w:r>
            <w:r>
              <w:rPr>
                <w:rFonts w:hint="eastAsia"/>
                <w:color w:val="auto"/>
                <w:sz w:val="24"/>
              </w:rPr>
              <w:t>）</w:t>
            </w:r>
            <w:r>
              <w:rPr>
                <w:color w:val="auto"/>
                <w:sz w:val="24"/>
              </w:rPr>
              <w:t>，</w:t>
            </w:r>
            <w:r>
              <w:rPr>
                <w:rFonts w:hint="eastAsia"/>
                <w:color w:val="auto"/>
                <w:sz w:val="24"/>
              </w:rPr>
              <w:t>综合项目情况（</w:t>
            </w:r>
            <w:r>
              <w:rPr>
                <w:rFonts w:hint="eastAsia"/>
                <w:color w:val="auto"/>
                <w:sz w:val="24"/>
                <w:lang w:eastAsia="zh-CN"/>
              </w:rPr>
              <w:t>本项目日处理餐厨垃圾</w:t>
            </w:r>
            <w:r>
              <w:rPr>
                <w:rFonts w:hint="eastAsia"/>
                <w:color w:val="auto"/>
                <w:sz w:val="24"/>
                <w:lang w:val="en-US" w:eastAsia="zh-CN"/>
              </w:rPr>
              <w:t>45.45t/a</w:t>
            </w:r>
            <w:r>
              <w:rPr>
                <w:rFonts w:hint="eastAsia"/>
                <w:color w:val="auto"/>
                <w:sz w:val="24"/>
              </w:rPr>
              <w:t>），对照</w:t>
            </w:r>
            <w:r>
              <w:rPr>
                <w:color w:val="auto"/>
                <w:sz w:val="24"/>
              </w:rPr>
              <w:t>《固定污染源排污许可分类管理名录（2019年版）》，属于名录中</w:t>
            </w:r>
            <w:r>
              <w:rPr>
                <w:rFonts w:hint="eastAsia"/>
                <w:color w:val="auto"/>
                <w:sz w:val="24"/>
                <w:lang w:eastAsia="zh-CN"/>
              </w:rPr>
              <w:t>“四十八、公共设施管理业</w:t>
            </w:r>
            <w:r>
              <w:rPr>
                <w:rFonts w:hint="eastAsia"/>
                <w:color w:val="auto"/>
                <w:sz w:val="24"/>
                <w:lang w:val="en-US" w:eastAsia="zh-CN"/>
              </w:rPr>
              <w:t>-生活垃圾（含餐厨废弃物）集中处置（生活垃圾发电除外）-其他处置方式日处置能力50吨以下10吨以上</w:t>
            </w:r>
            <w:r>
              <w:rPr>
                <w:rFonts w:hint="eastAsia"/>
                <w:color w:val="auto"/>
                <w:sz w:val="24"/>
                <w:lang w:eastAsia="zh-CN"/>
              </w:rPr>
              <w:t>”</w:t>
            </w:r>
            <w:r>
              <w:rPr>
                <w:color w:val="auto"/>
                <w:sz w:val="24"/>
              </w:rPr>
              <w:t>，</w:t>
            </w:r>
            <w:r>
              <w:rPr>
                <w:rFonts w:hint="eastAsia"/>
                <w:color w:val="auto"/>
                <w:sz w:val="24"/>
              </w:rPr>
              <w:t>企业</w:t>
            </w:r>
            <w:r>
              <w:rPr>
                <w:color w:val="auto"/>
                <w:sz w:val="24"/>
              </w:rPr>
              <w:t>排污许可管理类别为“</w:t>
            </w:r>
            <w:r>
              <w:rPr>
                <w:rFonts w:hint="eastAsia"/>
                <w:color w:val="auto"/>
                <w:sz w:val="24"/>
                <w:lang w:eastAsia="zh-CN"/>
              </w:rPr>
              <w:t>简化管理</w:t>
            </w:r>
            <w:r>
              <w:rPr>
                <w:color w:val="auto"/>
                <w:sz w:val="24"/>
              </w:rPr>
              <w:t>”。</w:t>
            </w:r>
            <w:r>
              <w:rPr>
                <w:rFonts w:hint="eastAsia"/>
                <w:color w:val="auto"/>
                <w:sz w:val="24"/>
              </w:rPr>
              <w:t>项目建成并投入生产运营前将按要求在全国排污许可证管理信息平台</w:t>
            </w:r>
            <w:r>
              <w:rPr>
                <w:rFonts w:hint="eastAsia"/>
                <w:color w:val="auto"/>
                <w:sz w:val="24"/>
                <w:lang w:eastAsia="zh-CN"/>
              </w:rPr>
              <w:t>进行排污许可申请</w:t>
            </w:r>
            <w:r>
              <w:rPr>
                <w:rFonts w:hint="eastAsia"/>
                <w:color w:val="auto"/>
                <w:sz w:val="24"/>
              </w:rPr>
              <w:t>，登记基本信息、污染物排放去向、执行的污染物排放标准以及采取的污染防治措施等信息，并按照要求落实自行监测等。</w:t>
            </w:r>
          </w:p>
          <w:p w14:paraId="16232108">
            <w:pPr>
              <w:widowControl/>
              <w:spacing w:line="360" w:lineRule="auto"/>
              <w:rPr>
                <w:color w:val="auto"/>
                <w:sz w:val="24"/>
              </w:rPr>
            </w:pPr>
            <w:r>
              <w:rPr>
                <w:color w:val="auto"/>
                <w:sz w:val="24"/>
              </w:rPr>
              <w:t>2、建设内容及规模</w:t>
            </w:r>
          </w:p>
          <w:p w14:paraId="5BE847B5">
            <w:pPr>
              <w:pStyle w:val="2"/>
              <w:keepNext w:val="0"/>
              <w:keepLines w:val="0"/>
              <w:pageBreakBefore w:val="0"/>
              <w:widowControl w:val="0"/>
              <w:tabs>
                <w:tab w:val="left" w:pos="6224"/>
              </w:tabs>
              <w:kinsoku/>
              <w:wordWrap/>
              <w:overflowPunct/>
              <w:topLinePunct w:val="0"/>
              <w:autoSpaceDE/>
              <w:autoSpaceDN/>
              <w:bidi w:val="0"/>
              <w:adjustRightInd/>
              <w:snapToGrid/>
              <w:spacing w:after="0" w:line="360" w:lineRule="auto"/>
              <w:ind w:left="0" w:leftChars="0" w:firstLine="480" w:firstLineChars="200"/>
              <w:textAlignment w:val="auto"/>
              <w:rPr>
                <w:color w:val="auto"/>
                <w:sz w:val="24"/>
              </w:rPr>
            </w:pPr>
            <w:r>
              <w:rPr>
                <w:rFonts w:hint="eastAsia"/>
                <w:color w:val="auto"/>
                <w:sz w:val="24"/>
              </w:rPr>
              <w:t>项目用地</w:t>
            </w:r>
            <w:r>
              <w:rPr>
                <w:rFonts w:hint="eastAsia"/>
                <w:color w:val="auto"/>
                <w:sz w:val="24"/>
                <w:lang w:val="en-US" w:eastAsia="zh-CN"/>
              </w:rPr>
              <w:t>12682.82平方米</w:t>
            </w:r>
            <w:r>
              <w:rPr>
                <w:rFonts w:hint="eastAsia"/>
                <w:color w:val="auto"/>
                <w:sz w:val="24"/>
              </w:rPr>
              <w:t>，新建餐厨废弃油脂初加工处理能力1.2万吨/年及餐厨垃圾处理能力3000吨/年项目。主要包括初加工车间</w:t>
            </w:r>
            <w:r>
              <w:rPr>
                <w:rFonts w:hint="eastAsia"/>
                <w:color w:val="auto"/>
                <w:sz w:val="24"/>
                <w:lang w:eastAsia="zh-CN"/>
              </w:rPr>
              <w:t>（厂房一）</w:t>
            </w:r>
            <w:r>
              <w:rPr>
                <w:rFonts w:hint="eastAsia"/>
                <w:color w:val="auto"/>
                <w:sz w:val="24"/>
              </w:rPr>
              <w:t>、</w:t>
            </w:r>
            <w:r>
              <w:rPr>
                <w:rFonts w:hint="eastAsia"/>
                <w:color w:val="auto"/>
                <w:sz w:val="24"/>
                <w:lang w:eastAsia="zh-CN"/>
              </w:rPr>
              <w:t>罐</w:t>
            </w:r>
            <w:r>
              <w:rPr>
                <w:rFonts w:hint="eastAsia"/>
                <w:color w:val="auto"/>
                <w:sz w:val="24"/>
              </w:rPr>
              <w:t>区、消防泵房、仓库与辅助用房等</w:t>
            </w:r>
            <w:r>
              <w:rPr>
                <w:rFonts w:hint="eastAsia"/>
                <w:color w:val="auto"/>
                <w:sz w:val="24"/>
                <w:lang w:eastAsia="zh-CN"/>
              </w:rPr>
              <w:t>；</w:t>
            </w:r>
            <w:r>
              <w:rPr>
                <w:rFonts w:hint="eastAsia"/>
                <w:color w:val="auto"/>
                <w:sz w:val="24"/>
              </w:rPr>
              <w:t>购置主要设备58台(套)，包括除</w:t>
            </w:r>
            <w:r>
              <w:rPr>
                <w:rFonts w:hint="eastAsia"/>
                <w:color w:val="auto"/>
                <w:sz w:val="24"/>
                <w:lang w:eastAsia="zh-CN"/>
              </w:rPr>
              <w:t>渣</w:t>
            </w:r>
            <w:r>
              <w:rPr>
                <w:rFonts w:hint="eastAsia"/>
                <w:color w:val="auto"/>
                <w:sz w:val="24"/>
              </w:rPr>
              <w:t>机、加热沉降釜、三相离心机、挤压机、中间沉降罐</w:t>
            </w:r>
            <w:r>
              <w:rPr>
                <w:rFonts w:hint="eastAsia"/>
                <w:color w:val="auto"/>
                <w:sz w:val="24"/>
                <w:lang w:eastAsia="zh-CN"/>
              </w:rPr>
              <w:t>、</w:t>
            </w:r>
            <w:r>
              <w:rPr>
                <w:rFonts w:hint="eastAsia"/>
                <w:color w:val="auto"/>
                <w:sz w:val="24"/>
              </w:rPr>
              <w:t>废气处理等。</w:t>
            </w:r>
            <w:r>
              <w:rPr>
                <w:color w:val="auto"/>
                <w:sz w:val="24"/>
              </w:rPr>
              <w:t>主要建设内容详见下表：</w:t>
            </w:r>
          </w:p>
          <w:p w14:paraId="7707B401">
            <w:pPr>
              <w:snapToGrid w:val="0"/>
              <w:jc w:val="center"/>
              <w:rPr>
                <w:color w:val="auto"/>
                <w:sz w:val="21"/>
                <w:szCs w:val="21"/>
              </w:rPr>
            </w:pPr>
            <w:r>
              <w:rPr>
                <w:b/>
                <w:bCs/>
                <w:color w:val="auto"/>
                <w:sz w:val="21"/>
                <w:szCs w:val="21"/>
              </w:rPr>
              <w:t>表2-1  主要工程建设内容一览表</w:t>
            </w:r>
          </w:p>
          <w:tbl>
            <w:tblPr>
              <w:tblStyle w:val="2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1771"/>
              <w:gridCol w:w="4513"/>
              <w:gridCol w:w="1062"/>
            </w:tblGrid>
            <w:tr w14:paraId="2963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pct"/>
                  <w:vAlign w:val="center"/>
                </w:tcPr>
                <w:p w14:paraId="7EB6041E">
                  <w:pPr>
                    <w:adjustRightInd w:val="0"/>
                    <w:snapToGrid w:val="0"/>
                    <w:jc w:val="center"/>
                    <w:rPr>
                      <w:b/>
                      <w:color w:val="auto"/>
                      <w:sz w:val="21"/>
                      <w:szCs w:val="21"/>
                    </w:rPr>
                  </w:pPr>
                  <w:r>
                    <w:rPr>
                      <w:b/>
                      <w:color w:val="auto"/>
                      <w:sz w:val="21"/>
                      <w:szCs w:val="21"/>
                    </w:rPr>
                    <w:t>工程类别</w:t>
                  </w:r>
                </w:p>
              </w:tc>
              <w:tc>
                <w:tcPr>
                  <w:tcW w:w="1055" w:type="pct"/>
                  <w:vAlign w:val="center"/>
                </w:tcPr>
                <w:p w14:paraId="33ECB553">
                  <w:pPr>
                    <w:adjustRightInd w:val="0"/>
                    <w:snapToGrid w:val="0"/>
                    <w:jc w:val="center"/>
                    <w:rPr>
                      <w:b/>
                      <w:color w:val="auto"/>
                      <w:sz w:val="21"/>
                      <w:szCs w:val="21"/>
                    </w:rPr>
                  </w:pPr>
                  <w:r>
                    <w:rPr>
                      <w:b/>
                      <w:color w:val="auto"/>
                      <w:sz w:val="21"/>
                      <w:szCs w:val="21"/>
                    </w:rPr>
                    <w:t>单项</w:t>
                  </w:r>
                </w:p>
                <w:p w14:paraId="11A719DC">
                  <w:pPr>
                    <w:adjustRightInd w:val="0"/>
                    <w:snapToGrid w:val="0"/>
                    <w:jc w:val="center"/>
                    <w:rPr>
                      <w:b/>
                      <w:color w:val="auto"/>
                      <w:sz w:val="21"/>
                      <w:szCs w:val="21"/>
                    </w:rPr>
                  </w:pPr>
                  <w:r>
                    <w:rPr>
                      <w:b/>
                      <w:color w:val="auto"/>
                      <w:sz w:val="21"/>
                      <w:szCs w:val="21"/>
                    </w:rPr>
                    <w:t>工程</w:t>
                  </w:r>
                </w:p>
              </w:tc>
              <w:tc>
                <w:tcPr>
                  <w:tcW w:w="2688" w:type="pct"/>
                  <w:vAlign w:val="center"/>
                </w:tcPr>
                <w:p w14:paraId="422614DA">
                  <w:pPr>
                    <w:adjustRightInd w:val="0"/>
                    <w:snapToGrid w:val="0"/>
                    <w:jc w:val="center"/>
                    <w:rPr>
                      <w:b/>
                      <w:color w:val="auto"/>
                      <w:sz w:val="21"/>
                      <w:szCs w:val="21"/>
                    </w:rPr>
                  </w:pPr>
                  <w:r>
                    <w:rPr>
                      <w:b/>
                      <w:color w:val="auto"/>
                      <w:sz w:val="21"/>
                      <w:szCs w:val="21"/>
                    </w:rPr>
                    <w:t>已建工程建设内容</w:t>
                  </w:r>
                </w:p>
              </w:tc>
              <w:tc>
                <w:tcPr>
                  <w:tcW w:w="632" w:type="pct"/>
                  <w:vAlign w:val="center"/>
                </w:tcPr>
                <w:p w14:paraId="01A789FE">
                  <w:pPr>
                    <w:adjustRightInd w:val="0"/>
                    <w:snapToGrid w:val="0"/>
                    <w:jc w:val="center"/>
                    <w:rPr>
                      <w:b/>
                      <w:color w:val="auto"/>
                      <w:sz w:val="21"/>
                      <w:szCs w:val="21"/>
                    </w:rPr>
                  </w:pPr>
                  <w:r>
                    <w:rPr>
                      <w:rFonts w:hint="eastAsia"/>
                      <w:b/>
                      <w:color w:val="auto"/>
                      <w:sz w:val="21"/>
                      <w:szCs w:val="21"/>
                    </w:rPr>
                    <w:t>备注</w:t>
                  </w:r>
                </w:p>
              </w:tc>
            </w:tr>
            <w:tr w14:paraId="1D683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pct"/>
                  <w:vMerge w:val="restart"/>
                  <w:vAlign w:val="center"/>
                </w:tcPr>
                <w:p w14:paraId="27C5A178">
                  <w:pPr>
                    <w:pStyle w:val="2"/>
                    <w:adjustRightInd w:val="0"/>
                    <w:snapToGrid w:val="0"/>
                    <w:spacing w:after="0"/>
                    <w:ind w:left="0" w:leftChars="0" w:firstLine="0" w:firstLineChars="0"/>
                    <w:jc w:val="center"/>
                    <w:rPr>
                      <w:color w:val="auto"/>
                      <w:sz w:val="21"/>
                      <w:szCs w:val="21"/>
                      <w:lang w:val="zh-CN"/>
                    </w:rPr>
                  </w:pPr>
                  <w:r>
                    <w:rPr>
                      <w:color w:val="auto"/>
                      <w:sz w:val="21"/>
                      <w:szCs w:val="21"/>
                      <w:lang w:val="zh-CN"/>
                    </w:rPr>
                    <w:t>主体工程</w:t>
                  </w:r>
                </w:p>
              </w:tc>
              <w:tc>
                <w:tcPr>
                  <w:tcW w:w="1055" w:type="pct"/>
                  <w:vAlign w:val="center"/>
                </w:tcPr>
                <w:p w14:paraId="4831921A">
                  <w:pPr>
                    <w:adjustRightInd w:val="0"/>
                    <w:snapToGrid w:val="0"/>
                    <w:jc w:val="center"/>
                    <w:rPr>
                      <w:rFonts w:hint="default"/>
                      <w:color w:val="auto"/>
                      <w:sz w:val="21"/>
                      <w:szCs w:val="21"/>
                      <w:lang w:val="en-US" w:eastAsia="zh-CN"/>
                    </w:rPr>
                  </w:pPr>
                  <w:r>
                    <w:rPr>
                      <w:rFonts w:hint="eastAsia"/>
                      <w:color w:val="auto"/>
                      <w:sz w:val="21"/>
                      <w:szCs w:val="21"/>
                      <w:lang w:eastAsia="zh-CN"/>
                    </w:rPr>
                    <w:t>厂房</w:t>
                  </w:r>
                  <w:r>
                    <w:rPr>
                      <w:rFonts w:hint="eastAsia"/>
                      <w:color w:val="auto"/>
                      <w:sz w:val="21"/>
                      <w:szCs w:val="21"/>
                      <w:lang w:val="en-US" w:eastAsia="zh-CN"/>
                    </w:rPr>
                    <w:t>一</w:t>
                  </w:r>
                </w:p>
              </w:tc>
              <w:tc>
                <w:tcPr>
                  <w:tcW w:w="2688" w:type="pct"/>
                  <w:vAlign w:val="center"/>
                </w:tcPr>
                <w:p w14:paraId="0456D697">
                  <w:pPr>
                    <w:adjustRightInd w:val="0"/>
                    <w:snapToGrid w:val="0"/>
                    <w:jc w:val="center"/>
                    <w:rPr>
                      <w:rFonts w:hint="eastAsia"/>
                      <w:color w:val="auto"/>
                      <w:sz w:val="21"/>
                      <w:szCs w:val="21"/>
                      <w:lang w:val="en-US" w:eastAsia="zh-CN"/>
                    </w:rPr>
                  </w:pPr>
                  <w:r>
                    <w:rPr>
                      <w:rFonts w:hint="eastAsia"/>
                      <w:color w:val="auto"/>
                      <w:sz w:val="21"/>
                      <w:szCs w:val="21"/>
                      <w:lang w:eastAsia="zh-CN"/>
                    </w:rPr>
                    <w:t>占地面积为</w:t>
                  </w:r>
                  <w:r>
                    <w:rPr>
                      <w:rFonts w:hint="eastAsia"/>
                      <w:color w:val="auto"/>
                      <w:sz w:val="21"/>
                      <w:szCs w:val="21"/>
                      <w:lang w:val="en-US" w:eastAsia="zh-CN"/>
                    </w:rPr>
                    <w:t>2313平方米</w:t>
                  </w:r>
                  <w:r>
                    <w:rPr>
                      <w:rFonts w:hint="eastAsia"/>
                      <w:color w:val="auto"/>
                      <w:sz w:val="21"/>
                      <w:szCs w:val="21"/>
                      <w:lang w:eastAsia="zh-CN"/>
                    </w:rPr>
                    <w:t>，包含餐厨垃圾和餐厨废弃油脂的处理等，厂房高</w:t>
                  </w:r>
                  <w:r>
                    <w:rPr>
                      <w:rFonts w:hint="eastAsia"/>
                      <w:color w:val="auto"/>
                      <w:sz w:val="21"/>
                      <w:szCs w:val="21"/>
                      <w:lang w:val="en-US" w:eastAsia="zh-CN"/>
                    </w:rPr>
                    <w:t>12m。设施有1间卸料间，建筑面积约340平方米，（2个地沟油卸料斗、1个餐厨垃圾卸料斗）、和主要生产处理区域</w:t>
                  </w:r>
                  <w:r>
                    <w:rPr>
                      <w:rFonts w:hint="eastAsia"/>
                      <w:color w:val="auto"/>
                      <w:sz w:val="21"/>
                      <w:szCs w:val="21"/>
                      <w:lang w:eastAsia="zh-CN"/>
                    </w:rPr>
                    <w:t>。</w:t>
                  </w:r>
                </w:p>
              </w:tc>
              <w:tc>
                <w:tcPr>
                  <w:tcW w:w="632" w:type="pct"/>
                  <w:vAlign w:val="center"/>
                </w:tcPr>
                <w:p w14:paraId="7BE88A28">
                  <w:pPr>
                    <w:adjustRightInd w:val="0"/>
                    <w:snapToGrid w:val="0"/>
                    <w:jc w:val="center"/>
                    <w:rPr>
                      <w:rFonts w:hint="eastAsia" w:eastAsia="宋体"/>
                      <w:color w:val="auto"/>
                      <w:sz w:val="21"/>
                      <w:szCs w:val="21"/>
                      <w:lang w:eastAsia="zh-CN"/>
                    </w:rPr>
                  </w:pPr>
                  <w:r>
                    <w:rPr>
                      <w:rFonts w:hint="eastAsia"/>
                      <w:color w:val="auto"/>
                      <w:sz w:val="21"/>
                      <w:szCs w:val="21"/>
                      <w:lang w:eastAsia="zh-CN"/>
                    </w:rPr>
                    <w:t>新建</w:t>
                  </w:r>
                </w:p>
              </w:tc>
            </w:tr>
            <w:tr w14:paraId="2B377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pct"/>
                  <w:vMerge w:val="continue"/>
                  <w:vAlign w:val="center"/>
                </w:tcPr>
                <w:p w14:paraId="02A69097">
                  <w:pPr>
                    <w:pStyle w:val="2"/>
                    <w:adjustRightInd w:val="0"/>
                    <w:snapToGrid w:val="0"/>
                    <w:spacing w:after="0"/>
                    <w:ind w:left="0" w:leftChars="0" w:firstLine="0" w:firstLineChars="0"/>
                    <w:jc w:val="center"/>
                    <w:rPr>
                      <w:color w:val="auto"/>
                      <w:sz w:val="21"/>
                      <w:szCs w:val="21"/>
                      <w:lang w:val="zh-CN"/>
                    </w:rPr>
                  </w:pPr>
                </w:p>
              </w:tc>
              <w:tc>
                <w:tcPr>
                  <w:tcW w:w="1055" w:type="pct"/>
                  <w:vAlign w:val="center"/>
                </w:tcPr>
                <w:p w14:paraId="1CD5C662">
                  <w:pPr>
                    <w:adjustRightInd w:val="0"/>
                    <w:snapToGrid w:val="0"/>
                    <w:jc w:val="center"/>
                    <w:rPr>
                      <w:rFonts w:hint="eastAsia"/>
                      <w:color w:val="auto"/>
                      <w:sz w:val="21"/>
                      <w:szCs w:val="21"/>
                      <w:lang w:eastAsia="zh-CN"/>
                    </w:rPr>
                  </w:pPr>
                  <w:r>
                    <w:rPr>
                      <w:rFonts w:hint="eastAsia"/>
                      <w:color w:val="auto"/>
                      <w:sz w:val="21"/>
                      <w:szCs w:val="21"/>
                      <w:lang w:eastAsia="zh-CN"/>
                    </w:rPr>
                    <w:t>厂房</w:t>
                  </w:r>
                  <w:r>
                    <w:rPr>
                      <w:rFonts w:hint="eastAsia"/>
                      <w:color w:val="auto"/>
                      <w:sz w:val="21"/>
                      <w:szCs w:val="21"/>
                      <w:lang w:val="en-US" w:eastAsia="zh-CN"/>
                    </w:rPr>
                    <w:t>二</w:t>
                  </w:r>
                </w:p>
              </w:tc>
              <w:tc>
                <w:tcPr>
                  <w:tcW w:w="2688" w:type="pct"/>
                  <w:vAlign w:val="center"/>
                </w:tcPr>
                <w:p w14:paraId="18186FAA">
                  <w:pPr>
                    <w:adjustRightInd w:val="0"/>
                    <w:snapToGrid w:val="0"/>
                    <w:jc w:val="center"/>
                    <w:rPr>
                      <w:rFonts w:hint="eastAsia"/>
                      <w:color w:val="auto"/>
                      <w:sz w:val="21"/>
                      <w:szCs w:val="21"/>
                      <w:lang w:val="en-US" w:eastAsia="zh-CN"/>
                    </w:rPr>
                  </w:pPr>
                  <w:r>
                    <w:rPr>
                      <w:rFonts w:hint="eastAsia"/>
                      <w:color w:val="auto"/>
                      <w:sz w:val="21"/>
                      <w:szCs w:val="21"/>
                      <w:lang w:eastAsia="zh-CN"/>
                    </w:rPr>
                    <w:t>占地面积为</w:t>
                  </w:r>
                  <w:r>
                    <w:rPr>
                      <w:rFonts w:hint="eastAsia"/>
                      <w:color w:val="auto"/>
                      <w:sz w:val="21"/>
                      <w:szCs w:val="21"/>
                      <w:lang w:val="en-US" w:eastAsia="zh-CN"/>
                    </w:rPr>
                    <w:t>912平方米，</w:t>
                  </w:r>
                  <w:r>
                    <w:rPr>
                      <w:rFonts w:hint="eastAsia"/>
                      <w:color w:val="auto"/>
                      <w:sz w:val="21"/>
                      <w:szCs w:val="21"/>
                      <w:lang w:eastAsia="zh-CN"/>
                    </w:rPr>
                    <w:t>高</w:t>
                  </w:r>
                  <w:r>
                    <w:rPr>
                      <w:rFonts w:hint="eastAsia"/>
                      <w:color w:val="auto"/>
                      <w:sz w:val="21"/>
                      <w:szCs w:val="21"/>
                      <w:lang w:val="en-US" w:eastAsia="zh-CN"/>
                    </w:rPr>
                    <w:t>12m，作为预留厂房，用于后期项目建设，本次只新建空厂房。</w:t>
                  </w:r>
                </w:p>
              </w:tc>
              <w:tc>
                <w:tcPr>
                  <w:tcW w:w="632" w:type="pct"/>
                  <w:vAlign w:val="center"/>
                </w:tcPr>
                <w:p w14:paraId="5CA8ADF8">
                  <w:pPr>
                    <w:adjustRightInd w:val="0"/>
                    <w:snapToGrid w:val="0"/>
                    <w:jc w:val="center"/>
                    <w:rPr>
                      <w:rFonts w:hint="eastAsia"/>
                      <w:color w:val="auto"/>
                      <w:sz w:val="21"/>
                      <w:szCs w:val="21"/>
                      <w:lang w:eastAsia="zh-CN"/>
                    </w:rPr>
                  </w:pPr>
                  <w:r>
                    <w:rPr>
                      <w:rFonts w:hint="eastAsia"/>
                      <w:color w:val="auto"/>
                      <w:sz w:val="21"/>
                      <w:szCs w:val="21"/>
                      <w:lang w:eastAsia="zh-CN"/>
                    </w:rPr>
                    <w:t>新建</w:t>
                  </w:r>
                </w:p>
              </w:tc>
            </w:tr>
            <w:tr w14:paraId="7ED3C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pct"/>
                  <w:vMerge w:val="continue"/>
                  <w:vAlign w:val="center"/>
                </w:tcPr>
                <w:p w14:paraId="154DEF4A">
                  <w:pPr>
                    <w:pStyle w:val="2"/>
                    <w:adjustRightInd w:val="0"/>
                    <w:snapToGrid w:val="0"/>
                    <w:spacing w:after="0"/>
                    <w:ind w:left="0" w:leftChars="0" w:firstLine="0" w:firstLineChars="0"/>
                    <w:jc w:val="center"/>
                    <w:rPr>
                      <w:color w:val="auto"/>
                      <w:sz w:val="21"/>
                      <w:szCs w:val="21"/>
                      <w:lang w:val="zh-CN"/>
                    </w:rPr>
                  </w:pPr>
                </w:p>
              </w:tc>
              <w:tc>
                <w:tcPr>
                  <w:tcW w:w="1055" w:type="pct"/>
                  <w:vAlign w:val="center"/>
                </w:tcPr>
                <w:p w14:paraId="7DFF1F79">
                  <w:pPr>
                    <w:adjustRightInd w:val="0"/>
                    <w:snapToGrid w:val="0"/>
                    <w:jc w:val="center"/>
                    <w:rPr>
                      <w:rFonts w:hint="eastAsia"/>
                      <w:color w:val="auto"/>
                      <w:sz w:val="21"/>
                      <w:szCs w:val="21"/>
                      <w:lang w:eastAsia="zh-CN"/>
                    </w:rPr>
                  </w:pPr>
                  <w:r>
                    <w:rPr>
                      <w:rFonts w:hint="eastAsia"/>
                      <w:color w:val="auto"/>
                      <w:sz w:val="21"/>
                      <w:szCs w:val="21"/>
                      <w:lang w:eastAsia="zh-CN"/>
                    </w:rPr>
                    <w:t>管网建设</w:t>
                  </w:r>
                </w:p>
              </w:tc>
              <w:tc>
                <w:tcPr>
                  <w:tcW w:w="2688" w:type="pct"/>
                  <w:vAlign w:val="center"/>
                </w:tcPr>
                <w:p w14:paraId="3B527255">
                  <w:pPr>
                    <w:adjustRightInd w:val="0"/>
                    <w:snapToGrid w:val="0"/>
                    <w:jc w:val="center"/>
                    <w:rPr>
                      <w:rFonts w:hint="eastAsia" w:eastAsia="宋体"/>
                      <w:color w:val="auto"/>
                      <w:sz w:val="21"/>
                      <w:szCs w:val="21"/>
                      <w:lang w:val="en-US" w:eastAsia="zh-CN"/>
                    </w:rPr>
                  </w:pPr>
                  <w:r>
                    <w:rPr>
                      <w:rFonts w:hint="eastAsia"/>
                      <w:color w:val="auto"/>
                      <w:sz w:val="21"/>
                      <w:szCs w:val="21"/>
                      <w:lang w:eastAsia="zh-CN"/>
                    </w:rPr>
                    <w:t>新建废水输送管</w:t>
                  </w:r>
                  <w:r>
                    <w:rPr>
                      <w:rFonts w:hint="eastAsia"/>
                      <w:color w:val="auto"/>
                      <w:sz w:val="21"/>
                      <w:szCs w:val="21"/>
                      <w:highlight w:val="none"/>
                      <w:lang w:eastAsia="zh-CN"/>
                    </w:rPr>
                    <w:t>道</w:t>
                  </w:r>
                  <w:r>
                    <w:rPr>
                      <w:rFonts w:hint="eastAsia"/>
                      <w:color w:val="auto"/>
                      <w:lang w:eastAsia="zh-CN"/>
                    </w:rPr>
                    <w:t>，</w:t>
                  </w:r>
                  <w:r>
                    <w:rPr>
                      <w:rFonts w:hint="eastAsia"/>
                      <w:color w:val="auto"/>
                      <w:sz w:val="21"/>
                      <w:szCs w:val="21"/>
                      <w:highlight w:val="none"/>
                      <w:lang w:eastAsia="zh-CN"/>
                    </w:rPr>
                    <w:t>采用明管敷设，DN80，材质不锈钢304，架空高度为50cm，每隔</w:t>
                  </w:r>
                  <w:r>
                    <w:rPr>
                      <w:rFonts w:hint="eastAsia"/>
                      <w:color w:val="auto"/>
                      <w:sz w:val="21"/>
                      <w:szCs w:val="21"/>
                      <w:highlight w:val="none"/>
                      <w:lang w:val="en-US" w:eastAsia="zh-CN"/>
                    </w:rPr>
                    <w:t>4</w:t>
                  </w:r>
                  <w:r>
                    <w:rPr>
                      <w:rFonts w:hint="eastAsia"/>
                      <w:color w:val="auto"/>
                      <w:sz w:val="21"/>
                      <w:szCs w:val="21"/>
                      <w:highlight w:val="none"/>
                      <w:lang w:eastAsia="zh-CN"/>
                    </w:rPr>
                    <w:t>m设施基座</w:t>
                  </w:r>
                  <w:r>
                    <w:rPr>
                      <w:rFonts w:hint="eastAsia"/>
                      <w:color w:val="auto"/>
                      <w:sz w:val="21"/>
                      <w:szCs w:val="21"/>
                      <w:lang w:val="en-US" w:eastAsia="zh-CN"/>
                    </w:rPr>
                    <w:t>，从厂区废水暂存罐接入至中器环保污水处理设施的高浓废水调节罐。管道两端设置有切断阀，进中器环保污水设施端设置有压力表（通过压力表监管管道泄漏）。</w:t>
                  </w:r>
                </w:p>
              </w:tc>
              <w:tc>
                <w:tcPr>
                  <w:tcW w:w="632" w:type="pct"/>
                  <w:vAlign w:val="center"/>
                </w:tcPr>
                <w:p w14:paraId="1F7BDBB5">
                  <w:pPr>
                    <w:adjustRightInd w:val="0"/>
                    <w:snapToGrid w:val="0"/>
                    <w:jc w:val="center"/>
                    <w:rPr>
                      <w:rFonts w:hint="eastAsia"/>
                      <w:color w:val="auto"/>
                      <w:sz w:val="21"/>
                      <w:szCs w:val="21"/>
                      <w:lang w:eastAsia="zh-CN"/>
                    </w:rPr>
                  </w:pPr>
                  <w:r>
                    <w:rPr>
                      <w:rFonts w:hint="eastAsia"/>
                      <w:color w:val="auto"/>
                      <w:sz w:val="21"/>
                      <w:szCs w:val="21"/>
                      <w:lang w:eastAsia="zh-CN"/>
                    </w:rPr>
                    <w:t>新建</w:t>
                  </w:r>
                </w:p>
              </w:tc>
            </w:tr>
            <w:tr w14:paraId="1FE98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pct"/>
                  <w:vAlign w:val="center"/>
                </w:tcPr>
                <w:p w14:paraId="1E4438C8">
                  <w:pPr>
                    <w:pStyle w:val="2"/>
                    <w:adjustRightInd w:val="0"/>
                    <w:snapToGrid w:val="0"/>
                    <w:spacing w:after="0"/>
                    <w:ind w:left="0" w:leftChars="0" w:firstLine="0" w:firstLineChars="0"/>
                    <w:jc w:val="center"/>
                    <w:rPr>
                      <w:color w:val="auto"/>
                      <w:sz w:val="21"/>
                      <w:szCs w:val="21"/>
                      <w:lang w:val="zh-CN"/>
                    </w:rPr>
                  </w:pPr>
                  <w:r>
                    <w:rPr>
                      <w:color w:val="auto"/>
                      <w:sz w:val="21"/>
                      <w:szCs w:val="21"/>
                      <w:lang w:val="zh-CN"/>
                    </w:rPr>
                    <w:t>辅助</w:t>
                  </w:r>
                </w:p>
                <w:p w14:paraId="156F23C3">
                  <w:pPr>
                    <w:pStyle w:val="2"/>
                    <w:adjustRightInd w:val="0"/>
                    <w:snapToGrid w:val="0"/>
                    <w:spacing w:after="0"/>
                    <w:ind w:left="0" w:leftChars="0" w:firstLine="0" w:firstLineChars="0"/>
                    <w:jc w:val="center"/>
                    <w:rPr>
                      <w:color w:val="auto"/>
                      <w:sz w:val="21"/>
                      <w:szCs w:val="21"/>
                      <w:lang w:val="zh-CN"/>
                    </w:rPr>
                  </w:pPr>
                  <w:r>
                    <w:rPr>
                      <w:color w:val="auto"/>
                      <w:sz w:val="21"/>
                      <w:szCs w:val="21"/>
                      <w:lang w:val="zh-CN"/>
                    </w:rPr>
                    <w:t>工程</w:t>
                  </w:r>
                </w:p>
              </w:tc>
              <w:tc>
                <w:tcPr>
                  <w:tcW w:w="1055" w:type="pct"/>
                  <w:vAlign w:val="center"/>
                </w:tcPr>
                <w:p w14:paraId="1B73E177">
                  <w:pPr>
                    <w:pStyle w:val="2"/>
                    <w:adjustRightInd w:val="0"/>
                    <w:snapToGrid w:val="0"/>
                    <w:spacing w:after="0"/>
                    <w:ind w:left="0" w:leftChars="0" w:firstLine="0" w:firstLineChars="0"/>
                    <w:jc w:val="center"/>
                    <w:rPr>
                      <w:color w:val="auto"/>
                      <w:sz w:val="21"/>
                      <w:szCs w:val="21"/>
                    </w:rPr>
                  </w:pPr>
                  <w:r>
                    <w:rPr>
                      <w:rFonts w:hint="eastAsia"/>
                      <w:color w:val="auto"/>
                      <w:sz w:val="21"/>
                      <w:szCs w:val="21"/>
                    </w:rPr>
                    <w:t>综合服务楼</w:t>
                  </w:r>
                </w:p>
              </w:tc>
              <w:tc>
                <w:tcPr>
                  <w:tcW w:w="2688" w:type="pct"/>
                  <w:vAlign w:val="center"/>
                </w:tcPr>
                <w:p w14:paraId="1C81A5E2">
                  <w:pPr>
                    <w:jc w:val="center"/>
                    <w:rPr>
                      <w:color w:val="auto"/>
                      <w:sz w:val="21"/>
                      <w:szCs w:val="21"/>
                      <w:highlight w:val="none"/>
                    </w:rPr>
                  </w:pPr>
                  <w:r>
                    <w:rPr>
                      <w:rFonts w:hint="eastAsia"/>
                      <w:color w:val="auto"/>
                      <w:sz w:val="21"/>
                      <w:szCs w:val="21"/>
                      <w:highlight w:val="none"/>
                      <w:lang w:eastAsia="zh-CN"/>
                    </w:rPr>
                    <w:t>占地</w:t>
                  </w:r>
                  <w:r>
                    <w:rPr>
                      <w:color w:val="auto"/>
                      <w:sz w:val="21"/>
                      <w:szCs w:val="21"/>
                      <w:highlight w:val="none"/>
                    </w:rPr>
                    <w:t>面积</w:t>
                  </w:r>
                  <w:r>
                    <w:rPr>
                      <w:rFonts w:hint="eastAsia"/>
                      <w:bCs/>
                      <w:color w:val="auto"/>
                      <w:sz w:val="21"/>
                      <w:szCs w:val="21"/>
                      <w:highlight w:val="none"/>
                      <w:lang w:val="en-US" w:eastAsia="zh-CN"/>
                    </w:rPr>
                    <w:t>300</w:t>
                  </w:r>
                  <w:r>
                    <w:rPr>
                      <w:color w:val="auto"/>
                      <w:sz w:val="21"/>
                      <w:szCs w:val="21"/>
                      <w:highlight w:val="none"/>
                    </w:rPr>
                    <w:t>m</w:t>
                  </w:r>
                  <w:r>
                    <w:rPr>
                      <w:color w:val="auto"/>
                      <w:sz w:val="21"/>
                      <w:szCs w:val="21"/>
                      <w:highlight w:val="none"/>
                      <w:vertAlign w:val="superscript"/>
                    </w:rPr>
                    <w:t>2</w:t>
                  </w:r>
                  <w:r>
                    <w:rPr>
                      <w:rFonts w:ascii="宋体" w:hAnsi="宋体"/>
                      <w:color w:val="auto"/>
                      <w:sz w:val="21"/>
                      <w:szCs w:val="21"/>
                      <w:highlight w:val="none"/>
                    </w:rPr>
                    <w:t>，</w:t>
                  </w:r>
                  <w:r>
                    <w:rPr>
                      <w:color w:val="auto"/>
                      <w:sz w:val="21"/>
                      <w:szCs w:val="21"/>
                      <w:highlight w:val="none"/>
                    </w:rPr>
                    <w:t>1</w:t>
                  </w:r>
                  <w:r>
                    <w:rPr>
                      <w:rFonts w:ascii="宋体" w:hAnsi="宋体"/>
                      <w:color w:val="auto"/>
                      <w:sz w:val="21"/>
                      <w:szCs w:val="21"/>
                      <w:highlight w:val="none"/>
                    </w:rPr>
                    <w:t>栋</w:t>
                  </w:r>
                  <w:r>
                    <w:rPr>
                      <w:rFonts w:hint="eastAsia"/>
                      <w:color w:val="auto"/>
                      <w:sz w:val="21"/>
                      <w:szCs w:val="21"/>
                      <w:highlight w:val="none"/>
                      <w:lang w:val="en-US" w:eastAsia="zh-CN"/>
                    </w:rPr>
                    <w:t>3</w:t>
                  </w:r>
                  <w:r>
                    <w:rPr>
                      <w:color w:val="auto"/>
                      <w:sz w:val="21"/>
                      <w:szCs w:val="21"/>
                      <w:highlight w:val="none"/>
                    </w:rPr>
                    <w:t>F</w:t>
                  </w:r>
                  <w:r>
                    <w:rPr>
                      <w:rFonts w:ascii="宋体" w:hAnsi="宋体"/>
                      <w:color w:val="auto"/>
                      <w:sz w:val="21"/>
                      <w:szCs w:val="21"/>
                      <w:highlight w:val="none"/>
                    </w:rPr>
                    <w:t>，位于</w:t>
                  </w:r>
                  <w:r>
                    <w:rPr>
                      <w:rFonts w:hint="eastAsia" w:ascii="宋体" w:hAnsi="宋体"/>
                      <w:color w:val="auto"/>
                      <w:sz w:val="21"/>
                      <w:szCs w:val="21"/>
                      <w:highlight w:val="none"/>
                      <w:lang w:eastAsia="zh-CN"/>
                    </w:rPr>
                    <w:t>厂区</w:t>
                  </w:r>
                  <w:r>
                    <w:rPr>
                      <w:rFonts w:ascii="宋体" w:hAnsi="宋体"/>
                      <w:color w:val="auto"/>
                      <w:sz w:val="21"/>
                      <w:szCs w:val="21"/>
                      <w:highlight w:val="none"/>
                    </w:rPr>
                    <w:t>东</w:t>
                  </w:r>
                  <w:r>
                    <w:rPr>
                      <w:rFonts w:hint="eastAsia" w:ascii="宋体" w:hAnsi="宋体"/>
                      <w:color w:val="auto"/>
                      <w:sz w:val="21"/>
                      <w:szCs w:val="21"/>
                      <w:highlight w:val="none"/>
                      <w:lang w:eastAsia="zh-CN"/>
                    </w:rPr>
                    <w:t>南</w:t>
                  </w:r>
                  <w:r>
                    <w:rPr>
                      <w:rFonts w:ascii="宋体" w:hAnsi="宋体"/>
                      <w:color w:val="auto"/>
                      <w:sz w:val="21"/>
                      <w:szCs w:val="21"/>
                      <w:highlight w:val="none"/>
                    </w:rPr>
                    <w:t>角，主要设置职工食堂、活动室，用于员工就餐和业余活动。职工食堂位于</w:t>
                  </w:r>
                  <w:r>
                    <w:rPr>
                      <w:color w:val="auto"/>
                      <w:sz w:val="21"/>
                      <w:szCs w:val="21"/>
                      <w:highlight w:val="none"/>
                    </w:rPr>
                    <w:t>1F</w:t>
                  </w:r>
                  <w:r>
                    <w:rPr>
                      <w:rFonts w:ascii="宋体" w:hAnsi="宋体"/>
                      <w:color w:val="auto"/>
                      <w:sz w:val="21"/>
                      <w:szCs w:val="21"/>
                      <w:highlight w:val="none"/>
                    </w:rPr>
                    <w:t>，活动室位于</w:t>
                  </w:r>
                  <w:r>
                    <w:rPr>
                      <w:rFonts w:hint="eastAsia"/>
                      <w:color w:val="auto"/>
                      <w:sz w:val="21"/>
                      <w:szCs w:val="21"/>
                      <w:highlight w:val="none"/>
                    </w:rPr>
                    <w:t>2</w:t>
                  </w:r>
                  <w:r>
                    <w:rPr>
                      <w:color w:val="auto"/>
                      <w:sz w:val="21"/>
                      <w:szCs w:val="21"/>
                      <w:highlight w:val="none"/>
                    </w:rPr>
                    <w:t>-</w:t>
                  </w:r>
                  <w:r>
                    <w:rPr>
                      <w:rFonts w:hint="eastAsia"/>
                      <w:color w:val="auto"/>
                      <w:sz w:val="21"/>
                      <w:szCs w:val="21"/>
                      <w:highlight w:val="none"/>
                      <w:lang w:val="en-US" w:eastAsia="zh-CN"/>
                    </w:rPr>
                    <w:t>3</w:t>
                  </w:r>
                  <w:r>
                    <w:rPr>
                      <w:color w:val="auto"/>
                      <w:sz w:val="21"/>
                      <w:szCs w:val="21"/>
                      <w:highlight w:val="none"/>
                    </w:rPr>
                    <w:t>F</w:t>
                  </w:r>
                </w:p>
              </w:tc>
              <w:tc>
                <w:tcPr>
                  <w:tcW w:w="632" w:type="pct"/>
                  <w:vAlign w:val="center"/>
                </w:tcPr>
                <w:p w14:paraId="06E312F0">
                  <w:pPr>
                    <w:adjustRightInd w:val="0"/>
                    <w:snapToGrid w:val="0"/>
                    <w:jc w:val="center"/>
                    <w:rPr>
                      <w:color w:val="auto"/>
                      <w:sz w:val="21"/>
                      <w:szCs w:val="21"/>
                      <w:highlight w:val="none"/>
                    </w:rPr>
                  </w:pPr>
                  <w:r>
                    <w:rPr>
                      <w:rFonts w:hint="eastAsia"/>
                      <w:color w:val="auto"/>
                      <w:sz w:val="21"/>
                      <w:szCs w:val="21"/>
                      <w:highlight w:val="none"/>
                      <w:lang w:eastAsia="zh-CN"/>
                    </w:rPr>
                    <w:t>新建</w:t>
                  </w:r>
                </w:p>
              </w:tc>
            </w:tr>
            <w:tr w14:paraId="127A2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pct"/>
                  <w:vMerge w:val="restart"/>
                  <w:vAlign w:val="center"/>
                </w:tcPr>
                <w:p w14:paraId="5ED6DCB2">
                  <w:pPr>
                    <w:pStyle w:val="2"/>
                    <w:adjustRightInd w:val="0"/>
                    <w:snapToGrid w:val="0"/>
                    <w:spacing w:after="0"/>
                    <w:ind w:left="0" w:leftChars="0" w:firstLine="0" w:firstLineChars="0"/>
                    <w:jc w:val="center"/>
                    <w:rPr>
                      <w:color w:val="auto"/>
                      <w:sz w:val="21"/>
                      <w:szCs w:val="21"/>
                      <w:lang w:val="zh-CN"/>
                    </w:rPr>
                  </w:pPr>
                  <w:r>
                    <w:rPr>
                      <w:color w:val="auto"/>
                      <w:sz w:val="21"/>
                      <w:szCs w:val="21"/>
                      <w:lang w:val="zh-CN"/>
                    </w:rPr>
                    <w:t>储运</w:t>
                  </w:r>
                </w:p>
                <w:p w14:paraId="46B2304C">
                  <w:pPr>
                    <w:pStyle w:val="2"/>
                    <w:adjustRightInd w:val="0"/>
                    <w:snapToGrid w:val="0"/>
                    <w:spacing w:after="0"/>
                    <w:ind w:left="0" w:leftChars="0" w:firstLine="0" w:firstLineChars="0"/>
                    <w:jc w:val="center"/>
                    <w:rPr>
                      <w:color w:val="auto"/>
                      <w:sz w:val="21"/>
                      <w:szCs w:val="21"/>
                      <w:lang w:val="zh-CN"/>
                    </w:rPr>
                  </w:pPr>
                  <w:r>
                    <w:rPr>
                      <w:color w:val="auto"/>
                      <w:sz w:val="21"/>
                      <w:szCs w:val="21"/>
                      <w:lang w:val="zh-CN"/>
                    </w:rPr>
                    <w:t>工程</w:t>
                  </w:r>
                </w:p>
              </w:tc>
              <w:tc>
                <w:tcPr>
                  <w:tcW w:w="1055" w:type="pct"/>
                  <w:shd w:val="clear" w:color="auto" w:fill="auto"/>
                  <w:vAlign w:val="center"/>
                </w:tcPr>
                <w:p w14:paraId="1BA1B372">
                  <w:pPr>
                    <w:pStyle w:val="2"/>
                    <w:adjustRightInd w:val="0"/>
                    <w:snapToGrid w:val="0"/>
                    <w:spacing w:after="0"/>
                    <w:ind w:left="0" w:leftChars="0" w:firstLine="0" w:firstLineChar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sz w:val="21"/>
                      <w:szCs w:val="21"/>
                      <w:lang w:eastAsia="zh-CN"/>
                    </w:rPr>
                    <w:t>丙类仓库</w:t>
                  </w:r>
                </w:p>
              </w:tc>
              <w:tc>
                <w:tcPr>
                  <w:tcW w:w="2688" w:type="pct"/>
                  <w:shd w:val="clear" w:color="auto" w:fill="auto"/>
                  <w:vAlign w:val="center"/>
                </w:tcPr>
                <w:p w14:paraId="52E36CD8">
                  <w:pPr>
                    <w:pStyle w:val="2"/>
                    <w:adjustRightInd w:val="0"/>
                    <w:snapToGrid w:val="0"/>
                    <w:spacing w:after="0"/>
                    <w:ind w:left="0" w:leftChars="0" w:firstLine="0" w:firstLineChar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sz w:val="21"/>
                      <w:szCs w:val="21"/>
                      <w:lang w:eastAsia="zh-CN"/>
                    </w:rPr>
                    <w:t>位于厂区东北角，占地面积</w:t>
                  </w:r>
                  <w:r>
                    <w:rPr>
                      <w:rFonts w:hint="eastAsia" w:ascii="Times New Roman" w:hAnsi="Times New Roman" w:eastAsia="宋体" w:cs="Times New Roman"/>
                      <w:color w:val="auto"/>
                      <w:sz w:val="21"/>
                      <w:szCs w:val="21"/>
                      <w:lang w:val="en-US" w:eastAsia="zh-CN"/>
                    </w:rPr>
                    <w:t>75平方米，平均隔开3间，分别为化学</w:t>
                  </w:r>
                  <w:r>
                    <w:rPr>
                      <w:rFonts w:hint="eastAsia" w:cs="Times New Roman"/>
                      <w:color w:val="auto"/>
                      <w:sz w:val="21"/>
                      <w:szCs w:val="21"/>
                      <w:lang w:val="en-US" w:eastAsia="zh-CN"/>
                    </w:rPr>
                    <w:t>药品库</w:t>
                  </w:r>
                  <w:r>
                    <w:rPr>
                      <w:rFonts w:hint="eastAsia" w:ascii="Times New Roman" w:hAnsi="Times New Roman" w:eastAsia="宋体" w:cs="Times New Roman"/>
                      <w:color w:val="auto"/>
                      <w:sz w:val="21"/>
                      <w:szCs w:val="21"/>
                      <w:lang w:val="en-US" w:eastAsia="zh-CN"/>
                    </w:rPr>
                    <w:t>、危废库和一般固废间。</w:t>
                  </w:r>
                </w:p>
              </w:tc>
              <w:tc>
                <w:tcPr>
                  <w:tcW w:w="632" w:type="pct"/>
                  <w:shd w:val="clear" w:color="auto" w:fill="auto"/>
                  <w:vAlign w:val="center"/>
                </w:tcPr>
                <w:p w14:paraId="563480DF">
                  <w:pPr>
                    <w:pStyle w:val="2"/>
                    <w:adjustRightInd w:val="0"/>
                    <w:snapToGrid w:val="0"/>
                    <w:spacing w:after="0"/>
                    <w:ind w:left="0" w:leftChars="0" w:firstLine="0" w:firstLineChars="0"/>
                    <w:jc w:val="center"/>
                    <w:rPr>
                      <w:rFonts w:hint="eastAsia" w:ascii="Times New Roman" w:hAnsi="Times New Roman" w:eastAsia="宋体" w:cs="Times New Roman"/>
                      <w:color w:val="auto"/>
                      <w:kern w:val="0"/>
                      <w:sz w:val="21"/>
                      <w:szCs w:val="21"/>
                      <w:lang w:val="zh-CN" w:eastAsia="zh-CN" w:bidi="ar-SA"/>
                    </w:rPr>
                  </w:pPr>
                  <w:r>
                    <w:rPr>
                      <w:rFonts w:hint="eastAsia" w:ascii="Times New Roman" w:hAnsi="Times New Roman" w:eastAsia="宋体" w:cs="Times New Roman"/>
                      <w:color w:val="auto"/>
                      <w:sz w:val="21"/>
                      <w:szCs w:val="21"/>
                      <w:lang w:eastAsia="zh-CN"/>
                    </w:rPr>
                    <w:t>新建</w:t>
                  </w:r>
                </w:p>
              </w:tc>
            </w:tr>
            <w:tr w14:paraId="14B6A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pct"/>
                  <w:vMerge w:val="continue"/>
                  <w:vAlign w:val="center"/>
                </w:tcPr>
                <w:p w14:paraId="6D83142F">
                  <w:pPr>
                    <w:pStyle w:val="2"/>
                    <w:adjustRightInd w:val="0"/>
                    <w:snapToGrid w:val="0"/>
                    <w:spacing w:after="0"/>
                    <w:ind w:left="0" w:leftChars="0" w:firstLine="0" w:firstLineChars="0"/>
                    <w:jc w:val="center"/>
                    <w:rPr>
                      <w:color w:val="auto"/>
                      <w:sz w:val="21"/>
                      <w:szCs w:val="21"/>
                      <w:lang w:val="zh-CN"/>
                    </w:rPr>
                  </w:pPr>
                </w:p>
              </w:tc>
              <w:tc>
                <w:tcPr>
                  <w:tcW w:w="1055" w:type="pct"/>
                  <w:vAlign w:val="center"/>
                </w:tcPr>
                <w:p w14:paraId="54CE4897">
                  <w:pPr>
                    <w:pStyle w:val="2"/>
                    <w:adjustRightInd w:val="0"/>
                    <w:snapToGrid w:val="0"/>
                    <w:spacing w:after="0"/>
                    <w:ind w:left="0" w:leftChars="0" w:firstLine="0" w:firstLineChars="0"/>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储罐区</w:t>
                  </w:r>
                </w:p>
              </w:tc>
              <w:tc>
                <w:tcPr>
                  <w:tcW w:w="2688" w:type="pct"/>
                  <w:vAlign w:val="center"/>
                </w:tcPr>
                <w:p w14:paraId="71BF9609">
                  <w:pPr>
                    <w:pStyle w:val="2"/>
                    <w:adjustRightInd w:val="0"/>
                    <w:snapToGrid w:val="0"/>
                    <w:spacing w:after="0"/>
                    <w:ind w:left="0" w:leftChars="0" w:firstLine="0" w:firstLineChars="0"/>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位于厂区西南侧，占地面积</w:t>
                  </w:r>
                  <w:r>
                    <w:rPr>
                      <w:rFonts w:hint="eastAsia" w:ascii="Times New Roman" w:hAnsi="Times New Roman" w:eastAsia="宋体" w:cs="Times New Roman"/>
                      <w:color w:val="auto"/>
                      <w:sz w:val="21"/>
                      <w:szCs w:val="21"/>
                      <w:lang w:val="en-US" w:eastAsia="zh-CN"/>
                    </w:rPr>
                    <w:t>900平方米，共8个储罐，其中</w:t>
                  </w:r>
                  <w:r>
                    <w:rPr>
                      <w:rFonts w:hint="eastAsia" w:ascii="Times New Roman" w:hAnsi="Times New Roman" w:eastAsia="宋体" w:cs="Times New Roman"/>
                      <w:color w:val="auto"/>
                      <w:sz w:val="21"/>
                      <w:szCs w:val="21"/>
                      <w:lang w:eastAsia="zh-CN"/>
                    </w:rPr>
                    <w:t>设置</w:t>
                  </w:r>
                  <w:r>
                    <w:rPr>
                      <w:rFonts w:hint="eastAsia" w:ascii="Times New Roman" w:hAnsi="Times New Roman" w:eastAsia="宋体" w:cs="Times New Roman"/>
                      <w:color w:val="auto"/>
                      <w:sz w:val="21"/>
                      <w:szCs w:val="21"/>
                      <w:lang w:val="en-US" w:eastAsia="zh-CN"/>
                    </w:rPr>
                    <w:t>6个油脂储罐，2个废水应急暂存储罐，容积均为200m³</w:t>
                  </w:r>
                  <w:r>
                    <w:rPr>
                      <w:rFonts w:hint="eastAsia" w:ascii="Times New Roman" w:hAnsi="Times New Roman" w:eastAsia="宋体" w:cs="Times New Roman"/>
                      <w:color w:val="auto"/>
                      <w:sz w:val="21"/>
                      <w:szCs w:val="21"/>
                      <w:lang w:eastAsia="zh-CN"/>
                    </w:rPr>
                    <w:t>。</w:t>
                  </w:r>
                </w:p>
              </w:tc>
              <w:tc>
                <w:tcPr>
                  <w:tcW w:w="632" w:type="pct"/>
                  <w:vAlign w:val="center"/>
                </w:tcPr>
                <w:p w14:paraId="44D1B477">
                  <w:pPr>
                    <w:pStyle w:val="2"/>
                    <w:adjustRightInd w:val="0"/>
                    <w:snapToGrid w:val="0"/>
                    <w:spacing w:after="0"/>
                    <w:ind w:left="0" w:leftChars="0" w:firstLine="0" w:firstLineChars="0"/>
                    <w:jc w:val="center"/>
                    <w:rPr>
                      <w:rFonts w:hint="eastAsia" w:ascii="Times New Roman" w:hAnsi="Times New Roman" w:eastAsia="宋体" w:cs="Times New Roman"/>
                      <w:color w:val="auto"/>
                      <w:sz w:val="21"/>
                      <w:szCs w:val="21"/>
                      <w:lang w:val="zh-CN" w:eastAsia="zh-CN"/>
                    </w:rPr>
                  </w:pPr>
                  <w:r>
                    <w:rPr>
                      <w:rFonts w:hint="eastAsia" w:ascii="Times New Roman" w:hAnsi="Times New Roman" w:eastAsia="宋体" w:cs="Times New Roman"/>
                      <w:color w:val="auto"/>
                      <w:sz w:val="21"/>
                      <w:szCs w:val="21"/>
                      <w:lang w:eastAsia="zh-CN"/>
                    </w:rPr>
                    <w:t>新建</w:t>
                  </w:r>
                </w:p>
              </w:tc>
            </w:tr>
            <w:tr w14:paraId="44D03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pct"/>
                  <w:vMerge w:val="restart"/>
                  <w:vAlign w:val="center"/>
                </w:tcPr>
                <w:p w14:paraId="7D7FA2FD">
                  <w:pPr>
                    <w:pStyle w:val="2"/>
                    <w:adjustRightInd w:val="0"/>
                    <w:snapToGrid w:val="0"/>
                    <w:spacing w:after="0"/>
                    <w:ind w:left="0" w:leftChars="0" w:firstLine="0" w:firstLineChars="0"/>
                    <w:jc w:val="center"/>
                    <w:rPr>
                      <w:color w:val="auto"/>
                      <w:sz w:val="21"/>
                      <w:szCs w:val="21"/>
                      <w:lang w:val="zh-CN"/>
                    </w:rPr>
                  </w:pPr>
                  <w:r>
                    <w:rPr>
                      <w:color w:val="auto"/>
                      <w:sz w:val="21"/>
                      <w:szCs w:val="21"/>
                      <w:lang w:val="zh-CN"/>
                    </w:rPr>
                    <w:t>公用</w:t>
                  </w:r>
                </w:p>
                <w:p w14:paraId="01E1AC9C">
                  <w:pPr>
                    <w:pStyle w:val="2"/>
                    <w:adjustRightInd w:val="0"/>
                    <w:snapToGrid w:val="0"/>
                    <w:spacing w:after="0"/>
                    <w:ind w:left="0" w:leftChars="0" w:firstLine="0" w:firstLineChars="0"/>
                    <w:jc w:val="center"/>
                    <w:rPr>
                      <w:color w:val="auto"/>
                      <w:sz w:val="21"/>
                      <w:szCs w:val="21"/>
                      <w:lang w:val="zh-CN"/>
                    </w:rPr>
                  </w:pPr>
                  <w:r>
                    <w:rPr>
                      <w:color w:val="auto"/>
                      <w:sz w:val="21"/>
                      <w:szCs w:val="21"/>
                      <w:lang w:val="zh-CN"/>
                    </w:rPr>
                    <w:t>工程</w:t>
                  </w:r>
                </w:p>
              </w:tc>
              <w:tc>
                <w:tcPr>
                  <w:tcW w:w="1055" w:type="pct"/>
                  <w:vAlign w:val="center"/>
                </w:tcPr>
                <w:p w14:paraId="01ED7354">
                  <w:pPr>
                    <w:pStyle w:val="2"/>
                    <w:adjustRightInd w:val="0"/>
                    <w:snapToGrid w:val="0"/>
                    <w:spacing w:after="0"/>
                    <w:ind w:left="0" w:leftChars="0" w:firstLine="0" w:firstLineChars="0"/>
                    <w:jc w:val="center"/>
                    <w:rPr>
                      <w:rFonts w:hint="eastAsia" w:ascii="Times New Roman" w:hAnsi="Times New Roman" w:eastAsia="宋体" w:cs="Times New Roman"/>
                      <w:color w:val="auto"/>
                      <w:sz w:val="21"/>
                      <w:szCs w:val="21"/>
                      <w:lang w:val="zh-CN" w:eastAsia="zh-CN"/>
                    </w:rPr>
                  </w:pPr>
                  <w:r>
                    <w:rPr>
                      <w:rFonts w:hint="eastAsia" w:ascii="Times New Roman" w:hAnsi="Times New Roman" w:eastAsia="宋体" w:cs="Times New Roman"/>
                      <w:color w:val="auto"/>
                      <w:sz w:val="21"/>
                      <w:szCs w:val="21"/>
                      <w:lang w:val="zh-CN" w:eastAsia="zh-CN"/>
                    </w:rPr>
                    <w:t>供水</w:t>
                  </w:r>
                </w:p>
              </w:tc>
              <w:tc>
                <w:tcPr>
                  <w:tcW w:w="2688" w:type="pct"/>
                  <w:vAlign w:val="center"/>
                </w:tcPr>
                <w:p w14:paraId="3583FF6B">
                  <w:pPr>
                    <w:pStyle w:val="2"/>
                    <w:adjustRightInd w:val="0"/>
                    <w:snapToGrid w:val="0"/>
                    <w:spacing w:after="0"/>
                    <w:ind w:left="0" w:leftChars="0" w:firstLine="0" w:firstLineChars="0"/>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由东至经开区市政供水管网供给，年用水量为</w:t>
                  </w:r>
                  <w:r>
                    <w:rPr>
                      <w:rFonts w:hint="eastAsia" w:cs="Times New Roman"/>
                      <w:color w:val="auto"/>
                      <w:sz w:val="21"/>
                      <w:szCs w:val="21"/>
                      <w:lang w:val="en-US" w:eastAsia="zh-CN"/>
                    </w:rPr>
                    <w:t>1856.4</w:t>
                  </w:r>
                  <w:r>
                    <w:rPr>
                      <w:rFonts w:hint="eastAsia" w:ascii="Times New Roman" w:hAnsi="Times New Roman" w:eastAsia="宋体" w:cs="Times New Roman"/>
                      <w:color w:val="auto"/>
                      <w:sz w:val="21"/>
                      <w:szCs w:val="21"/>
                      <w:lang w:eastAsia="zh-CN"/>
                    </w:rPr>
                    <w:t>m</w:t>
                  </w:r>
                  <w:r>
                    <w:rPr>
                      <w:rFonts w:hint="eastAsia" w:ascii="Times New Roman" w:hAnsi="Times New Roman" w:eastAsia="宋体" w:cs="Times New Roman"/>
                      <w:color w:val="auto"/>
                      <w:sz w:val="21"/>
                      <w:szCs w:val="21"/>
                      <w:vertAlign w:val="superscript"/>
                      <w:lang w:eastAsia="zh-CN"/>
                    </w:rPr>
                    <w:t>3</w:t>
                  </w:r>
                </w:p>
              </w:tc>
              <w:tc>
                <w:tcPr>
                  <w:tcW w:w="632" w:type="pct"/>
                  <w:vAlign w:val="center"/>
                </w:tcPr>
                <w:p w14:paraId="59E4780D">
                  <w:pPr>
                    <w:pStyle w:val="2"/>
                    <w:adjustRightInd w:val="0"/>
                    <w:snapToGrid w:val="0"/>
                    <w:spacing w:after="0"/>
                    <w:ind w:left="0" w:leftChars="0" w:firstLine="0" w:firstLineChars="0"/>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eastAsia="zh-CN"/>
                    </w:rPr>
                    <w:t>依托市政</w:t>
                  </w:r>
                </w:p>
              </w:tc>
            </w:tr>
            <w:tr w14:paraId="2335B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pct"/>
                  <w:vMerge w:val="continue"/>
                  <w:vAlign w:val="center"/>
                </w:tcPr>
                <w:p w14:paraId="5E31962F">
                  <w:pPr>
                    <w:pStyle w:val="2"/>
                    <w:adjustRightInd w:val="0"/>
                    <w:snapToGrid w:val="0"/>
                    <w:spacing w:after="0"/>
                    <w:ind w:left="0" w:leftChars="0" w:firstLine="0" w:firstLineChars="0"/>
                    <w:jc w:val="center"/>
                    <w:rPr>
                      <w:color w:val="auto"/>
                      <w:sz w:val="21"/>
                      <w:szCs w:val="21"/>
                      <w:lang w:val="zh-CN"/>
                    </w:rPr>
                  </w:pPr>
                </w:p>
              </w:tc>
              <w:tc>
                <w:tcPr>
                  <w:tcW w:w="1055" w:type="pct"/>
                  <w:vAlign w:val="center"/>
                </w:tcPr>
                <w:p w14:paraId="0AEC376E">
                  <w:pPr>
                    <w:pStyle w:val="2"/>
                    <w:adjustRightInd w:val="0"/>
                    <w:snapToGrid w:val="0"/>
                    <w:spacing w:after="0"/>
                    <w:ind w:left="0" w:leftChars="0" w:firstLine="0" w:firstLineChars="0"/>
                    <w:jc w:val="center"/>
                    <w:rPr>
                      <w:rFonts w:hint="eastAsia" w:ascii="Times New Roman" w:hAnsi="Times New Roman" w:eastAsia="宋体" w:cs="Times New Roman"/>
                      <w:color w:val="auto"/>
                      <w:sz w:val="21"/>
                      <w:szCs w:val="21"/>
                      <w:lang w:val="zh-CN" w:eastAsia="zh-CN"/>
                    </w:rPr>
                  </w:pPr>
                  <w:r>
                    <w:rPr>
                      <w:rFonts w:hint="eastAsia" w:ascii="Times New Roman" w:hAnsi="Times New Roman" w:eastAsia="宋体" w:cs="Times New Roman"/>
                      <w:color w:val="auto"/>
                      <w:sz w:val="21"/>
                      <w:szCs w:val="21"/>
                      <w:lang w:val="zh-CN" w:eastAsia="zh-CN"/>
                    </w:rPr>
                    <w:t>蒸汽</w:t>
                  </w:r>
                </w:p>
              </w:tc>
              <w:tc>
                <w:tcPr>
                  <w:tcW w:w="2688" w:type="pct"/>
                  <w:vAlign w:val="center"/>
                </w:tcPr>
                <w:p w14:paraId="5C2562BA">
                  <w:pPr>
                    <w:pStyle w:val="2"/>
                    <w:adjustRightInd w:val="0"/>
                    <w:snapToGrid w:val="0"/>
                    <w:spacing w:after="0"/>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依托隔壁东至海创环境科技有限公司（以下简称海创）的蒸汽。蒸汽所需量为886.2t/a，2.685t/d。依托可行性见表2-2</w:t>
                  </w:r>
                </w:p>
              </w:tc>
              <w:tc>
                <w:tcPr>
                  <w:tcW w:w="632" w:type="pct"/>
                  <w:vAlign w:val="center"/>
                </w:tcPr>
                <w:p w14:paraId="364E320A">
                  <w:pPr>
                    <w:pStyle w:val="2"/>
                    <w:adjustRightInd w:val="0"/>
                    <w:snapToGrid w:val="0"/>
                    <w:spacing w:after="0"/>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eastAsia="zh-CN"/>
                    </w:rPr>
                    <w:t>依</w:t>
                  </w:r>
                  <w:r>
                    <w:rPr>
                      <w:rFonts w:hint="eastAsia" w:ascii="Times New Roman" w:hAnsi="Times New Roman" w:eastAsia="宋体" w:cs="Times New Roman"/>
                      <w:color w:val="auto"/>
                      <w:sz w:val="21"/>
                      <w:szCs w:val="21"/>
                      <w:lang w:val="en-US" w:eastAsia="zh-CN"/>
                    </w:rPr>
                    <w:t>托海创蒸汽</w:t>
                  </w:r>
                </w:p>
              </w:tc>
            </w:tr>
            <w:tr w14:paraId="620D2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pct"/>
                  <w:vMerge w:val="continue"/>
                  <w:vAlign w:val="center"/>
                </w:tcPr>
                <w:p w14:paraId="2A0AAFA7">
                  <w:pPr>
                    <w:pStyle w:val="2"/>
                    <w:adjustRightInd w:val="0"/>
                    <w:snapToGrid w:val="0"/>
                    <w:spacing w:after="0"/>
                    <w:ind w:left="0" w:leftChars="0" w:firstLine="0" w:firstLineChars="0"/>
                    <w:jc w:val="center"/>
                    <w:rPr>
                      <w:color w:val="auto"/>
                      <w:sz w:val="21"/>
                      <w:szCs w:val="21"/>
                      <w:lang w:val="zh-CN"/>
                    </w:rPr>
                  </w:pPr>
                </w:p>
              </w:tc>
              <w:tc>
                <w:tcPr>
                  <w:tcW w:w="1055" w:type="pct"/>
                  <w:vAlign w:val="center"/>
                </w:tcPr>
                <w:p w14:paraId="6DAAB7CE">
                  <w:pPr>
                    <w:pStyle w:val="2"/>
                    <w:adjustRightInd w:val="0"/>
                    <w:snapToGrid w:val="0"/>
                    <w:spacing w:after="0"/>
                    <w:ind w:left="0" w:leftChars="0" w:firstLine="0" w:firstLineChars="0"/>
                    <w:jc w:val="center"/>
                    <w:rPr>
                      <w:rFonts w:hint="eastAsia" w:ascii="Times New Roman" w:hAnsi="Times New Roman" w:eastAsia="宋体" w:cs="Times New Roman"/>
                      <w:color w:val="auto"/>
                      <w:sz w:val="21"/>
                      <w:szCs w:val="21"/>
                      <w:lang w:val="zh-CN" w:eastAsia="zh-CN"/>
                    </w:rPr>
                  </w:pPr>
                  <w:r>
                    <w:rPr>
                      <w:rFonts w:hint="eastAsia" w:ascii="Times New Roman" w:hAnsi="Times New Roman" w:eastAsia="宋体" w:cs="Times New Roman"/>
                      <w:color w:val="auto"/>
                      <w:sz w:val="21"/>
                      <w:szCs w:val="21"/>
                      <w:lang w:val="zh-CN" w:eastAsia="zh-CN"/>
                    </w:rPr>
                    <w:t>排水</w:t>
                  </w:r>
                </w:p>
              </w:tc>
              <w:tc>
                <w:tcPr>
                  <w:tcW w:w="2688" w:type="pct"/>
                  <w:vAlign w:val="center"/>
                </w:tcPr>
                <w:p w14:paraId="227589C5">
                  <w:pPr>
                    <w:pStyle w:val="2"/>
                    <w:adjustRightInd w:val="0"/>
                    <w:snapToGrid w:val="0"/>
                    <w:spacing w:after="0"/>
                    <w:ind w:left="0" w:leftChars="0" w:firstLine="0" w:firstLineChars="0"/>
                    <w:jc w:val="center"/>
                    <w:rPr>
                      <w:rFonts w:hint="eastAsia" w:ascii="Times New Roman" w:hAnsi="Times New Roman" w:eastAsia="宋体" w:cs="Times New Roman"/>
                      <w:color w:val="auto"/>
                      <w:sz w:val="21"/>
                      <w:szCs w:val="21"/>
                      <w:lang w:val="zh-CN" w:eastAsia="zh-CN"/>
                    </w:rPr>
                  </w:pPr>
                  <w:r>
                    <w:rPr>
                      <w:rFonts w:hint="eastAsia" w:ascii="Times New Roman" w:hAnsi="Times New Roman" w:eastAsia="宋体" w:cs="Times New Roman"/>
                      <w:color w:val="auto"/>
                      <w:sz w:val="21"/>
                      <w:szCs w:val="21"/>
                      <w:lang w:eastAsia="zh-CN"/>
                    </w:rPr>
                    <w:t>排水实行雨污分流制。雨水排入市政雨水管网；废水收集后经管道输送至中器环保的污水处理系统。</w:t>
                  </w:r>
                </w:p>
              </w:tc>
              <w:tc>
                <w:tcPr>
                  <w:tcW w:w="632" w:type="pct"/>
                  <w:vAlign w:val="center"/>
                </w:tcPr>
                <w:p w14:paraId="102FE002">
                  <w:pPr>
                    <w:pStyle w:val="2"/>
                    <w:adjustRightInd w:val="0"/>
                    <w:snapToGrid w:val="0"/>
                    <w:spacing w:after="0"/>
                    <w:ind w:left="0" w:leftChars="0" w:firstLine="0" w:firstLineChars="0"/>
                    <w:jc w:val="center"/>
                    <w:rPr>
                      <w:rFonts w:hint="eastAsia" w:ascii="Times New Roman" w:hAnsi="Times New Roman" w:eastAsia="宋体" w:cs="Times New Roman"/>
                      <w:color w:val="auto"/>
                      <w:sz w:val="21"/>
                      <w:szCs w:val="21"/>
                      <w:lang w:val="zh-CN"/>
                    </w:rPr>
                  </w:pPr>
                  <w:r>
                    <w:rPr>
                      <w:rFonts w:hint="eastAsia" w:ascii="Times New Roman" w:hAnsi="Times New Roman" w:eastAsia="宋体" w:cs="Times New Roman"/>
                      <w:color w:val="auto"/>
                      <w:sz w:val="21"/>
                      <w:szCs w:val="21"/>
                      <w:lang w:eastAsia="zh-CN"/>
                    </w:rPr>
                    <w:t>新建</w:t>
                  </w:r>
                </w:p>
              </w:tc>
            </w:tr>
            <w:tr w14:paraId="54595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3" w:type="pct"/>
                  <w:vMerge w:val="continue"/>
                  <w:vAlign w:val="center"/>
                </w:tcPr>
                <w:p w14:paraId="0257B115">
                  <w:pPr>
                    <w:pStyle w:val="2"/>
                    <w:adjustRightInd w:val="0"/>
                    <w:snapToGrid w:val="0"/>
                    <w:spacing w:after="0"/>
                    <w:ind w:left="0" w:leftChars="0" w:firstLine="0" w:firstLineChars="0"/>
                    <w:jc w:val="center"/>
                    <w:rPr>
                      <w:color w:val="auto"/>
                      <w:sz w:val="21"/>
                      <w:szCs w:val="21"/>
                      <w:lang w:val="zh-CN"/>
                    </w:rPr>
                  </w:pPr>
                </w:p>
              </w:tc>
              <w:tc>
                <w:tcPr>
                  <w:tcW w:w="1055" w:type="pct"/>
                  <w:vAlign w:val="center"/>
                </w:tcPr>
                <w:p w14:paraId="28DBABDF">
                  <w:pPr>
                    <w:pStyle w:val="2"/>
                    <w:adjustRightInd w:val="0"/>
                    <w:snapToGrid w:val="0"/>
                    <w:spacing w:after="0"/>
                    <w:ind w:left="0" w:leftChars="0" w:firstLine="0" w:firstLineChars="0"/>
                    <w:jc w:val="center"/>
                    <w:rPr>
                      <w:color w:val="auto"/>
                      <w:sz w:val="21"/>
                      <w:szCs w:val="21"/>
                      <w:lang w:val="zh-CN"/>
                    </w:rPr>
                  </w:pPr>
                  <w:r>
                    <w:rPr>
                      <w:color w:val="auto"/>
                      <w:sz w:val="21"/>
                      <w:szCs w:val="21"/>
                      <w:lang w:val="zh-CN"/>
                    </w:rPr>
                    <w:t>供电</w:t>
                  </w:r>
                </w:p>
              </w:tc>
              <w:tc>
                <w:tcPr>
                  <w:tcW w:w="2688" w:type="pct"/>
                  <w:vAlign w:val="center"/>
                </w:tcPr>
                <w:p w14:paraId="50B1D9FC">
                  <w:pPr>
                    <w:adjustRightInd w:val="0"/>
                    <w:snapToGrid w:val="0"/>
                    <w:jc w:val="center"/>
                    <w:rPr>
                      <w:color w:val="auto"/>
                      <w:sz w:val="21"/>
                      <w:szCs w:val="21"/>
                    </w:rPr>
                  </w:pPr>
                  <w:r>
                    <w:rPr>
                      <w:rFonts w:hint="eastAsia"/>
                      <w:color w:val="auto"/>
                      <w:sz w:val="21"/>
                      <w:szCs w:val="21"/>
                    </w:rPr>
                    <w:t>由</w:t>
                  </w:r>
                  <w:r>
                    <w:rPr>
                      <w:rFonts w:hint="eastAsia" w:ascii="宋体" w:hAnsi="宋体"/>
                      <w:color w:val="auto"/>
                      <w:sz w:val="21"/>
                      <w:szCs w:val="21"/>
                      <w:lang w:eastAsia="zh-CN"/>
                    </w:rPr>
                    <w:t>东至经开区</w:t>
                  </w:r>
                  <w:r>
                    <w:rPr>
                      <w:color w:val="auto"/>
                      <w:sz w:val="21"/>
                      <w:szCs w:val="21"/>
                    </w:rPr>
                    <w:t>市政</w:t>
                  </w:r>
                  <w:r>
                    <w:rPr>
                      <w:rFonts w:hint="eastAsia"/>
                      <w:color w:val="auto"/>
                      <w:sz w:val="21"/>
                      <w:szCs w:val="21"/>
                    </w:rPr>
                    <w:t>市政电网供电。</w:t>
                  </w:r>
                </w:p>
              </w:tc>
              <w:tc>
                <w:tcPr>
                  <w:tcW w:w="632" w:type="pct"/>
                  <w:vAlign w:val="center"/>
                </w:tcPr>
                <w:p w14:paraId="56885035">
                  <w:pPr>
                    <w:adjustRightInd w:val="0"/>
                    <w:snapToGrid w:val="0"/>
                    <w:jc w:val="center"/>
                    <w:rPr>
                      <w:rFonts w:hint="eastAsia" w:eastAsia="宋体"/>
                      <w:color w:val="auto"/>
                      <w:sz w:val="21"/>
                      <w:szCs w:val="21"/>
                      <w:lang w:eastAsia="zh-CN"/>
                    </w:rPr>
                  </w:pPr>
                  <w:r>
                    <w:rPr>
                      <w:rFonts w:hint="eastAsia"/>
                      <w:color w:val="auto"/>
                      <w:sz w:val="21"/>
                      <w:szCs w:val="21"/>
                      <w:lang w:eastAsia="zh-CN"/>
                    </w:rPr>
                    <w:t>依托市政</w:t>
                  </w:r>
                </w:p>
              </w:tc>
            </w:tr>
            <w:tr w14:paraId="5C3CC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pct"/>
                  <w:vMerge w:val="continue"/>
                  <w:vAlign w:val="center"/>
                </w:tcPr>
                <w:p w14:paraId="05959345">
                  <w:pPr>
                    <w:pStyle w:val="2"/>
                    <w:adjustRightInd w:val="0"/>
                    <w:snapToGrid w:val="0"/>
                    <w:spacing w:after="0"/>
                    <w:ind w:left="0" w:leftChars="0" w:firstLine="0" w:firstLineChars="0"/>
                    <w:jc w:val="center"/>
                    <w:rPr>
                      <w:color w:val="auto"/>
                      <w:sz w:val="21"/>
                      <w:szCs w:val="21"/>
                      <w:lang w:val="zh-CN"/>
                    </w:rPr>
                  </w:pPr>
                </w:p>
              </w:tc>
              <w:tc>
                <w:tcPr>
                  <w:tcW w:w="1055" w:type="pct"/>
                  <w:shd w:val="clear" w:color="auto" w:fill="auto"/>
                  <w:vAlign w:val="center"/>
                </w:tcPr>
                <w:p w14:paraId="739B8DAA">
                  <w:pPr>
                    <w:pStyle w:val="2"/>
                    <w:adjustRightInd w:val="0"/>
                    <w:snapToGrid w:val="0"/>
                    <w:spacing w:after="0"/>
                    <w:ind w:left="0" w:leftChars="0" w:firstLine="0" w:firstLineChars="0"/>
                    <w:jc w:val="center"/>
                    <w:rPr>
                      <w:rFonts w:hint="eastAsia" w:ascii="Times New Roman" w:hAnsi="Times New Roman" w:eastAsia="宋体" w:cs="Times New Roman"/>
                      <w:color w:val="auto"/>
                      <w:kern w:val="0"/>
                      <w:sz w:val="21"/>
                      <w:szCs w:val="21"/>
                      <w:lang w:val="zh-CN" w:eastAsia="zh-CN" w:bidi="ar-SA"/>
                    </w:rPr>
                  </w:pPr>
                  <w:r>
                    <w:rPr>
                      <w:rFonts w:hint="eastAsia" w:ascii="宋体" w:hAnsi="宋体"/>
                      <w:strike w:val="0"/>
                      <w:dstrike w:val="0"/>
                      <w:color w:val="auto"/>
                      <w:sz w:val="21"/>
                      <w:szCs w:val="21"/>
                      <w:lang w:eastAsia="zh-CN"/>
                    </w:rPr>
                    <w:t>辅助车间</w:t>
                  </w:r>
                </w:p>
              </w:tc>
              <w:tc>
                <w:tcPr>
                  <w:tcW w:w="2688" w:type="pct"/>
                  <w:shd w:val="clear" w:color="auto" w:fill="auto"/>
                  <w:vAlign w:val="center"/>
                </w:tcPr>
                <w:p w14:paraId="4FEA366F">
                  <w:pPr>
                    <w:pStyle w:val="2"/>
                    <w:adjustRightInd w:val="0"/>
                    <w:snapToGrid w:val="0"/>
                    <w:spacing w:after="0"/>
                    <w:ind w:left="0" w:leftChars="0" w:firstLine="0" w:firstLineChar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sz w:val="21"/>
                      <w:szCs w:val="21"/>
                    </w:rPr>
                    <w:t>位于</w:t>
                  </w:r>
                  <w:r>
                    <w:rPr>
                      <w:rFonts w:hint="eastAsia" w:ascii="Times New Roman" w:hAnsi="Times New Roman" w:eastAsia="宋体" w:cs="Times New Roman"/>
                      <w:color w:val="auto"/>
                      <w:sz w:val="21"/>
                      <w:szCs w:val="21"/>
                      <w:lang w:eastAsia="zh-CN"/>
                    </w:rPr>
                    <w:t>厂区北侧</w:t>
                  </w:r>
                  <w:r>
                    <w:rPr>
                      <w:rFonts w:hint="eastAsia" w:ascii="Times New Roman" w:hAnsi="Times New Roman" w:eastAsia="宋体" w:cs="Times New Roman"/>
                      <w:color w:val="auto"/>
                      <w:sz w:val="21"/>
                      <w:szCs w:val="21"/>
                    </w:rPr>
                    <w:t>，</w:t>
                  </w:r>
                  <w:r>
                    <w:rPr>
                      <w:rFonts w:hint="eastAsia" w:ascii="Times New Roman" w:hAnsi="Times New Roman" w:eastAsia="宋体" w:cs="Times New Roman"/>
                      <w:color w:val="auto"/>
                      <w:sz w:val="21"/>
                      <w:szCs w:val="21"/>
                      <w:lang w:eastAsia="zh-CN"/>
                    </w:rPr>
                    <w:t>占地面积为</w:t>
                  </w:r>
                  <w:r>
                    <w:rPr>
                      <w:rFonts w:hint="eastAsia" w:ascii="Times New Roman" w:hAnsi="Times New Roman" w:eastAsia="宋体" w:cs="Times New Roman"/>
                      <w:color w:val="auto"/>
                      <w:sz w:val="21"/>
                      <w:szCs w:val="21"/>
                      <w:lang w:val="en-US" w:eastAsia="zh-CN"/>
                    </w:rPr>
                    <w:t>230平方米</w:t>
                  </w:r>
                  <w:r>
                    <w:rPr>
                      <w:rFonts w:hint="eastAsia" w:ascii="Times New Roman" w:hAnsi="Times New Roman" w:eastAsia="宋体" w:cs="Times New Roman"/>
                      <w:color w:val="auto"/>
                      <w:sz w:val="21"/>
                      <w:szCs w:val="21"/>
                      <w:lang w:eastAsia="zh-CN"/>
                    </w:rPr>
                    <w:t>，高</w:t>
                  </w:r>
                  <w:r>
                    <w:rPr>
                      <w:rFonts w:hint="eastAsia" w:ascii="Times New Roman" w:hAnsi="Times New Roman" w:eastAsia="宋体" w:cs="Times New Roman"/>
                      <w:color w:val="auto"/>
                      <w:sz w:val="21"/>
                      <w:szCs w:val="21"/>
                      <w:lang w:val="en-US" w:eastAsia="zh-CN"/>
                    </w:rPr>
                    <w:t>8m，2F。含有消防水池（</w:t>
                  </w:r>
                  <w:r>
                    <w:rPr>
                      <w:rFonts w:hint="eastAsia" w:cs="Times New Roman"/>
                      <w:color w:val="auto"/>
                      <w:sz w:val="21"/>
                      <w:szCs w:val="21"/>
                      <w:lang w:val="en-US" w:eastAsia="zh-CN"/>
                    </w:rPr>
                    <w:t>2个45</w:t>
                  </w:r>
                  <w:r>
                    <w:rPr>
                      <w:rFonts w:hint="eastAsia" w:ascii="Times New Roman" w:hAnsi="Times New Roman" w:eastAsia="宋体" w:cs="Times New Roman"/>
                      <w:color w:val="auto"/>
                      <w:sz w:val="21"/>
                      <w:szCs w:val="21"/>
                      <w:lang w:val="en-US" w:eastAsia="zh-CN"/>
                    </w:rPr>
                    <w:t>0m³）及其泵房和配电房。</w:t>
                  </w:r>
                </w:p>
              </w:tc>
              <w:tc>
                <w:tcPr>
                  <w:tcW w:w="632" w:type="pct"/>
                  <w:shd w:val="clear" w:color="auto" w:fill="auto"/>
                  <w:vAlign w:val="center"/>
                </w:tcPr>
                <w:p w14:paraId="5CD4ACFB">
                  <w:pPr>
                    <w:pStyle w:val="2"/>
                    <w:adjustRightInd w:val="0"/>
                    <w:snapToGrid w:val="0"/>
                    <w:spacing w:after="0"/>
                    <w:ind w:left="0" w:leftChars="0" w:firstLine="0" w:firstLineChars="0"/>
                    <w:jc w:val="center"/>
                    <w:rPr>
                      <w:rFonts w:hint="eastAsia" w:ascii="Times New Roman" w:hAnsi="Times New Roman" w:eastAsia="宋体" w:cs="Times New Roman"/>
                      <w:color w:val="auto"/>
                      <w:kern w:val="0"/>
                      <w:sz w:val="21"/>
                      <w:szCs w:val="21"/>
                      <w:lang w:val="zh-CN" w:eastAsia="zh-CN" w:bidi="ar-SA"/>
                    </w:rPr>
                  </w:pPr>
                  <w:r>
                    <w:rPr>
                      <w:rFonts w:hint="eastAsia" w:ascii="Times New Roman" w:hAnsi="Times New Roman" w:eastAsia="宋体" w:cs="Times New Roman"/>
                      <w:color w:val="auto"/>
                      <w:sz w:val="21"/>
                      <w:szCs w:val="21"/>
                      <w:lang w:eastAsia="zh-CN"/>
                    </w:rPr>
                    <w:t>新建</w:t>
                  </w:r>
                </w:p>
              </w:tc>
            </w:tr>
            <w:tr w14:paraId="01BEF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pct"/>
                  <w:vMerge w:val="restart"/>
                  <w:vAlign w:val="center"/>
                </w:tcPr>
                <w:p w14:paraId="15394578">
                  <w:pPr>
                    <w:pStyle w:val="2"/>
                    <w:adjustRightInd w:val="0"/>
                    <w:snapToGrid w:val="0"/>
                    <w:spacing w:after="0"/>
                    <w:ind w:left="0" w:leftChars="0" w:firstLine="0" w:firstLineChars="0"/>
                    <w:jc w:val="center"/>
                    <w:rPr>
                      <w:color w:val="auto"/>
                      <w:sz w:val="21"/>
                      <w:szCs w:val="21"/>
                      <w:lang w:val="zh-CN"/>
                    </w:rPr>
                  </w:pPr>
                  <w:r>
                    <w:rPr>
                      <w:color w:val="auto"/>
                      <w:sz w:val="21"/>
                      <w:szCs w:val="21"/>
                      <w:lang w:val="zh-CN"/>
                    </w:rPr>
                    <w:t>环保</w:t>
                  </w:r>
                </w:p>
                <w:p w14:paraId="1AF91B2F">
                  <w:pPr>
                    <w:pStyle w:val="2"/>
                    <w:adjustRightInd w:val="0"/>
                    <w:snapToGrid w:val="0"/>
                    <w:spacing w:after="0"/>
                    <w:ind w:left="0" w:leftChars="0" w:firstLine="0" w:firstLineChars="0"/>
                    <w:jc w:val="center"/>
                    <w:rPr>
                      <w:color w:val="auto"/>
                      <w:sz w:val="21"/>
                      <w:szCs w:val="21"/>
                      <w:lang w:val="zh-CN"/>
                    </w:rPr>
                  </w:pPr>
                  <w:r>
                    <w:rPr>
                      <w:color w:val="auto"/>
                      <w:sz w:val="21"/>
                      <w:szCs w:val="21"/>
                      <w:lang w:val="zh-CN"/>
                    </w:rPr>
                    <w:t>工程</w:t>
                  </w:r>
                </w:p>
              </w:tc>
              <w:tc>
                <w:tcPr>
                  <w:tcW w:w="1055" w:type="pct"/>
                  <w:vAlign w:val="center"/>
                </w:tcPr>
                <w:p w14:paraId="42F3B1EC">
                  <w:pPr>
                    <w:pStyle w:val="2"/>
                    <w:adjustRightInd w:val="0"/>
                    <w:snapToGrid w:val="0"/>
                    <w:spacing w:after="0"/>
                    <w:ind w:left="0" w:leftChars="0" w:firstLine="0" w:firstLineChars="0"/>
                    <w:jc w:val="center"/>
                    <w:rPr>
                      <w:color w:val="auto"/>
                      <w:sz w:val="21"/>
                      <w:szCs w:val="21"/>
                      <w:lang w:val="zh-CN"/>
                    </w:rPr>
                  </w:pPr>
                  <w:r>
                    <w:rPr>
                      <w:color w:val="auto"/>
                      <w:sz w:val="21"/>
                      <w:szCs w:val="21"/>
                      <w:lang w:val="zh-CN"/>
                    </w:rPr>
                    <w:t>废水</w:t>
                  </w:r>
                </w:p>
                <w:p w14:paraId="412FD71E">
                  <w:pPr>
                    <w:pStyle w:val="2"/>
                    <w:adjustRightInd w:val="0"/>
                    <w:snapToGrid w:val="0"/>
                    <w:spacing w:after="0"/>
                    <w:ind w:left="0" w:leftChars="0" w:firstLine="0" w:firstLineChars="0"/>
                    <w:jc w:val="center"/>
                    <w:rPr>
                      <w:color w:val="auto"/>
                      <w:sz w:val="21"/>
                      <w:szCs w:val="21"/>
                      <w:lang w:val="zh-CN"/>
                    </w:rPr>
                  </w:pPr>
                  <w:r>
                    <w:rPr>
                      <w:color w:val="auto"/>
                      <w:sz w:val="21"/>
                      <w:szCs w:val="21"/>
                      <w:lang w:val="zh-CN"/>
                    </w:rPr>
                    <w:t>处理</w:t>
                  </w:r>
                </w:p>
              </w:tc>
              <w:tc>
                <w:tcPr>
                  <w:tcW w:w="2688" w:type="pct"/>
                  <w:vAlign w:val="center"/>
                </w:tcPr>
                <w:p w14:paraId="2ABA0C9A">
                  <w:pPr>
                    <w:pStyle w:val="2"/>
                    <w:adjustRightInd w:val="0"/>
                    <w:snapToGrid w:val="0"/>
                    <w:spacing w:after="0"/>
                    <w:ind w:left="0" w:leftChars="0" w:firstLine="0" w:firstLineChars="0"/>
                    <w:jc w:val="center"/>
                    <w:rPr>
                      <w:rFonts w:hint="default"/>
                      <w:color w:val="auto"/>
                      <w:lang w:val="en-US"/>
                    </w:rPr>
                  </w:pPr>
                  <w:r>
                    <w:rPr>
                      <w:rFonts w:hint="eastAsia" w:ascii="Times New Roman" w:hAnsi="Times New Roman" w:eastAsia="宋体" w:cs="Times New Roman"/>
                      <w:color w:val="auto"/>
                      <w:sz w:val="21"/>
                      <w:szCs w:val="21"/>
                    </w:rPr>
                    <w:t>排水实行雨污分流制。雨水排入市政雨水管网；车间地面冲洗废水、设备冲洗废水和车辆冲洗废水含有残留的厨余垃圾，随餐厨垃圾一起处理，</w:t>
                  </w:r>
                  <w:r>
                    <w:rPr>
                      <w:rFonts w:hint="eastAsia" w:ascii="Times New Roman" w:hAnsi="Times New Roman" w:eastAsia="宋体" w:cs="Times New Roman"/>
                      <w:color w:val="auto"/>
                      <w:sz w:val="21"/>
                      <w:szCs w:val="21"/>
                      <w:lang w:eastAsia="zh-CN"/>
                    </w:rPr>
                    <w:t>经化粪池收集的生活污水、初期雨水</w:t>
                  </w:r>
                  <w:r>
                    <w:rPr>
                      <w:rFonts w:hint="eastAsia" w:cs="Times New Roman"/>
                      <w:color w:val="auto"/>
                      <w:sz w:val="21"/>
                      <w:szCs w:val="21"/>
                      <w:lang w:eastAsia="zh-CN"/>
                    </w:rPr>
                    <w:t>、循环冷却排水和高浓废水（三相离心废水（含沉降罐沥水）、喷淋废水）</w:t>
                  </w:r>
                  <w:r>
                    <w:rPr>
                      <w:rFonts w:hint="eastAsia" w:ascii="Times New Roman" w:hAnsi="Times New Roman" w:eastAsia="宋体" w:cs="Times New Roman"/>
                      <w:color w:val="auto"/>
                      <w:sz w:val="21"/>
                      <w:szCs w:val="21"/>
                      <w:lang w:eastAsia="zh-CN"/>
                    </w:rPr>
                    <w:t>通过新建管道</w:t>
                  </w:r>
                  <w:r>
                    <w:rPr>
                      <w:rFonts w:hint="eastAsia" w:cs="Times New Roman"/>
                      <w:color w:val="auto"/>
                      <w:sz w:val="21"/>
                      <w:szCs w:val="21"/>
                      <w:lang w:val="en-US" w:eastAsia="zh-CN"/>
                    </w:rPr>
                    <w:t>输送</w:t>
                  </w:r>
                  <w:r>
                    <w:rPr>
                      <w:rFonts w:hint="eastAsia" w:ascii="Times New Roman" w:hAnsi="Times New Roman" w:eastAsia="宋体" w:cs="Times New Roman"/>
                      <w:color w:val="auto"/>
                      <w:sz w:val="21"/>
                      <w:szCs w:val="21"/>
                      <w:lang w:val="en-US" w:eastAsia="zh-CN"/>
                    </w:rPr>
                    <w:t>至池州中器环保科技有限公司的污水处理设施进行处理。中器环保高浓废水处理量为480</w:t>
                  </w:r>
                  <w:r>
                    <w:rPr>
                      <w:rFonts w:hint="default" w:ascii="Times New Roman" w:hAnsi="Times New Roman" w:eastAsia="宋体" w:cs="Times New Roman"/>
                      <w:color w:val="auto"/>
                      <w:sz w:val="21"/>
                      <w:szCs w:val="21"/>
                      <w:lang w:val="en-US" w:eastAsia="zh-CN"/>
                    </w:rPr>
                    <w:t>m</w:t>
                  </w:r>
                  <w:r>
                    <w:rPr>
                      <w:rFonts w:hint="default" w:ascii="Times New Roman" w:hAnsi="Times New Roman" w:eastAsia="宋体" w:cs="Times New Roman"/>
                      <w:color w:val="auto"/>
                      <w:sz w:val="21"/>
                      <w:szCs w:val="21"/>
                      <w:vertAlign w:val="superscript"/>
                      <w:lang w:val="en-US" w:eastAsia="zh-CN"/>
                    </w:rPr>
                    <w:t>3</w:t>
                  </w:r>
                  <w:r>
                    <w:rPr>
                      <w:rFonts w:hint="default" w:ascii="Times New Roman" w:hAnsi="Times New Roman" w:eastAsia="宋体" w:cs="Times New Roman"/>
                      <w:color w:val="auto"/>
                      <w:sz w:val="21"/>
                      <w:szCs w:val="21"/>
                      <w:lang w:val="en-US" w:eastAsia="zh-CN"/>
                    </w:rPr>
                    <w:t xml:space="preserve"> /d</w:t>
                  </w:r>
                  <w:r>
                    <w:rPr>
                      <w:rFonts w:hint="eastAsia" w:ascii="Times New Roman" w:hAnsi="Times New Roman" w:eastAsia="宋体" w:cs="Times New Roman"/>
                      <w:color w:val="auto"/>
                      <w:sz w:val="21"/>
                      <w:szCs w:val="21"/>
                      <w:lang w:val="en-US" w:eastAsia="zh-CN"/>
                    </w:rPr>
                    <w:t>，目前中器环保的高浓度废水处理量为434.64</w:t>
                  </w:r>
                  <w:r>
                    <w:rPr>
                      <w:rFonts w:hint="default" w:ascii="Times New Roman" w:hAnsi="Times New Roman" w:eastAsia="宋体" w:cs="Times New Roman"/>
                      <w:color w:val="auto"/>
                      <w:sz w:val="21"/>
                      <w:szCs w:val="21"/>
                      <w:lang w:val="en-US" w:eastAsia="zh-CN"/>
                    </w:rPr>
                    <w:t>m</w:t>
                  </w:r>
                  <w:r>
                    <w:rPr>
                      <w:rFonts w:hint="default" w:ascii="Times New Roman" w:hAnsi="Times New Roman" w:eastAsia="宋体" w:cs="Times New Roman"/>
                      <w:color w:val="auto"/>
                      <w:sz w:val="21"/>
                      <w:szCs w:val="21"/>
                      <w:vertAlign w:val="superscript"/>
                      <w:lang w:val="en-US" w:eastAsia="zh-CN"/>
                    </w:rPr>
                    <w:t>3</w:t>
                  </w:r>
                  <w:r>
                    <w:rPr>
                      <w:rFonts w:hint="default" w:ascii="Times New Roman" w:hAnsi="Times New Roman" w:eastAsia="宋体" w:cs="Times New Roman"/>
                      <w:color w:val="auto"/>
                      <w:sz w:val="21"/>
                      <w:szCs w:val="21"/>
                      <w:lang w:val="en-US" w:eastAsia="zh-CN"/>
                    </w:rPr>
                    <w:t xml:space="preserve"> /d</w:t>
                  </w:r>
                  <w:r>
                    <w:rPr>
                      <w:rFonts w:hint="eastAsia" w:ascii="Times New Roman" w:hAnsi="Times New Roman" w:eastAsia="宋体" w:cs="Times New Roman"/>
                      <w:color w:val="auto"/>
                      <w:sz w:val="21"/>
                      <w:szCs w:val="21"/>
                      <w:lang w:val="en-US" w:eastAsia="zh-CN"/>
                    </w:rPr>
                    <w:t>，剩余处理量为45.36m³/d，本项目废水产生量为</w:t>
                  </w:r>
                  <w:r>
                    <w:rPr>
                      <w:rFonts w:hint="eastAsia" w:cs="Times New Roman"/>
                      <w:color w:val="auto"/>
                      <w:sz w:val="21"/>
                      <w:szCs w:val="21"/>
                      <w:lang w:val="en-US" w:eastAsia="zh-CN"/>
                    </w:rPr>
                    <w:t>30.326</w:t>
                  </w:r>
                  <w:r>
                    <w:rPr>
                      <w:rFonts w:hint="eastAsia" w:ascii="Times New Roman" w:hAnsi="Times New Roman" w:eastAsia="宋体" w:cs="Times New Roman"/>
                      <w:color w:val="auto"/>
                      <w:sz w:val="21"/>
                      <w:szCs w:val="21"/>
                      <w:lang w:val="en-US" w:eastAsia="zh-CN"/>
                    </w:rPr>
                    <w:t>m³/d，满足剩余处理量</w:t>
                  </w:r>
                  <w:r>
                    <w:rPr>
                      <w:rFonts w:hint="eastAsia" w:cs="Times New Roman"/>
                      <w:color w:val="auto"/>
                      <w:sz w:val="21"/>
                      <w:szCs w:val="21"/>
                      <w:lang w:val="en-US" w:eastAsia="zh-CN"/>
                    </w:rPr>
                    <w:t>。</w:t>
                  </w:r>
                </w:p>
              </w:tc>
              <w:tc>
                <w:tcPr>
                  <w:tcW w:w="632" w:type="pct"/>
                  <w:vAlign w:val="center"/>
                </w:tcPr>
                <w:p w14:paraId="158840A4">
                  <w:pPr>
                    <w:pStyle w:val="2"/>
                    <w:adjustRightInd w:val="0"/>
                    <w:snapToGrid w:val="0"/>
                    <w:spacing w:after="0"/>
                    <w:ind w:left="0" w:leftChars="0" w:firstLine="0" w:firstLineChars="0"/>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新建污水管网，依托中器环保污水处理设施</w:t>
                  </w:r>
                </w:p>
              </w:tc>
            </w:tr>
            <w:tr w14:paraId="7232F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pct"/>
                  <w:vMerge w:val="continue"/>
                  <w:vAlign w:val="center"/>
                </w:tcPr>
                <w:p w14:paraId="46763D32">
                  <w:pPr>
                    <w:pStyle w:val="2"/>
                    <w:adjustRightInd w:val="0"/>
                    <w:snapToGrid w:val="0"/>
                    <w:spacing w:after="0"/>
                    <w:ind w:left="0" w:leftChars="0" w:firstLine="0" w:firstLineChars="0"/>
                    <w:jc w:val="center"/>
                    <w:rPr>
                      <w:color w:val="auto"/>
                      <w:sz w:val="21"/>
                      <w:szCs w:val="21"/>
                    </w:rPr>
                  </w:pPr>
                </w:p>
              </w:tc>
              <w:tc>
                <w:tcPr>
                  <w:tcW w:w="1055" w:type="pct"/>
                  <w:vAlign w:val="center"/>
                </w:tcPr>
                <w:p w14:paraId="53FDED31">
                  <w:pPr>
                    <w:pStyle w:val="2"/>
                    <w:adjustRightInd w:val="0"/>
                    <w:snapToGrid w:val="0"/>
                    <w:spacing w:after="0"/>
                    <w:ind w:left="0" w:leftChars="0" w:firstLine="0" w:firstLineChars="0"/>
                    <w:jc w:val="center"/>
                    <w:rPr>
                      <w:rFonts w:hint="eastAsia" w:ascii="Times New Roman" w:hAnsi="Times New Roman" w:eastAsia="宋体" w:cs="Times New Roman"/>
                      <w:color w:val="auto"/>
                      <w:sz w:val="21"/>
                      <w:szCs w:val="21"/>
                      <w:lang w:val="zh-CN" w:eastAsia="zh-CN"/>
                    </w:rPr>
                  </w:pPr>
                  <w:r>
                    <w:rPr>
                      <w:rFonts w:hint="eastAsia" w:ascii="Times New Roman" w:hAnsi="Times New Roman" w:eastAsia="宋体" w:cs="Times New Roman"/>
                      <w:color w:val="auto"/>
                      <w:sz w:val="21"/>
                      <w:szCs w:val="21"/>
                      <w:lang w:val="zh-CN" w:eastAsia="zh-CN"/>
                    </w:rPr>
                    <w:t>废气处理</w:t>
                  </w:r>
                </w:p>
              </w:tc>
              <w:tc>
                <w:tcPr>
                  <w:tcW w:w="2688" w:type="pct"/>
                  <w:vAlign w:val="center"/>
                </w:tcPr>
                <w:p w14:paraId="5B02B03A">
                  <w:pPr>
                    <w:pStyle w:val="2"/>
                    <w:adjustRightInd w:val="0"/>
                    <w:snapToGrid w:val="0"/>
                    <w:spacing w:after="0"/>
                    <w:ind w:left="0" w:leftChars="0" w:firstLine="0" w:firstLineChars="0"/>
                    <w:jc w:val="center"/>
                    <w:rPr>
                      <w:rFonts w:hint="eastAsia" w:ascii="Times New Roman" w:hAnsi="Times New Roman" w:eastAsia="宋体" w:cs="Times New Roman"/>
                      <w:color w:val="auto"/>
                      <w:sz w:val="21"/>
                      <w:szCs w:val="21"/>
                      <w:lang w:val="zh-CN" w:eastAsia="zh-CN"/>
                    </w:rPr>
                  </w:pPr>
                  <w:r>
                    <w:rPr>
                      <w:rFonts w:hint="eastAsia" w:ascii="Times New Roman" w:hAnsi="Times New Roman" w:eastAsia="宋体" w:cs="Times New Roman"/>
                      <w:color w:val="auto"/>
                      <w:sz w:val="21"/>
                      <w:szCs w:val="21"/>
                      <w:lang w:val="zh-CN" w:eastAsia="zh-CN"/>
                    </w:rPr>
                    <w:t>生产车间</w:t>
                  </w:r>
                  <w:r>
                    <w:rPr>
                      <w:rFonts w:hint="eastAsia" w:ascii="Times New Roman" w:hAnsi="Times New Roman" w:eastAsia="宋体" w:cs="Times New Roman"/>
                      <w:color w:val="auto"/>
                      <w:sz w:val="21"/>
                      <w:szCs w:val="21"/>
                      <w:lang w:val="en-US" w:eastAsia="zh-CN"/>
                    </w:rPr>
                    <w:t>加热罐、三相分离设备的废气经过油雾净化器处理</w:t>
                  </w:r>
                  <w:r>
                    <w:rPr>
                      <w:rFonts w:hint="eastAsia" w:cs="Times New Roman"/>
                      <w:color w:val="auto"/>
                      <w:sz w:val="21"/>
                      <w:szCs w:val="21"/>
                      <w:lang w:val="en-US" w:eastAsia="zh-CN"/>
                    </w:rPr>
                    <w:t>+</w:t>
                  </w:r>
                  <w:r>
                    <w:rPr>
                      <w:rFonts w:hint="eastAsia" w:ascii="Times New Roman" w:hAnsi="Times New Roman" w:eastAsia="宋体" w:cs="Times New Roman"/>
                      <w:color w:val="auto"/>
                      <w:sz w:val="21"/>
                      <w:szCs w:val="21"/>
                      <w:lang w:val="en-US" w:eastAsia="zh-CN"/>
                    </w:rPr>
                    <w:t>管式热交换器处理后、汇同车间其他废气、储罐废气一起进入酸洗+碱洗+次氯酸钠洗</w:t>
                  </w:r>
                  <w:r>
                    <w:rPr>
                      <w:rFonts w:hint="eastAsia" w:cs="Times New Roman"/>
                      <w:color w:val="auto"/>
                      <w:sz w:val="21"/>
                      <w:szCs w:val="21"/>
                      <w:lang w:val="en-US" w:eastAsia="zh-CN"/>
                    </w:rPr>
                    <w:t>+</w:t>
                  </w:r>
                  <w:r>
                    <w:rPr>
                      <w:rFonts w:hint="eastAsia" w:ascii="Times New Roman" w:hAnsi="Times New Roman" w:eastAsia="宋体" w:cs="Times New Roman"/>
                      <w:color w:val="auto"/>
                      <w:sz w:val="21"/>
                      <w:szCs w:val="21"/>
                      <w:lang w:val="en-US" w:eastAsia="zh-CN"/>
                    </w:rPr>
                    <w:t>干式过滤器+</w:t>
                  </w:r>
                  <w:r>
                    <w:rPr>
                      <w:rFonts w:hint="eastAsia" w:cs="Times New Roman"/>
                      <w:color w:val="auto"/>
                      <w:sz w:val="21"/>
                      <w:szCs w:val="21"/>
                      <w:lang w:val="en-US" w:eastAsia="zh-CN"/>
                    </w:rPr>
                    <w:t>一</w:t>
                  </w:r>
                  <w:r>
                    <w:rPr>
                      <w:rFonts w:hint="eastAsia" w:ascii="Times New Roman" w:hAnsi="Times New Roman" w:eastAsia="宋体" w:cs="Times New Roman"/>
                      <w:color w:val="auto"/>
                      <w:sz w:val="21"/>
                      <w:szCs w:val="21"/>
                      <w:lang w:val="en-US" w:eastAsia="zh-CN"/>
                    </w:rPr>
                    <w:t>级活性炭处理，通过排气筒（15m）排放（编号：DA001）</w:t>
                  </w:r>
                  <w:r>
                    <w:rPr>
                      <w:rFonts w:hint="eastAsia" w:cs="Times New Roman"/>
                      <w:color w:val="auto"/>
                      <w:sz w:val="21"/>
                      <w:szCs w:val="21"/>
                      <w:lang w:val="en-US" w:eastAsia="zh-CN"/>
                    </w:rPr>
                    <w:t>排</w:t>
                  </w:r>
                  <w:r>
                    <w:rPr>
                      <w:rFonts w:hint="eastAsia" w:ascii="Times New Roman" w:hAnsi="Times New Roman" w:eastAsia="宋体" w:cs="Times New Roman"/>
                      <w:color w:val="auto"/>
                      <w:sz w:val="21"/>
                      <w:szCs w:val="21"/>
                      <w:lang w:val="zh-CN" w:eastAsia="zh-CN"/>
                    </w:rPr>
                    <w:t>放</w:t>
                  </w:r>
                </w:p>
              </w:tc>
              <w:tc>
                <w:tcPr>
                  <w:tcW w:w="632" w:type="pct"/>
                  <w:vAlign w:val="center"/>
                </w:tcPr>
                <w:p w14:paraId="0D6F7738">
                  <w:pPr>
                    <w:jc w:val="center"/>
                    <w:rPr>
                      <w:rFonts w:hint="eastAsia" w:eastAsia="宋体"/>
                      <w:color w:val="auto"/>
                      <w:sz w:val="21"/>
                      <w:szCs w:val="21"/>
                      <w:lang w:eastAsia="zh-CN"/>
                    </w:rPr>
                  </w:pPr>
                  <w:r>
                    <w:rPr>
                      <w:rFonts w:hint="eastAsia"/>
                      <w:color w:val="auto"/>
                      <w:sz w:val="21"/>
                      <w:szCs w:val="21"/>
                      <w:lang w:eastAsia="zh-CN"/>
                    </w:rPr>
                    <w:t>新建</w:t>
                  </w:r>
                </w:p>
              </w:tc>
            </w:tr>
            <w:tr w14:paraId="5C7A2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pct"/>
                  <w:vMerge w:val="continue"/>
                  <w:vAlign w:val="center"/>
                </w:tcPr>
                <w:p w14:paraId="367B265E">
                  <w:pPr>
                    <w:pStyle w:val="2"/>
                    <w:adjustRightInd w:val="0"/>
                    <w:snapToGrid w:val="0"/>
                    <w:spacing w:after="0"/>
                    <w:ind w:left="0" w:leftChars="0" w:firstLine="0" w:firstLineChars="0"/>
                    <w:jc w:val="center"/>
                    <w:rPr>
                      <w:color w:val="auto"/>
                      <w:sz w:val="21"/>
                      <w:szCs w:val="21"/>
                    </w:rPr>
                  </w:pPr>
                </w:p>
              </w:tc>
              <w:tc>
                <w:tcPr>
                  <w:tcW w:w="1055" w:type="pct"/>
                  <w:vAlign w:val="center"/>
                </w:tcPr>
                <w:p w14:paraId="221B6B50">
                  <w:pPr>
                    <w:pStyle w:val="2"/>
                    <w:adjustRightInd w:val="0"/>
                    <w:snapToGrid w:val="0"/>
                    <w:spacing w:after="0"/>
                    <w:ind w:left="0" w:leftChars="0" w:firstLine="0" w:firstLineChars="0"/>
                    <w:jc w:val="center"/>
                    <w:rPr>
                      <w:color w:val="auto"/>
                      <w:sz w:val="21"/>
                      <w:szCs w:val="21"/>
                      <w:lang w:val="zh-CN"/>
                    </w:rPr>
                  </w:pPr>
                  <w:r>
                    <w:rPr>
                      <w:color w:val="auto"/>
                      <w:sz w:val="21"/>
                      <w:szCs w:val="21"/>
                      <w:lang w:val="zh-CN"/>
                    </w:rPr>
                    <w:t>噪声处理</w:t>
                  </w:r>
                </w:p>
              </w:tc>
              <w:tc>
                <w:tcPr>
                  <w:tcW w:w="2688" w:type="pct"/>
                  <w:vAlign w:val="center"/>
                </w:tcPr>
                <w:p w14:paraId="3F732DE1">
                  <w:pPr>
                    <w:adjustRightInd w:val="0"/>
                    <w:snapToGrid w:val="0"/>
                    <w:jc w:val="center"/>
                    <w:rPr>
                      <w:color w:val="auto"/>
                      <w:sz w:val="21"/>
                      <w:szCs w:val="21"/>
                    </w:rPr>
                  </w:pPr>
                  <w:r>
                    <w:rPr>
                      <w:color w:val="auto"/>
                      <w:sz w:val="21"/>
                      <w:szCs w:val="21"/>
                    </w:rPr>
                    <w:t>基础减振，厂房门窗隔声，高噪设备设独立操作间</w:t>
                  </w:r>
                </w:p>
              </w:tc>
              <w:tc>
                <w:tcPr>
                  <w:tcW w:w="632" w:type="pct"/>
                  <w:vAlign w:val="center"/>
                </w:tcPr>
                <w:p w14:paraId="76A9DD6D">
                  <w:pPr>
                    <w:adjustRightInd w:val="0"/>
                    <w:snapToGrid w:val="0"/>
                    <w:jc w:val="center"/>
                    <w:rPr>
                      <w:color w:val="auto"/>
                      <w:sz w:val="21"/>
                      <w:szCs w:val="21"/>
                    </w:rPr>
                  </w:pPr>
                  <w:r>
                    <w:rPr>
                      <w:rFonts w:hint="eastAsia"/>
                      <w:color w:val="auto"/>
                      <w:sz w:val="21"/>
                      <w:szCs w:val="21"/>
                    </w:rPr>
                    <w:t>新建</w:t>
                  </w:r>
                </w:p>
              </w:tc>
            </w:tr>
            <w:tr w14:paraId="5E193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pct"/>
                  <w:vMerge w:val="continue"/>
                  <w:vAlign w:val="center"/>
                </w:tcPr>
                <w:p w14:paraId="0D738F92">
                  <w:pPr>
                    <w:pStyle w:val="2"/>
                    <w:adjustRightInd w:val="0"/>
                    <w:snapToGrid w:val="0"/>
                    <w:spacing w:after="0"/>
                    <w:ind w:left="0" w:leftChars="0" w:firstLine="0" w:firstLineChars="0"/>
                    <w:jc w:val="center"/>
                    <w:rPr>
                      <w:color w:val="auto"/>
                      <w:sz w:val="21"/>
                      <w:szCs w:val="21"/>
                      <w:lang w:val="zh-CN"/>
                    </w:rPr>
                  </w:pPr>
                </w:p>
              </w:tc>
              <w:tc>
                <w:tcPr>
                  <w:tcW w:w="1055" w:type="pct"/>
                  <w:vAlign w:val="center"/>
                </w:tcPr>
                <w:p w14:paraId="7D7ECF51">
                  <w:pPr>
                    <w:pStyle w:val="2"/>
                    <w:adjustRightInd w:val="0"/>
                    <w:snapToGrid w:val="0"/>
                    <w:spacing w:after="0"/>
                    <w:ind w:left="0" w:leftChars="0" w:firstLine="0" w:firstLineChars="0"/>
                    <w:jc w:val="center"/>
                    <w:rPr>
                      <w:color w:val="auto"/>
                      <w:sz w:val="21"/>
                      <w:szCs w:val="21"/>
                      <w:lang w:val="zh-CN"/>
                    </w:rPr>
                  </w:pPr>
                  <w:r>
                    <w:rPr>
                      <w:color w:val="auto"/>
                      <w:sz w:val="21"/>
                      <w:szCs w:val="21"/>
                      <w:lang w:val="zh-CN"/>
                    </w:rPr>
                    <w:t>固体废物处理</w:t>
                  </w:r>
                </w:p>
              </w:tc>
              <w:tc>
                <w:tcPr>
                  <w:tcW w:w="2688" w:type="pct"/>
                  <w:vAlign w:val="center"/>
                </w:tcPr>
                <w:p w14:paraId="468AE2EE">
                  <w:pPr>
                    <w:pStyle w:val="2"/>
                    <w:adjustRightInd w:val="0"/>
                    <w:snapToGrid w:val="0"/>
                    <w:spacing w:after="0"/>
                    <w:ind w:left="0" w:leftChars="0" w:firstLine="0" w:firstLineChars="0"/>
                    <w:jc w:val="center"/>
                    <w:rPr>
                      <w:color w:val="auto"/>
                      <w:sz w:val="21"/>
                      <w:szCs w:val="21"/>
                      <w:lang w:val="zh-CN"/>
                    </w:rPr>
                  </w:pPr>
                  <w:r>
                    <w:rPr>
                      <w:color w:val="auto"/>
                      <w:sz w:val="21"/>
                      <w:szCs w:val="21"/>
                      <w:lang w:val="zh-CN"/>
                    </w:rPr>
                    <w:t>生活垃圾由环卫部门统一清运、处置</w:t>
                  </w:r>
                  <w:r>
                    <w:rPr>
                      <w:rFonts w:hint="eastAsia"/>
                      <w:color w:val="auto"/>
                      <w:sz w:val="21"/>
                      <w:szCs w:val="21"/>
                      <w:lang w:val="zh-CN"/>
                    </w:rPr>
                    <w:t>；</w:t>
                  </w:r>
                  <w:r>
                    <w:rPr>
                      <w:rFonts w:hint="eastAsia"/>
                      <w:color w:val="auto"/>
                      <w:sz w:val="21"/>
                      <w:szCs w:val="21"/>
                      <w:lang w:val="zh-CN" w:eastAsia="zh-CN"/>
                    </w:rPr>
                    <w:t>固渣利用移动式出渣箱收集后通过专用密闭运输车辆送至东至海创环境科技有限公司进行处理，不另设暂存区</w:t>
                  </w:r>
                  <w:r>
                    <w:rPr>
                      <w:color w:val="auto"/>
                      <w:sz w:val="21"/>
                      <w:szCs w:val="21"/>
                      <w:lang w:val="zh-CN"/>
                    </w:rPr>
                    <w:t>；废</w:t>
                  </w:r>
                  <w:r>
                    <w:rPr>
                      <w:rFonts w:hint="eastAsia"/>
                      <w:color w:val="auto"/>
                      <w:sz w:val="21"/>
                      <w:szCs w:val="21"/>
                      <w:lang w:val="zh-CN" w:eastAsia="zh-CN"/>
                    </w:rPr>
                    <w:t>化学药剂包装物、废润滑油和废含油抹布和手套、废活性炭</w:t>
                  </w:r>
                  <w:r>
                    <w:rPr>
                      <w:color w:val="auto"/>
                      <w:sz w:val="21"/>
                      <w:szCs w:val="21"/>
                      <w:lang w:val="zh-CN"/>
                    </w:rPr>
                    <w:t>等</w:t>
                  </w:r>
                  <w:r>
                    <w:rPr>
                      <w:rFonts w:hint="eastAsia"/>
                      <w:color w:val="auto"/>
                      <w:sz w:val="21"/>
                      <w:szCs w:val="21"/>
                      <w:lang w:val="zh-CN"/>
                    </w:rPr>
                    <w:t>危险废物</w:t>
                  </w:r>
                  <w:r>
                    <w:rPr>
                      <w:color w:val="auto"/>
                      <w:sz w:val="21"/>
                      <w:szCs w:val="21"/>
                      <w:lang w:val="zh-CN"/>
                    </w:rPr>
                    <w:t>分类收集在</w:t>
                  </w:r>
                  <w:r>
                    <w:rPr>
                      <w:rFonts w:hint="eastAsia"/>
                      <w:color w:val="auto"/>
                      <w:sz w:val="21"/>
                      <w:szCs w:val="21"/>
                      <w:lang w:val="zh-CN"/>
                    </w:rPr>
                    <w:t>厂区</w:t>
                  </w:r>
                  <w:r>
                    <w:rPr>
                      <w:rFonts w:hint="eastAsia"/>
                      <w:color w:val="auto"/>
                      <w:sz w:val="21"/>
                      <w:szCs w:val="21"/>
                      <w:lang w:val="zh-CN" w:eastAsia="zh-CN"/>
                    </w:rPr>
                    <w:t>丙类仓库的</w:t>
                  </w:r>
                  <w:r>
                    <w:rPr>
                      <w:rFonts w:hint="eastAsia"/>
                      <w:color w:val="auto"/>
                      <w:sz w:val="21"/>
                      <w:szCs w:val="21"/>
                      <w:lang w:val="zh-CN"/>
                    </w:rPr>
                    <w:t>危废暂存间</w:t>
                  </w:r>
                  <w:r>
                    <w:rPr>
                      <w:rFonts w:hint="eastAsia"/>
                      <w:color w:val="auto"/>
                      <w:sz w:val="21"/>
                      <w:szCs w:val="21"/>
                      <w:lang w:val="zh-CN" w:eastAsia="zh-CN"/>
                    </w:rPr>
                    <w:t>（</w:t>
                  </w:r>
                  <w:r>
                    <w:rPr>
                      <w:rFonts w:hint="eastAsia"/>
                      <w:color w:val="auto"/>
                      <w:sz w:val="21"/>
                      <w:szCs w:val="21"/>
                      <w:lang w:val="en-US" w:eastAsia="zh-CN"/>
                    </w:rPr>
                    <w:t>25平方米）</w:t>
                  </w:r>
                  <w:r>
                    <w:rPr>
                      <w:rFonts w:hint="eastAsia"/>
                      <w:color w:val="auto"/>
                      <w:sz w:val="21"/>
                      <w:szCs w:val="21"/>
                      <w:lang w:val="zh-CN"/>
                    </w:rPr>
                    <w:t>暂存后定期委</w:t>
                  </w:r>
                  <w:r>
                    <w:rPr>
                      <w:color w:val="auto"/>
                      <w:sz w:val="21"/>
                      <w:szCs w:val="21"/>
                      <w:lang w:val="zh-CN"/>
                    </w:rPr>
                    <w:t>托有资质单位处置</w:t>
                  </w:r>
                </w:p>
              </w:tc>
              <w:tc>
                <w:tcPr>
                  <w:tcW w:w="632" w:type="pct"/>
                  <w:vAlign w:val="center"/>
                </w:tcPr>
                <w:p w14:paraId="111323B7">
                  <w:pPr>
                    <w:adjustRightInd w:val="0"/>
                    <w:snapToGrid w:val="0"/>
                    <w:jc w:val="center"/>
                    <w:rPr>
                      <w:color w:val="auto"/>
                      <w:sz w:val="21"/>
                      <w:szCs w:val="21"/>
                    </w:rPr>
                  </w:pPr>
                  <w:r>
                    <w:rPr>
                      <w:rFonts w:hint="eastAsia"/>
                      <w:color w:val="auto"/>
                      <w:sz w:val="21"/>
                      <w:szCs w:val="21"/>
                    </w:rPr>
                    <w:t>新建</w:t>
                  </w:r>
                </w:p>
              </w:tc>
            </w:tr>
            <w:tr w14:paraId="02D5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pct"/>
                  <w:vMerge w:val="continue"/>
                  <w:vAlign w:val="center"/>
                </w:tcPr>
                <w:p w14:paraId="2B35037C">
                  <w:pPr>
                    <w:pStyle w:val="2"/>
                    <w:adjustRightInd w:val="0"/>
                    <w:snapToGrid w:val="0"/>
                    <w:spacing w:after="0"/>
                    <w:ind w:left="0" w:leftChars="0" w:firstLine="0" w:firstLineChars="0"/>
                    <w:jc w:val="center"/>
                    <w:rPr>
                      <w:color w:val="auto"/>
                      <w:sz w:val="21"/>
                      <w:szCs w:val="21"/>
                      <w:lang w:val="zh-CN"/>
                    </w:rPr>
                  </w:pPr>
                </w:p>
              </w:tc>
              <w:tc>
                <w:tcPr>
                  <w:tcW w:w="1055" w:type="pct"/>
                  <w:vAlign w:val="center"/>
                </w:tcPr>
                <w:p w14:paraId="2D030F69">
                  <w:pPr>
                    <w:pStyle w:val="2"/>
                    <w:adjustRightInd w:val="0"/>
                    <w:snapToGrid w:val="0"/>
                    <w:spacing w:after="0"/>
                    <w:ind w:left="0" w:leftChars="0" w:firstLine="0" w:firstLineChars="0"/>
                    <w:jc w:val="center"/>
                    <w:rPr>
                      <w:color w:val="auto"/>
                      <w:sz w:val="21"/>
                      <w:szCs w:val="21"/>
                      <w:lang w:val="zh-CN"/>
                    </w:rPr>
                  </w:pPr>
                  <w:r>
                    <w:rPr>
                      <w:color w:val="auto"/>
                      <w:sz w:val="21"/>
                      <w:szCs w:val="21"/>
                      <w:lang w:val="zh-CN"/>
                    </w:rPr>
                    <w:t>地下水污染防治</w:t>
                  </w:r>
                </w:p>
              </w:tc>
              <w:tc>
                <w:tcPr>
                  <w:tcW w:w="2688" w:type="pct"/>
                  <w:vAlign w:val="center"/>
                </w:tcPr>
                <w:p w14:paraId="623760C6">
                  <w:pPr>
                    <w:adjustRightInd w:val="0"/>
                    <w:snapToGrid w:val="0"/>
                    <w:jc w:val="center"/>
                    <w:rPr>
                      <w:rFonts w:hint="default" w:eastAsia="宋体"/>
                      <w:color w:val="auto"/>
                      <w:sz w:val="21"/>
                      <w:szCs w:val="21"/>
                      <w:lang w:val="en-US" w:eastAsia="zh-CN"/>
                    </w:rPr>
                  </w:pPr>
                  <w:r>
                    <w:rPr>
                      <w:rFonts w:hint="eastAsia"/>
                      <w:color w:val="auto"/>
                      <w:sz w:val="21"/>
                      <w:szCs w:val="21"/>
                      <w:lang w:eastAsia="zh-CN"/>
                    </w:rPr>
                    <w:t>厂房一、储罐区、危废库等</w:t>
                  </w:r>
                  <w:r>
                    <w:rPr>
                      <w:color w:val="auto"/>
                      <w:sz w:val="21"/>
                      <w:szCs w:val="21"/>
                    </w:rPr>
                    <w:t>采取重点防渗措施（等效黏土防渗层Mb≥6.0m，渗透系数K≤10</w:t>
                  </w:r>
                  <w:r>
                    <w:rPr>
                      <w:color w:val="auto"/>
                      <w:sz w:val="21"/>
                      <w:szCs w:val="21"/>
                      <w:vertAlign w:val="superscript"/>
                    </w:rPr>
                    <w:t>-7</w:t>
                  </w:r>
                  <w:r>
                    <w:rPr>
                      <w:color w:val="auto"/>
                      <w:sz w:val="21"/>
                      <w:szCs w:val="21"/>
                    </w:rPr>
                    <w:t>cm/s</w:t>
                  </w:r>
                  <w:r>
                    <w:rPr>
                      <w:rStyle w:val="35"/>
                      <w:color w:val="auto"/>
                      <w:sz w:val="21"/>
                      <w:szCs w:val="21"/>
                    </w:rPr>
                    <w:t>）</w:t>
                  </w:r>
                  <w:r>
                    <w:rPr>
                      <w:rStyle w:val="35"/>
                      <w:rFonts w:hint="eastAsia"/>
                      <w:color w:val="auto"/>
                      <w:sz w:val="21"/>
                      <w:szCs w:val="21"/>
                      <w:lang w:eastAsia="zh-CN"/>
                    </w:rPr>
                    <w:t>。</w:t>
                  </w:r>
                  <w:r>
                    <w:rPr>
                      <w:rFonts w:hint="eastAsia"/>
                      <w:color w:val="auto"/>
                      <w:sz w:val="21"/>
                      <w:szCs w:val="21"/>
                      <w:lang w:eastAsia="zh-CN"/>
                    </w:rPr>
                    <w:t>围堰宽</w:t>
                  </w:r>
                  <w:r>
                    <w:rPr>
                      <w:rFonts w:hint="eastAsia"/>
                      <w:color w:val="auto"/>
                      <w:sz w:val="21"/>
                      <w:szCs w:val="21"/>
                      <w:lang w:val="en-US" w:eastAsia="zh-CN"/>
                    </w:rPr>
                    <w:t>100mm，高150mm.</w:t>
                  </w:r>
                </w:p>
              </w:tc>
              <w:tc>
                <w:tcPr>
                  <w:tcW w:w="632" w:type="pct"/>
                  <w:vAlign w:val="center"/>
                </w:tcPr>
                <w:p w14:paraId="301E9B04">
                  <w:pPr>
                    <w:adjustRightInd w:val="0"/>
                    <w:snapToGrid w:val="0"/>
                    <w:jc w:val="center"/>
                    <w:rPr>
                      <w:rFonts w:hint="eastAsia" w:eastAsia="宋体"/>
                      <w:color w:val="auto"/>
                      <w:sz w:val="21"/>
                      <w:szCs w:val="21"/>
                      <w:lang w:eastAsia="zh-CN"/>
                    </w:rPr>
                  </w:pPr>
                  <w:r>
                    <w:rPr>
                      <w:rFonts w:hint="eastAsia"/>
                      <w:color w:val="auto"/>
                      <w:sz w:val="21"/>
                      <w:szCs w:val="21"/>
                    </w:rPr>
                    <w:t>新建</w:t>
                  </w:r>
                </w:p>
              </w:tc>
            </w:tr>
            <w:tr w14:paraId="0169D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 w:type="pct"/>
                  <w:vMerge w:val="continue"/>
                  <w:vAlign w:val="center"/>
                </w:tcPr>
                <w:p w14:paraId="4243FE5C">
                  <w:pPr>
                    <w:pStyle w:val="2"/>
                    <w:adjustRightInd w:val="0"/>
                    <w:snapToGrid w:val="0"/>
                    <w:spacing w:after="0"/>
                    <w:ind w:left="0" w:leftChars="0" w:firstLine="0" w:firstLineChars="0"/>
                    <w:jc w:val="center"/>
                    <w:rPr>
                      <w:color w:val="auto"/>
                      <w:sz w:val="21"/>
                      <w:szCs w:val="21"/>
                      <w:lang w:val="zh-CN"/>
                    </w:rPr>
                  </w:pPr>
                </w:p>
              </w:tc>
              <w:tc>
                <w:tcPr>
                  <w:tcW w:w="1055" w:type="pct"/>
                  <w:vAlign w:val="center"/>
                </w:tcPr>
                <w:p w14:paraId="79AA478F">
                  <w:pPr>
                    <w:pStyle w:val="2"/>
                    <w:adjustRightInd w:val="0"/>
                    <w:snapToGrid w:val="0"/>
                    <w:spacing w:after="0"/>
                    <w:ind w:left="0" w:leftChars="0" w:firstLine="0" w:firstLineChars="0"/>
                    <w:jc w:val="center"/>
                    <w:rPr>
                      <w:color w:val="auto"/>
                      <w:sz w:val="21"/>
                      <w:szCs w:val="21"/>
                      <w:lang w:val="zh-CN"/>
                    </w:rPr>
                  </w:pPr>
                  <w:r>
                    <w:rPr>
                      <w:color w:val="auto"/>
                      <w:sz w:val="21"/>
                      <w:szCs w:val="21"/>
                      <w:lang w:val="zh-CN"/>
                    </w:rPr>
                    <w:t>环境风险防范</w:t>
                  </w:r>
                </w:p>
              </w:tc>
              <w:tc>
                <w:tcPr>
                  <w:tcW w:w="2688" w:type="pct"/>
                  <w:vAlign w:val="center"/>
                </w:tcPr>
                <w:p w14:paraId="00CA494F">
                  <w:pPr>
                    <w:jc w:val="center"/>
                    <w:rPr>
                      <w:rFonts w:hint="default" w:eastAsia="宋体"/>
                      <w:color w:val="auto"/>
                      <w:sz w:val="21"/>
                      <w:szCs w:val="21"/>
                      <w:lang w:val="en-US" w:eastAsia="zh-CN"/>
                    </w:rPr>
                  </w:pPr>
                  <w:r>
                    <w:rPr>
                      <w:rFonts w:hint="eastAsia"/>
                      <w:color w:val="auto"/>
                      <w:lang w:eastAsia="zh-CN"/>
                    </w:rPr>
                    <w:t>罐区设置围堰，设置有</w:t>
                  </w:r>
                  <w:r>
                    <w:rPr>
                      <w:rFonts w:hint="eastAsia"/>
                      <w:color w:val="auto"/>
                      <w:lang w:val="en-US" w:eastAsia="zh-CN"/>
                    </w:rPr>
                    <w:t>2个200m³的地上储罐用于应急暂存厂区内三相分离后的废水；位于罐区设置有初期雨水池160m³</w:t>
                  </w:r>
                  <w:r>
                    <w:rPr>
                      <w:rFonts w:hint="eastAsia"/>
                      <w:color w:val="auto"/>
                      <w:lang w:eastAsia="zh-CN"/>
                    </w:rPr>
                    <w:t>（</w:t>
                  </w:r>
                  <w:r>
                    <w:rPr>
                      <w:rFonts w:hint="eastAsia"/>
                      <w:color w:val="auto"/>
                      <w:lang w:val="en-US" w:eastAsia="zh-CN"/>
                    </w:rPr>
                    <w:t>10*4*4m，兼作事故池</w:t>
                  </w:r>
                  <w:r>
                    <w:rPr>
                      <w:rFonts w:hint="eastAsia"/>
                      <w:color w:val="auto"/>
                      <w:lang w:eastAsia="zh-CN"/>
                    </w:rPr>
                    <w:t>）</w:t>
                  </w:r>
                  <w:r>
                    <w:rPr>
                      <w:rFonts w:hint="eastAsia"/>
                      <w:color w:val="auto"/>
                      <w:lang w:val="en-US" w:eastAsia="zh-CN"/>
                    </w:rPr>
                    <w:t>、事故池392m³(14.5*4*4+10*4*4)，均位于罐区南侧。</w:t>
                  </w:r>
                </w:p>
              </w:tc>
              <w:tc>
                <w:tcPr>
                  <w:tcW w:w="632" w:type="pct"/>
                  <w:vAlign w:val="center"/>
                </w:tcPr>
                <w:p w14:paraId="69CB1F1B">
                  <w:pPr>
                    <w:adjustRightInd w:val="0"/>
                    <w:snapToGrid w:val="0"/>
                    <w:jc w:val="center"/>
                    <w:rPr>
                      <w:color w:val="auto"/>
                      <w:sz w:val="21"/>
                      <w:szCs w:val="21"/>
                    </w:rPr>
                  </w:pPr>
                  <w:r>
                    <w:rPr>
                      <w:rFonts w:hint="eastAsia"/>
                      <w:color w:val="auto"/>
                      <w:sz w:val="21"/>
                      <w:szCs w:val="21"/>
                    </w:rPr>
                    <w:t>新建</w:t>
                  </w:r>
                </w:p>
              </w:tc>
            </w:tr>
          </w:tbl>
          <w:p w14:paraId="1B54F60C">
            <w:pPr>
              <w:adjustRightInd w:val="0"/>
              <w:snapToGrid w:val="0"/>
              <w:spacing w:line="240" w:lineRule="auto"/>
              <w:jc w:val="center"/>
              <w:rPr>
                <w:rFonts w:hint="eastAsia"/>
                <w:b/>
                <w:bCs/>
                <w:color w:val="auto"/>
                <w:sz w:val="21"/>
                <w:szCs w:val="21"/>
                <w:lang w:val="en-US" w:eastAsia="zh-CN"/>
              </w:rPr>
            </w:pPr>
            <w:r>
              <w:rPr>
                <w:rFonts w:hint="eastAsia"/>
                <w:b/>
                <w:bCs/>
                <w:color w:val="auto"/>
                <w:sz w:val="21"/>
                <w:szCs w:val="21"/>
                <w:lang w:eastAsia="zh-CN"/>
              </w:rPr>
              <w:t>表</w:t>
            </w:r>
            <w:r>
              <w:rPr>
                <w:rFonts w:hint="eastAsia"/>
                <w:b/>
                <w:bCs/>
                <w:color w:val="auto"/>
                <w:sz w:val="21"/>
                <w:szCs w:val="21"/>
                <w:lang w:val="en-US" w:eastAsia="zh-CN"/>
              </w:rPr>
              <w:t>2-2 依托东至海创环保科技有限公司可行性分析情况一览表</w:t>
            </w:r>
          </w:p>
          <w:tbl>
            <w:tblPr>
              <w:tblStyle w:val="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1931"/>
              <w:gridCol w:w="3591"/>
              <w:gridCol w:w="2100"/>
            </w:tblGrid>
            <w:tr w14:paraId="3D64F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459" w:type="pct"/>
                  <w:vAlign w:val="center"/>
                </w:tcPr>
                <w:p w14:paraId="54582F01">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default"/>
                      <w:b/>
                      <w:bCs/>
                      <w:color w:val="auto"/>
                      <w:sz w:val="21"/>
                      <w:szCs w:val="22"/>
                      <w:vertAlign w:val="baseline"/>
                      <w:lang w:val="en-US" w:eastAsia="zh-CN"/>
                    </w:rPr>
                  </w:pPr>
                  <w:r>
                    <w:rPr>
                      <w:rFonts w:hint="eastAsia"/>
                      <w:b/>
                      <w:bCs/>
                      <w:color w:val="auto"/>
                      <w:sz w:val="21"/>
                      <w:szCs w:val="22"/>
                      <w:vertAlign w:val="baseline"/>
                      <w:lang w:val="en-US" w:eastAsia="zh-CN"/>
                    </w:rPr>
                    <w:t>类别</w:t>
                  </w:r>
                </w:p>
              </w:tc>
              <w:tc>
                <w:tcPr>
                  <w:tcW w:w="1150" w:type="pct"/>
                  <w:vAlign w:val="center"/>
                </w:tcPr>
                <w:p w14:paraId="38C32DF1">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default"/>
                      <w:b/>
                      <w:bCs/>
                      <w:color w:val="auto"/>
                      <w:sz w:val="21"/>
                      <w:szCs w:val="22"/>
                      <w:vertAlign w:val="baseline"/>
                      <w:lang w:val="en-US" w:eastAsia="zh-CN"/>
                    </w:rPr>
                  </w:pPr>
                  <w:r>
                    <w:rPr>
                      <w:rFonts w:hint="eastAsia"/>
                      <w:b/>
                      <w:bCs/>
                      <w:color w:val="auto"/>
                      <w:sz w:val="21"/>
                      <w:szCs w:val="22"/>
                      <w:vertAlign w:val="baseline"/>
                      <w:lang w:val="en-US" w:eastAsia="zh-CN"/>
                    </w:rPr>
                    <w:t>本项目情况</w:t>
                  </w:r>
                </w:p>
              </w:tc>
              <w:tc>
                <w:tcPr>
                  <w:tcW w:w="2139" w:type="pct"/>
                  <w:vAlign w:val="center"/>
                </w:tcPr>
                <w:p w14:paraId="5EC6419C">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default"/>
                      <w:b/>
                      <w:bCs/>
                      <w:color w:val="auto"/>
                      <w:sz w:val="21"/>
                      <w:szCs w:val="22"/>
                      <w:vertAlign w:val="baseline"/>
                      <w:lang w:val="en-US" w:eastAsia="zh-CN"/>
                    </w:rPr>
                  </w:pPr>
                  <w:r>
                    <w:rPr>
                      <w:rFonts w:hint="eastAsia"/>
                      <w:b/>
                      <w:bCs/>
                      <w:color w:val="auto"/>
                      <w:sz w:val="21"/>
                      <w:szCs w:val="22"/>
                      <w:vertAlign w:val="baseline"/>
                      <w:lang w:val="en-US" w:eastAsia="zh-CN"/>
                    </w:rPr>
                    <w:t>海创情况</w:t>
                  </w:r>
                </w:p>
              </w:tc>
              <w:tc>
                <w:tcPr>
                  <w:tcW w:w="1251" w:type="pct"/>
                  <w:vAlign w:val="center"/>
                </w:tcPr>
                <w:p w14:paraId="04AC010A">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default"/>
                      <w:b/>
                      <w:bCs/>
                      <w:color w:val="auto"/>
                      <w:sz w:val="21"/>
                      <w:szCs w:val="22"/>
                      <w:vertAlign w:val="baseline"/>
                      <w:lang w:val="en-US" w:eastAsia="zh-CN"/>
                    </w:rPr>
                  </w:pPr>
                  <w:r>
                    <w:rPr>
                      <w:rFonts w:hint="eastAsia"/>
                      <w:b/>
                      <w:bCs/>
                      <w:color w:val="auto"/>
                      <w:sz w:val="21"/>
                      <w:szCs w:val="22"/>
                      <w:vertAlign w:val="baseline"/>
                      <w:lang w:val="en-US" w:eastAsia="zh-CN"/>
                    </w:rPr>
                    <w:t>依托是否可行</w:t>
                  </w:r>
                </w:p>
              </w:tc>
            </w:tr>
            <w:tr w14:paraId="4BD20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 w:type="pct"/>
                  <w:vAlign w:val="center"/>
                </w:tcPr>
                <w:p w14:paraId="0492AA63">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default"/>
                      <w:color w:val="auto"/>
                      <w:sz w:val="21"/>
                      <w:szCs w:val="21"/>
                      <w:vertAlign w:val="baseline"/>
                      <w:lang w:val="en-US" w:eastAsia="zh-CN"/>
                    </w:rPr>
                  </w:pPr>
                  <w:r>
                    <w:rPr>
                      <w:rFonts w:hint="eastAsia"/>
                      <w:color w:val="auto"/>
                      <w:sz w:val="21"/>
                      <w:szCs w:val="21"/>
                      <w:vertAlign w:val="baseline"/>
                      <w:lang w:val="en-US" w:eastAsia="zh-CN"/>
                    </w:rPr>
                    <w:t>蒸汽</w:t>
                  </w:r>
                </w:p>
              </w:tc>
              <w:tc>
                <w:tcPr>
                  <w:tcW w:w="1150" w:type="pct"/>
                  <w:vAlign w:val="center"/>
                </w:tcPr>
                <w:p w14:paraId="2421FA4F">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default"/>
                      <w:color w:val="auto"/>
                      <w:sz w:val="21"/>
                      <w:szCs w:val="21"/>
                      <w:vertAlign w:val="baseline"/>
                      <w:lang w:val="en-US" w:eastAsia="zh-CN"/>
                    </w:rPr>
                  </w:pPr>
                  <w:r>
                    <w:rPr>
                      <w:rFonts w:hint="eastAsia"/>
                      <w:color w:val="auto"/>
                      <w:sz w:val="21"/>
                      <w:szCs w:val="21"/>
                      <w:vertAlign w:val="baseline"/>
                      <w:lang w:val="en-US" w:eastAsia="zh-CN"/>
                    </w:rPr>
                    <w:t>本项目蒸汽使用量为2.685t/d，886.2t/a。</w:t>
                  </w:r>
                </w:p>
              </w:tc>
              <w:tc>
                <w:tcPr>
                  <w:tcW w:w="2139" w:type="pct"/>
                  <w:vAlign w:val="center"/>
                </w:tcPr>
                <w:p w14:paraId="0B3AA710">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default" w:eastAsia="宋体"/>
                      <w:color w:val="auto"/>
                      <w:sz w:val="21"/>
                      <w:szCs w:val="21"/>
                      <w:vertAlign w:val="baseline"/>
                      <w:lang w:val="en-US" w:eastAsia="zh-CN"/>
                    </w:rPr>
                  </w:pPr>
                  <w:r>
                    <w:rPr>
                      <w:rFonts w:hint="eastAsia"/>
                      <w:color w:val="auto"/>
                      <w:sz w:val="21"/>
                      <w:szCs w:val="21"/>
                      <w:vertAlign w:val="baseline"/>
                      <w:lang w:val="en-US" w:eastAsia="zh-CN"/>
                    </w:rPr>
                    <w:t>海创锅炉额定产生蒸汽量为33.6t/h，厂区自用9t/h用于汽轮机发电</w:t>
                  </w:r>
                </w:p>
              </w:tc>
              <w:tc>
                <w:tcPr>
                  <w:tcW w:w="1251" w:type="pct"/>
                  <w:vAlign w:val="center"/>
                </w:tcPr>
                <w:p w14:paraId="1C6784BE">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default"/>
                      <w:color w:val="auto"/>
                      <w:sz w:val="21"/>
                      <w:szCs w:val="21"/>
                      <w:vertAlign w:val="baseline"/>
                      <w:lang w:val="en-US" w:eastAsia="zh-CN"/>
                    </w:rPr>
                  </w:pPr>
                  <w:r>
                    <w:rPr>
                      <w:rFonts w:hint="eastAsia"/>
                      <w:color w:val="auto"/>
                      <w:sz w:val="21"/>
                      <w:szCs w:val="21"/>
                      <w:vertAlign w:val="baseline"/>
                      <w:lang w:val="en-US" w:eastAsia="zh-CN"/>
                    </w:rPr>
                    <w:t>海创富余蒸汽量为24.6t/h，满足本项目蒸汽用量要求。依托可行</w:t>
                  </w:r>
                </w:p>
              </w:tc>
            </w:tr>
            <w:tr w14:paraId="37BBD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9" w:type="pct"/>
                  <w:vAlign w:val="center"/>
                </w:tcPr>
                <w:p w14:paraId="0E5F241A">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eastAsia"/>
                      <w:color w:val="auto"/>
                      <w:sz w:val="21"/>
                      <w:szCs w:val="21"/>
                      <w:vertAlign w:val="baseline"/>
                      <w:lang w:val="en-US" w:eastAsia="zh-CN"/>
                    </w:rPr>
                  </w:pPr>
                  <w:r>
                    <w:rPr>
                      <w:rFonts w:hint="eastAsia"/>
                      <w:color w:val="auto"/>
                      <w:sz w:val="21"/>
                      <w:szCs w:val="21"/>
                      <w:vertAlign w:val="baseline"/>
                      <w:lang w:val="en-US" w:eastAsia="zh-CN"/>
                    </w:rPr>
                    <w:t>固废</w:t>
                  </w:r>
                </w:p>
              </w:tc>
              <w:tc>
                <w:tcPr>
                  <w:tcW w:w="1150" w:type="pct"/>
                  <w:vAlign w:val="center"/>
                </w:tcPr>
                <w:p w14:paraId="5D94384A">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default"/>
                      <w:color w:val="auto"/>
                      <w:sz w:val="21"/>
                      <w:szCs w:val="21"/>
                      <w:vertAlign w:val="baseline"/>
                      <w:lang w:val="en-US" w:eastAsia="zh-CN"/>
                    </w:rPr>
                  </w:pPr>
                  <w:r>
                    <w:rPr>
                      <w:rFonts w:hint="eastAsia"/>
                      <w:color w:val="auto"/>
                      <w:sz w:val="21"/>
                      <w:szCs w:val="21"/>
                      <w:vertAlign w:val="baseline"/>
                      <w:lang w:val="en-US" w:eastAsia="zh-CN"/>
                    </w:rPr>
                    <w:t>项目产生固渣2826.758t/a，约8.56t/d</w:t>
                  </w:r>
                </w:p>
              </w:tc>
              <w:tc>
                <w:tcPr>
                  <w:tcW w:w="2139" w:type="pct"/>
                  <w:vAlign w:val="center"/>
                </w:tcPr>
                <w:p w14:paraId="07CACFFB">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eastAsia"/>
                      <w:color w:val="auto"/>
                      <w:sz w:val="21"/>
                      <w:szCs w:val="21"/>
                      <w:vertAlign w:val="baseline"/>
                      <w:lang w:val="en-US" w:eastAsia="zh-CN"/>
                    </w:rPr>
                  </w:pPr>
                  <w:r>
                    <w:rPr>
                      <w:rFonts w:hint="eastAsia"/>
                      <w:color w:val="auto"/>
                      <w:sz w:val="21"/>
                      <w:szCs w:val="21"/>
                      <w:vertAlign w:val="baseline"/>
                      <w:lang w:val="en-US" w:eastAsia="zh-CN"/>
                    </w:rPr>
                    <w:t>海创日</w:t>
                  </w:r>
                  <w:r>
                    <w:rPr>
                      <w:rFonts w:hint="default"/>
                      <w:color w:val="auto"/>
                      <w:sz w:val="21"/>
                      <w:szCs w:val="21"/>
                      <w:vertAlign w:val="baseline"/>
                      <w:lang w:val="en-US" w:eastAsia="zh-CN"/>
                    </w:rPr>
                    <w:t>处理生活垃圾400t，在处理能力富余的情况下，掺烧一定量的工业固体废物，包括由环境卫生机构收集的服装加工、食品加工以及其他为城市生活服务的行业产生的性质与生活垃圾相近的一般工业固体废物等，固体废物满足《生活垃圾焚烧污染控制标准》（GB18485-2014）中入炉废物要求，不掺烧废塑料、废橡胶等含氯量高的一般固体废物，掺烧的固体废物最大比例不得超过30%，即掺烧的固体废物不得超过120t/d。</w:t>
                  </w:r>
                </w:p>
              </w:tc>
              <w:tc>
                <w:tcPr>
                  <w:tcW w:w="1251" w:type="pct"/>
                  <w:vAlign w:val="center"/>
                </w:tcPr>
                <w:p w14:paraId="5283DBFF">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default"/>
                      <w:color w:val="auto"/>
                      <w:sz w:val="21"/>
                      <w:szCs w:val="21"/>
                      <w:vertAlign w:val="baseline"/>
                      <w:lang w:val="en-US" w:eastAsia="zh-CN"/>
                    </w:rPr>
                  </w:pPr>
                  <w:r>
                    <w:rPr>
                      <w:rFonts w:hint="eastAsia"/>
                      <w:color w:val="auto"/>
                      <w:sz w:val="21"/>
                      <w:szCs w:val="21"/>
                      <w:vertAlign w:val="baseline"/>
                      <w:lang w:val="en-US" w:eastAsia="zh-CN"/>
                    </w:rPr>
                    <w:t>海创目前日处理量为300t/d，剩100t/d的处理量（均为一般工业固废）。</w:t>
                  </w:r>
                </w:p>
                <w:p w14:paraId="6507CEA2">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default"/>
                      <w:color w:val="auto"/>
                      <w:sz w:val="21"/>
                      <w:szCs w:val="21"/>
                      <w:vertAlign w:val="baseline"/>
                      <w:lang w:val="en-US" w:eastAsia="zh-CN"/>
                    </w:rPr>
                  </w:pPr>
                  <w:r>
                    <w:rPr>
                      <w:rFonts w:hint="eastAsia"/>
                      <w:color w:val="auto"/>
                      <w:sz w:val="21"/>
                      <w:szCs w:val="21"/>
                      <w:vertAlign w:val="baseline"/>
                      <w:lang w:val="en-US" w:eastAsia="zh-CN"/>
                    </w:rPr>
                    <w:t>本项目日产生量为8.56t/d，约占海创剩余一般工业固废的处理量的8.56%。依托可行。</w:t>
                  </w:r>
                </w:p>
              </w:tc>
            </w:tr>
          </w:tbl>
          <w:p w14:paraId="58E0B641">
            <w:pPr>
              <w:adjustRightInd w:val="0"/>
              <w:snapToGrid w:val="0"/>
              <w:spacing w:line="360" w:lineRule="auto"/>
              <w:rPr>
                <w:color w:val="auto"/>
                <w:sz w:val="24"/>
              </w:rPr>
            </w:pPr>
            <w:r>
              <w:rPr>
                <w:color w:val="auto"/>
                <w:sz w:val="24"/>
              </w:rPr>
              <w:t>3、总平面布置</w:t>
            </w:r>
          </w:p>
          <w:p w14:paraId="4C5F3267">
            <w:pPr>
              <w:spacing w:line="360" w:lineRule="auto"/>
              <w:ind w:firstLine="480" w:firstLineChars="200"/>
              <w:rPr>
                <w:rFonts w:hint="eastAsia"/>
                <w:color w:val="auto"/>
                <w:sz w:val="24"/>
                <w:lang w:eastAsia="zh-CN"/>
              </w:rPr>
            </w:pPr>
            <w:r>
              <w:rPr>
                <w:rFonts w:hint="eastAsia"/>
                <w:color w:val="auto"/>
                <w:sz w:val="24"/>
              </w:rPr>
              <w:t>本项目位于</w:t>
            </w:r>
            <w:r>
              <w:rPr>
                <w:rFonts w:hint="eastAsia"/>
                <w:color w:val="auto"/>
                <w:sz w:val="24"/>
                <w:lang w:eastAsia="zh-CN"/>
              </w:rPr>
              <w:t>安徽东至经济开发区</w:t>
            </w:r>
            <w:r>
              <w:rPr>
                <w:rFonts w:hint="eastAsia"/>
                <w:color w:val="auto"/>
                <w:sz w:val="24"/>
              </w:rPr>
              <w:t>（附图</w:t>
            </w:r>
            <w:r>
              <w:rPr>
                <w:color w:val="auto"/>
                <w:sz w:val="24"/>
              </w:rPr>
              <w:t>1</w:t>
            </w:r>
            <w:r>
              <w:rPr>
                <w:rFonts w:hint="eastAsia"/>
                <w:color w:val="auto"/>
                <w:sz w:val="24"/>
              </w:rPr>
              <w:t>）</w:t>
            </w:r>
            <w:r>
              <w:rPr>
                <w:color w:val="auto"/>
                <w:sz w:val="24"/>
              </w:rPr>
              <w:t>，</w:t>
            </w:r>
            <w:r>
              <w:rPr>
                <w:rFonts w:hint="eastAsia"/>
                <w:color w:val="auto"/>
                <w:sz w:val="24"/>
              </w:rPr>
              <w:t>所区整体呈规整的四边形，设有</w:t>
            </w:r>
            <w:r>
              <w:rPr>
                <w:rFonts w:hint="eastAsia"/>
                <w:color w:val="auto"/>
                <w:sz w:val="24"/>
                <w:lang w:val="en-US" w:eastAsia="zh-CN"/>
              </w:rPr>
              <w:t>3</w:t>
            </w:r>
            <w:r>
              <w:rPr>
                <w:rFonts w:hint="eastAsia"/>
                <w:color w:val="auto"/>
                <w:sz w:val="24"/>
              </w:rPr>
              <w:t>个出入口</w:t>
            </w:r>
            <w:r>
              <w:rPr>
                <w:rFonts w:hint="eastAsia"/>
                <w:color w:val="auto"/>
                <w:sz w:val="24"/>
                <w:lang w:eastAsia="zh-CN"/>
              </w:rPr>
              <w:t>（货物入口、货物出口和人行出入口）</w:t>
            </w:r>
            <w:r>
              <w:rPr>
                <w:rFonts w:hint="eastAsia"/>
                <w:color w:val="auto"/>
                <w:sz w:val="24"/>
              </w:rPr>
              <w:t>，</w:t>
            </w:r>
            <w:r>
              <w:rPr>
                <w:rFonts w:hint="eastAsia"/>
                <w:color w:val="auto"/>
                <w:sz w:val="24"/>
                <w:lang w:eastAsia="zh-CN"/>
              </w:rPr>
              <w:t>均</w:t>
            </w:r>
            <w:r>
              <w:rPr>
                <w:rFonts w:hint="eastAsia"/>
                <w:color w:val="auto"/>
                <w:sz w:val="24"/>
              </w:rPr>
              <w:t>位于</w:t>
            </w:r>
            <w:r>
              <w:rPr>
                <w:rFonts w:hint="eastAsia"/>
                <w:color w:val="auto"/>
                <w:sz w:val="24"/>
                <w:lang w:eastAsia="zh-CN"/>
              </w:rPr>
              <w:t>项目区域的</w:t>
            </w:r>
            <w:r>
              <w:rPr>
                <w:rFonts w:hint="eastAsia"/>
                <w:color w:val="auto"/>
                <w:sz w:val="24"/>
              </w:rPr>
              <w:t>北侧</w:t>
            </w:r>
            <w:r>
              <w:rPr>
                <w:rFonts w:hint="eastAsia"/>
                <w:color w:val="auto"/>
                <w:sz w:val="24"/>
                <w:lang w:eastAsia="zh-CN"/>
              </w:rPr>
              <w:t>道路</w:t>
            </w:r>
            <w:r>
              <w:rPr>
                <w:rFonts w:hint="eastAsia"/>
                <w:color w:val="auto"/>
                <w:sz w:val="24"/>
              </w:rPr>
              <w:t>。</w:t>
            </w:r>
            <w:r>
              <w:rPr>
                <w:rFonts w:hint="eastAsia"/>
                <w:color w:val="auto"/>
                <w:sz w:val="24"/>
                <w:lang w:eastAsia="zh-CN"/>
              </w:rPr>
              <w:t>厂区主要分为四个区域，布设有生产处理区、储罐区</w:t>
            </w:r>
            <w:r>
              <w:rPr>
                <w:rFonts w:hint="eastAsia"/>
                <w:strike w:val="0"/>
                <w:dstrike w:val="0"/>
                <w:color w:val="auto"/>
                <w:sz w:val="24"/>
                <w:highlight w:val="none"/>
                <w:lang w:eastAsia="zh-CN"/>
              </w:rPr>
              <w:t>和</w:t>
            </w:r>
            <w:r>
              <w:rPr>
                <w:rFonts w:hint="eastAsia"/>
                <w:strike w:val="0"/>
                <w:dstrike w:val="0"/>
                <w:color w:val="auto"/>
                <w:sz w:val="24"/>
                <w:highlight w:val="none"/>
                <w:lang w:val="en-US" w:eastAsia="zh-CN"/>
              </w:rPr>
              <w:t>消防水站、</w:t>
            </w:r>
            <w:r>
              <w:rPr>
                <w:rFonts w:hint="eastAsia"/>
                <w:color w:val="auto"/>
                <w:sz w:val="24"/>
                <w:lang w:val="en-US" w:eastAsia="zh-CN"/>
              </w:rPr>
              <w:t>丙类仓库区</w:t>
            </w:r>
            <w:r>
              <w:rPr>
                <w:rFonts w:hint="eastAsia"/>
                <w:color w:val="auto"/>
                <w:sz w:val="24"/>
                <w:lang w:eastAsia="zh-CN"/>
              </w:rPr>
              <w:t>和综合楼。生产处理区主要包括厂房一进行餐厨废弃油脂收集初加工，厂房二用于后期项目建设，储罐区位于厂区西南角主要暂存油脂和应急废水暂存。综合楼位于东南区域，丙类仓库位于东北角。</w:t>
            </w:r>
          </w:p>
          <w:p w14:paraId="525815E8">
            <w:pPr>
              <w:widowControl/>
              <w:spacing w:line="360" w:lineRule="auto"/>
              <w:ind w:firstLine="480" w:firstLineChars="200"/>
              <w:rPr>
                <w:color w:val="auto"/>
                <w:sz w:val="24"/>
              </w:rPr>
            </w:pPr>
            <w:r>
              <w:rPr>
                <w:rFonts w:hint="eastAsia"/>
                <w:color w:val="auto"/>
                <w:sz w:val="24"/>
              </w:rPr>
              <w:t>建设项目生产合理布局，生产功能分区布局明确。具体厂区平面布置见附图</w:t>
            </w:r>
            <w:r>
              <w:rPr>
                <w:rFonts w:hint="eastAsia"/>
                <w:color w:val="auto"/>
                <w:sz w:val="24"/>
                <w:lang w:val="en-US" w:eastAsia="zh-CN"/>
              </w:rPr>
              <w:t>4</w:t>
            </w:r>
            <w:r>
              <w:rPr>
                <w:rFonts w:hint="eastAsia"/>
                <w:color w:val="auto"/>
                <w:sz w:val="24"/>
              </w:rPr>
              <w:t>。</w:t>
            </w:r>
          </w:p>
          <w:p w14:paraId="5BC69B32">
            <w:pPr>
              <w:pStyle w:val="2"/>
              <w:ind w:left="0" w:leftChars="0" w:firstLine="0" w:firstLineChars="0"/>
              <w:rPr>
                <w:color w:val="auto"/>
                <w:szCs w:val="24"/>
              </w:rPr>
            </w:pPr>
            <w:r>
              <w:rPr>
                <w:color w:val="auto"/>
                <w:szCs w:val="24"/>
              </w:rPr>
              <w:t>4、</w:t>
            </w:r>
            <w:r>
              <w:rPr>
                <w:rFonts w:hint="eastAsia"/>
                <w:color w:val="auto"/>
                <w:szCs w:val="24"/>
                <w:lang w:eastAsia="zh-CN"/>
              </w:rPr>
              <w:t>产品</w:t>
            </w:r>
            <w:r>
              <w:rPr>
                <w:color w:val="auto"/>
                <w:szCs w:val="24"/>
              </w:rPr>
              <w:t>方案</w:t>
            </w:r>
          </w:p>
          <w:p w14:paraId="2F02F7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color w:val="auto"/>
                <w:sz w:val="24"/>
                <w:szCs w:val="24"/>
                <w:lang w:eastAsia="zh-CN"/>
              </w:rPr>
            </w:pPr>
            <w:r>
              <w:rPr>
                <w:rFonts w:hint="eastAsia" w:ascii="宋体" w:hAnsi="宋体" w:eastAsia="宋体" w:cs="宋体"/>
                <w:color w:val="auto"/>
                <w:sz w:val="24"/>
                <w:szCs w:val="24"/>
              </w:rPr>
              <w:t>本项目处理餐厨</w:t>
            </w:r>
            <w:r>
              <w:rPr>
                <w:rFonts w:hint="eastAsia" w:ascii="宋体" w:hAnsi="宋体" w:cs="宋体"/>
                <w:color w:val="auto"/>
                <w:sz w:val="24"/>
                <w:szCs w:val="24"/>
                <w:lang w:val="en-US" w:eastAsia="zh-CN"/>
              </w:rPr>
              <w:t>垃圾和</w:t>
            </w:r>
            <w:r>
              <w:rPr>
                <w:rFonts w:hint="eastAsia" w:ascii="宋体" w:hAnsi="宋体" w:eastAsia="宋体" w:cs="宋体"/>
                <w:color w:val="auto"/>
                <w:sz w:val="24"/>
                <w:szCs w:val="24"/>
                <w:lang w:eastAsia="zh-CN"/>
              </w:rPr>
              <w:t>废弃油脂收集初加工</w:t>
            </w:r>
            <w:r>
              <w:rPr>
                <w:rFonts w:hint="eastAsia" w:ascii="宋体" w:hAnsi="宋体" w:eastAsia="宋体" w:cs="宋体"/>
                <w:color w:val="auto"/>
                <w:sz w:val="24"/>
                <w:szCs w:val="24"/>
              </w:rPr>
              <w:t>，</w:t>
            </w:r>
            <w:r>
              <w:rPr>
                <w:rFonts w:hint="eastAsia" w:ascii="宋体" w:hAnsi="宋体" w:cs="宋体"/>
                <w:color w:val="auto"/>
                <w:sz w:val="24"/>
                <w:szCs w:val="24"/>
                <w:lang w:eastAsia="zh-CN"/>
              </w:rPr>
              <w:t>年处理规模为</w:t>
            </w:r>
            <w:r>
              <w:rPr>
                <w:rFonts w:hint="eastAsia" w:ascii="宋体" w:hAnsi="宋体" w:cs="宋体"/>
                <w:color w:val="auto"/>
                <w:sz w:val="24"/>
                <w:szCs w:val="24"/>
                <w:lang w:val="en-US" w:eastAsia="zh-CN"/>
              </w:rPr>
              <w:t>15000t（年工作日330d），</w:t>
            </w:r>
            <w:r>
              <w:rPr>
                <w:rFonts w:hint="eastAsia" w:ascii="宋体" w:hAnsi="宋体" w:eastAsia="宋体" w:cs="宋体"/>
                <w:color w:val="auto"/>
                <w:sz w:val="24"/>
                <w:szCs w:val="24"/>
              </w:rPr>
              <w:t>日处理规模</w:t>
            </w:r>
            <w:r>
              <w:rPr>
                <w:rFonts w:hint="eastAsia" w:ascii="宋体" w:hAnsi="宋体" w:cs="宋体"/>
                <w:color w:val="auto"/>
                <w:sz w:val="24"/>
                <w:szCs w:val="24"/>
                <w:highlight w:val="none"/>
                <w:lang w:val="en-US" w:eastAsia="zh-CN"/>
              </w:rPr>
              <w:t>约45.45</w:t>
            </w:r>
            <w:r>
              <w:rPr>
                <w:rFonts w:hint="eastAsia" w:ascii="宋体" w:hAnsi="宋体" w:eastAsia="宋体" w:cs="宋体"/>
                <w:color w:val="auto"/>
                <w:sz w:val="24"/>
                <w:szCs w:val="24"/>
              </w:rPr>
              <w:t>吨，产品主要为</w:t>
            </w:r>
            <w:r>
              <w:rPr>
                <w:rFonts w:hint="eastAsia" w:ascii="宋体" w:hAnsi="宋体" w:eastAsia="宋体" w:cs="宋体"/>
                <w:color w:val="auto"/>
                <w:sz w:val="24"/>
                <w:szCs w:val="24"/>
                <w:lang w:eastAsia="zh-CN"/>
              </w:rPr>
              <w:t>废弃</w:t>
            </w:r>
            <w:r>
              <w:rPr>
                <w:rFonts w:hint="eastAsia" w:ascii="宋体" w:hAnsi="宋体" w:eastAsia="宋体" w:cs="宋体"/>
                <w:color w:val="auto"/>
                <w:sz w:val="24"/>
                <w:szCs w:val="24"/>
              </w:rPr>
              <w:t>油脂，废弃油脂产品执行《生物柴油（BD100）原料  废弃油脂》</w:t>
            </w:r>
            <w:r>
              <w:rPr>
                <w:rFonts w:hint="eastAsia" w:ascii="宋体" w:hAnsi="宋体" w:cs="宋体"/>
                <w:color w:val="auto"/>
                <w:sz w:val="24"/>
                <w:szCs w:val="24"/>
                <w:lang w:eastAsia="zh-CN"/>
              </w:rPr>
              <w:t>（</w:t>
            </w:r>
            <w:r>
              <w:rPr>
                <w:rFonts w:hint="eastAsia" w:ascii="宋体" w:hAnsi="宋体" w:eastAsia="宋体" w:cs="宋体"/>
                <w:color w:val="auto"/>
                <w:sz w:val="24"/>
                <w:szCs w:val="24"/>
              </w:rPr>
              <w:t>NB/T 13007-2021</w:t>
            </w:r>
            <w:r>
              <w:rPr>
                <w:rFonts w:hint="eastAsia" w:ascii="宋体" w:hAnsi="宋体" w:cs="宋体"/>
                <w:color w:val="auto"/>
                <w:sz w:val="24"/>
                <w:szCs w:val="24"/>
                <w:lang w:eastAsia="zh-CN"/>
              </w:rPr>
              <w:t>）</w:t>
            </w:r>
            <w:r>
              <w:rPr>
                <w:rFonts w:hint="eastAsia" w:ascii="宋体" w:hAnsi="宋体" w:eastAsia="宋体" w:cs="宋体"/>
                <w:color w:val="auto"/>
                <w:sz w:val="24"/>
                <w:szCs w:val="24"/>
              </w:rPr>
              <w:t>行业标准。产品方案见下表</w:t>
            </w:r>
            <w:r>
              <w:rPr>
                <w:rFonts w:hint="eastAsia" w:ascii="宋体" w:hAnsi="宋体" w:eastAsia="宋体" w:cs="宋体"/>
                <w:color w:val="auto"/>
                <w:sz w:val="24"/>
                <w:szCs w:val="24"/>
                <w:lang w:eastAsia="zh-CN"/>
              </w:rPr>
              <w:t>。</w:t>
            </w:r>
          </w:p>
          <w:p w14:paraId="1A0E4137">
            <w:pPr>
              <w:pStyle w:val="14"/>
              <w:keepNext w:val="0"/>
              <w:keepLines w:val="0"/>
              <w:pageBreakBefore w:val="0"/>
              <w:widowControl/>
              <w:kinsoku/>
              <w:wordWrap/>
              <w:overflowPunct/>
              <w:topLinePunct w:val="0"/>
              <w:autoSpaceDE/>
              <w:autoSpaceDN/>
              <w:bidi w:val="0"/>
              <w:adjustRightInd/>
              <w:snapToGrid w:val="0"/>
              <w:spacing w:before="0" w:after="0" w:line="260" w:lineRule="auto"/>
              <w:ind w:right="0"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表</w:t>
            </w:r>
            <w:r>
              <w:rPr>
                <w:rFonts w:hint="default" w:ascii="Times New Roman" w:hAnsi="Times New Roman" w:eastAsia="宋体" w:cs="Times New Roman"/>
                <w:b/>
                <w:bCs/>
                <w:color w:val="auto"/>
                <w:sz w:val="21"/>
                <w:szCs w:val="21"/>
                <w:lang w:val="en-US" w:eastAsia="zh-CN"/>
              </w:rPr>
              <w:t>2</w:t>
            </w:r>
            <w:r>
              <w:rPr>
                <w:rFonts w:hint="default" w:ascii="Times New Roman" w:hAnsi="Times New Roman" w:eastAsia="宋体" w:cs="Times New Roman"/>
                <w:b/>
                <w:bCs/>
                <w:color w:val="auto"/>
                <w:sz w:val="21"/>
                <w:szCs w:val="21"/>
              </w:rPr>
              <w:t>-</w:t>
            </w:r>
            <w:r>
              <w:rPr>
                <w:rFonts w:hint="eastAsia" w:cs="Times New Roman"/>
                <w:b/>
                <w:bCs/>
                <w:color w:val="auto"/>
                <w:sz w:val="21"/>
                <w:szCs w:val="21"/>
                <w:lang w:val="en-US" w:eastAsia="zh-CN"/>
              </w:rPr>
              <w:t>3</w:t>
            </w:r>
            <w:r>
              <w:rPr>
                <w:rFonts w:hint="default" w:ascii="Times New Roman" w:hAnsi="Times New Roman" w:eastAsia="宋体" w:cs="Times New Roman"/>
                <w:b/>
                <w:bCs/>
                <w:color w:val="auto"/>
                <w:sz w:val="21"/>
                <w:szCs w:val="21"/>
              </w:rPr>
              <w:t xml:space="preserve">  项目产品方案</w:t>
            </w:r>
          </w:p>
          <w:tbl>
            <w:tblPr>
              <w:tblStyle w:val="2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2166"/>
              <w:gridCol w:w="2462"/>
              <w:gridCol w:w="2837"/>
            </w:tblGrid>
            <w:tr w14:paraId="3C69A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552" w:type="pct"/>
                  <w:tcBorders>
                    <w:tl2br w:val="nil"/>
                    <w:tr2bl w:val="nil"/>
                  </w:tcBorders>
                  <w:noWrap w:val="0"/>
                  <w:vAlign w:val="center"/>
                </w:tcPr>
                <w:p w14:paraId="33042FA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序号</w:t>
                  </w:r>
                </w:p>
              </w:tc>
              <w:tc>
                <w:tcPr>
                  <w:tcW w:w="1290" w:type="pct"/>
                  <w:tcBorders>
                    <w:tl2br w:val="nil"/>
                    <w:tr2bl w:val="nil"/>
                  </w:tcBorders>
                  <w:noWrap w:val="0"/>
                  <w:vAlign w:val="center"/>
                </w:tcPr>
                <w:p w14:paraId="6B792B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产品名称</w:t>
                  </w:r>
                </w:p>
              </w:tc>
              <w:tc>
                <w:tcPr>
                  <w:tcW w:w="1466" w:type="pct"/>
                  <w:tcBorders>
                    <w:tl2br w:val="nil"/>
                    <w:tr2bl w:val="nil"/>
                  </w:tcBorders>
                  <w:noWrap w:val="0"/>
                  <w:vAlign w:val="center"/>
                </w:tcPr>
                <w:p w14:paraId="316EDF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数量</w:t>
                  </w:r>
                </w:p>
              </w:tc>
              <w:tc>
                <w:tcPr>
                  <w:tcW w:w="1689" w:type="pct"/>
                  <w:tcBorders>
                    <w:tl2br w:val="nil"/>
                    <w:tr2bl w:val="nil"/>
                  </w:tcBorders>
                  <w:noWrap w:val="0"/>
                  <w:vAlign w:val="center"/>
                </w:tcPr>
                <w:p w14:paraId="3C2B29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去向</w:t>
                  </w:r>
                </w:p>
              </w:tc>
            </w:tr>
            <w:tr w14:paraId="1E6D8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 w:type="pct"/>
                  <w:tcBorders>
                    <w:tl2br w:val="nil"/>
                    <w:tr2bl w:val="nil"/>
                  </w:tcBorders>
                  <w:noWrap w:val="0"/>
                  <w:vAlign w:val="center"/>
                </w:tcPr>
                <w:p w14:paraId="51594C5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1</w:t>
                  </w:r>
                </w:p>
              </w:tc>
              <w:tc>
                <w:tcPr>
                  <w:tcW w:w="1290" w:type="pct"/>
                  <w:tcBorders>
                    <w:tl2br w:val="nil"/>
                    <w:tr2bl w:val="nil"/>
                  </w:tcBorders>
                  <w:noWrap w:val="0"/>
                  <w:vAlign w:val="center"/>
                </w:tcPr>
                <w:p w14:paraId="3C87E6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eastAsia="zh-CN"/>
                    </w:rPr>
                    <w:t>废弃</w:t>
                  </w:r>
                  <w:r>
                    <w:rPr>
                      <w:rFonts w:ascii="Times New Roman" w:hAnsi="Times New Roman" w:eastAsia="宋体" w:cs="Times New Roman"/>
                      <w:color w:val="auto"/>
                      <w:sz w:val="21"/>
                      <w:szCs w:val="21"/>
                    </w:rPr>
                    <w:t>油脂（t/a）</w:t>
                  </w:r>
                </w:p>
              </w:tc>
              <w:tc>
                <w:tcPr>
                  <w:tcW w:w="1466" w:type="pct"/>
                  <w:tcBorders>
                    <w:tl2br w:val="nil"/>
                    <w:tr2bl w:val="nil"/>
                  </w:tcBorders>
                  <w:noWrap w:val="0"/>
                  <w:vAlign w:val="center"/>
                </w:tcPr>
                <w:p w14:paraId="2BE166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7472.88（7356.48来源于废油脂，116.40来源于餐厨垃圾）</w:t>
                  </w:r>
                </w:p>
              </w:tc>
              <w:tc>
                <w:tcPr>
                  <w:tcW w:w="1689" w:type="pct"/>
                  <w:tcBorders>
                    <w:tl2br w:val="nil"/>
                    <w:tr2bl w:val="nil"/>
                  </w:tcBorders>
                  <w:noWrap w:val="0"/>
                  <w:vAlign w:val="center"/>
                </w:tcPr>
                <w:p w14:paraId="1AC951F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eastAsia="宋体"/>
                      <w:color w:val="auto"/>
                      <w:sz w:val="21"/>
                      <w:szCs w:val="21"/>
                    </w:rPr>
                  </w:pPr>
                  <w:r>
                    <w:rPr>
                      <w:rFonts w:ascii="Times New Roman" w:hAnsi="Times New Roman" w:eastAsia="宋体"/>
                      <w:color w:val="auto"/>
                      <w:sz w:val="21"/>
                      <w:szCs w:val="21"/>
                    </w:rPr>
                    <w:t>外售</w:t>
                  </w:r>
                </w:p>
              </w:tc>
            </w:tr>
          </w:tbl>
          <w:p w14:paraId="11064096">
            <w:pPr>
              <w:spacing w:line="240" w:lineRule="auto"/>
              <w:ind w:left="0" w:leftChars="0" w:firstLine="0" w:firstLineChars="0"/>
              <w:jc w:val="both"/>
              <w:rPr>
                <w:rFonts w:hint="eastAsia" w:ascii="Times New Roman" w:hAnsi="Times New Roman" w:eastAsia="宋体"/>
                <w:color w:val="auto"/>
                <w:sz w:val="21"/>
                <w:szCs w:val="16"/>
                <w:lang w:val="en-US" w:eastAsia="zh-CN"/>
              </w:rPr>
            </w:pPr>
            <w:r>
              <w:rPr>
                <w:rFonts w:hint="eastAsia" w:ascii="Times New Roman" w:hAnsi="Times New Roman" w:eastAsia="宋体"/>
                <w:color w:val="auto"/>
                <w:sz w:val="21"/>
                <w:szCs w:val="16"/>
                <w:lang w:eastAsia="zh-CN"/>
              </w:rPr>
              <w:t>备注：</w:t>
            </w:r>
            <w:r>
              <w:rPr>
                <w:rFonts w:hint="eastAsia" w:ascii="Times New Roman" w:hAnsi="Times New Roman" w:eastAsia="宋体"/>
                <w:color w:val="auto"/>
                <w:sz w:val="21"/>
                <w:szCs w:val="16"/>
                <w:lang w:val="en-US" w:eastAsia="zh-CN"/>
              </w:rPr>
              <w:t>1.油脂分离率：</w:t>
            </w:r>
            <w:r>
              <w:rPr>
                <w:rFonts w:hint="eastAsia"/>
                <w:color w:val="auto"/>
                <w:sz w:val="21"/>
                <w:szCs w:val="16"/>
                <w:lang w:val="en-US" w:eastAsia="zh-CN"/>
              </w:rPr>
              <w:t>7472.88</w:t>
            </w:r>
            <w:r>
              <w:rPr>
                <w:rFonts w:hint="eastAsia" w:ascii="Times New Roman" w:hAnsi="Times New Roman" w:eastAsia="宋体"/>
                <w:color w:val="auto"/>
                <w:sz w:val="21"/>
                <w:szCs w:val="16"/>
                <w:lang w:val="en-US" w:eastAsia="zh-CN"/>
              </w:rPr>
              <w:t>/（3000*4%+12000*63.2%）=7472.88/7704=97%，满足《餐厨废油资源回收和深加工技术要求》（GB/T40133-2021）中废</w:t>
            </w:r>
            <w:r>
              <w:rPr>
                <w:rFonts w:hint="eastAsia" w:ascii="Times New Roman" w:hAnsi="Times New Roman" w:eastAsia="宋体"/>
                <w:b w:val="0"/>
                <w:bCs w:val="0"/>
                <w:color w:val="auto"/>
                <w:sz w:val="21"/>
                <w:szCs w:val="16"/>
                <w:lang w:val="en-US" w:eastAsia="zh-CN"/>
              </w:rPr>
              <w:t>油的</w:t>
            </w:r>
            <w:r>
              <w:rPr>
                <w:rFonts w:hint="eastAsia" w:ascii="Times New Roman" w:hAnsi="Times New Roman" w:eastAsia="宋体"/>
                <w:color w:val="auto"/>
                <w:sz w:val="21"/>
                <w:szCs w:val="16"/>
                <w:lang w:val="en-US" w:eastAsia="zh-CN"/>
              </w:rPr>
              <w:t>分离回收效率（85%）和《餐厨垃圾处理技术规范》（CJJ184-2012）中</w:t>
            </w:r>
            <w:r>
              <w:rPr>
                <w:rFonts w:hint="eastAsia" w:ascii="Times New Roman" w:hAnsi="Times New Roman" w:eastAsia="宋体"/>
                <w:b w:val="0"/>
                <w:bCs w:val="0"/>
                <w:color w:val="auto"/>
                <w:sz w:val="21"/>
                <w:szCs w:val="16"/>
                <w:lang w:val="en-US" w:eastAsia="zh-CN"/>
              </w:rPr>
              <w:t>餐厨垃圾液相油脂分离收集率（90%）</w:t>
            </w:r>
            <w:r>
              <w:rPr>
                <w:rFonts w:hint="eastAsia" w:ascii="Times New Roman" w:hAnsi="Times New Roman" w:eastAsia="宋体"/>
                <w:color w:val="auto"/>
                <w:sz w:val="21"/>
                <w:szCs w:val="16"/>
                <w:lang w:val="en-US" w:eastAsia="zh-CN"/>
              </w:rPr>
              <w:t>。</w:t>
            </w:r>
          </w:p>
          <w:p w14:paraId="74C3C2C5">
            <w:pPr>
              <w:spacing w:line="240" w:lineRule="auto"/>
              <w:ind w:firstLine="422" w:firstLineChars="200"/>
              <w:jc w:val="center"/>
              <w:rPr>
                <w:rFonts w:hint="default"/>
                <w:b/>
                <w:bCs/>
                <w:color w:val="auto"/>
                <w:sz w:val="21"/>
                <w:szCs w:val="21"/>
                <w:lang w:val="en-US" w:eastAsia="zh-CN"/>
              </w:rPr>
            </w:pPr>
            <w:r>
              <w:rPr>
                <w:rFonts w:hint="eastAsia"/>
                <w:b/>
                <w:bCs/>
                <w:color w:val="auto"/>
                <w:sz w:val="21"/>
                <w:szCs w:val="21"/>
                <w:lang w:val="en-US" w:eastAsia="zh-CN"/>
              </w:rPr>
              <w:t>表2-4 产品废弃油脂质量标准</w:t>
            </w:r>
          </w:p>
          <w:tbl>
            <w:tblPr>
              <w:tblStyle w:val="28"/>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481"/>
              <w:gridCol w:w="2508"/>
              <w:gridCol w:w="2386"/>
            </w:tblGrid>
            <w:tr w14:paraId="643D0D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078" w:type="pct"/>
                  <w:noWrap w:val="0"/>
                  <w:vAlign w:val="center"/>
                </w:tcPr>
                <w:p w14:paraId="3AF7AD8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指标</w:t>
                  </w:r>
                </w:p>
              </w:tc>
              <w:tc>
                <w:tcPr>
                  <w:tcW w:w="1497" w:type="pct"/>
                  <w:noWrap w:val="0"/>
                  <w:vAlign w:val="center"/>
                </w:tcPr>
                <w:p w14:paraId="7B2D35D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单位</w:t>
                  </w:r>
                </w:p>
              </w:tc>
              <w:tc>
                <w:tcPr>
                  <w:tcW w:w="1424" w:type="pct"/>
                  <w:noWrap w:val="0"/>
                  <w:vAlign w:val="center"/>
                </w:tcPr>
                <w:p w14:paraId="13F1211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指标</w:t>
                  </w:r>
                </w:p>
              </w:tc>
            </w:tr>
            <w:tr w14:paraId="457FC8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78" w:type="pct"/>
                  <w:noWrap w:val="0"/>
                  <w:vAlign w:val="center"/>
                </w:tcPr>
                <w:p w14:paraId="06AF73F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水分及挥发物+不溶性杂质</w:t>
                  </w:r>
                </w:p>
              </w:tc>
              <w:tc>
                <w:tcPr>
                  <w:tcW w:w="1497" w:type="pct"/>
                  <w:noWrap w:val="0"/>
                  <w:vAlign w:val="center"/>
                </w:tcPr>
                <w:p w14:paraId="5011C83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Wt%</w:t>
                  </w:r>
                </w:p>
              </w:tc>
              <w:tc>
                <w:tcPr>
                  <w:tcW w:w="1424" w:type="pct"/>
                  <w:noWrap/>
                  <w:vAlign w:val="center"/>
                </w:tcPr>
                <w:p w14:paraId="03D5EAC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w:t>
                  </w:r>
                  <w:r>
                    <w:rPr>
                      <w:rFonts w:hint="eastAsia" w:ascii="Times New Roman" w:hAnsi="Times New Roman" w:eastAsia="宋体" w:cs="Times New Roman"/>
                      <w:color w:val="auto"/>
                      <w:kern w:val="0"/>
                      <w:sz w:val="21"/>
                      <w:szCs w:val="21"/>
                      <w:highlight w:val="none"/>
                      <w:lang w:val="en-US" w:eastAsia="zh-CN"/>
                    </w:rPr>
                    <w:t>1.5</w:t>
                  </w:r>
                </w:p>
              </w:tc>
            </w:tr>
            <w:tr w14:paraId="6CDF83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78" w:type="pct"/>
                  <w:noWrap w:val="0"/>
                  <w:vAlign w:val="center"/>
                </w:tcPr>
                <w:p w14:paraId="55154D0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磷脂含量</w:t>
                  </w:r>
                </w:p>
              </w:tc>
              <w:tc>
                <w:tcPr>
                  <w:tcW w:w="1497" w:type="pct"/>
                  <w:noWrap w:val="0"/>
                  <w:vAlign w:val="center"/>
                </w:tcPr>
                <w:p w14:paraId="355334F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Wt%</w:t>
                  </w:r>
                </w:p>
              </w:tc>
              <w:tc>
                <w:tcPr>
                  <w:tcW w:w="1424" w:type="pct"/>
                  <w:noWrap/>
                  <w:vAlign w:val="center"/>
                </w:tcPr>
                <w:p w14:paraId="0863550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0"/>
                      <w:sz w:val="21"/>
                      <w:szCs w:val="21"/>
                      <w:highlight w:val="none"/>
                      <w:lang w:eastAsia="zh-CN"/>
                    </w:rPr>
                  </w:pPr>
                  <w:r>
                    <w:rPr>
                      <w:rFonts w:hint="default" w:ascii="Times New Roman" w:hAnsi="Times New Roman" w:eastAsia="宋体" w:cs="Times New Roman"/>
                      <w:color w:val="auto"/>
                      <w:kern w:val="0"/>
                      <w:sz w:val="21"/>
                      <w:szCs w:val="21"/>
                      <w:highlight w:val="none"/>
                    </w:rPr>
                    <w:t>≤</w:t>
                  </w:r>
                  <w:r>
                    <w:rPr>
                      <w:rFonts w:hint="eastAsia" w:ascii="Times New Roman" w:hAnsi="Times New Roman" w:eastAsia="宋体" w:cs="Times New Roman"/>
                      <w:color w:val="auto"/>
                      <w:kern w:val="0"/>
                      <w:sz w:val="21"/>
                      <w:szCs w:val="21"/>
                      <w:highlight w:val="none"/>
                      <w:lang w:val="en-US" w:eastAsia="zh-CN"/>
                    </w:rPr>
                    <w:t>1</w:t>
                  </w:r>
                </w:p>
              </w:tc>
            </w:tr>
            <w:tr w14:paraId="066055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78" w:type="pct"/>
                  <w:noWrap w:val="0"/>
                  <w:vAlign w:val="center"/>
                </w:tcPr>
                <w:p w14:paraId="5242853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硫含量</w:t>
                  </w:r>
                </w:p>
              </w:tc>
              <w:tc>
                <w:tcPr>
                  <w:tcW w:w="1497" w:type="pct"/>
                  <w:noWrap w:val="0"/>
                  <w:vAlign w:val="center"/>
                </w:tcPr>
                <w:p w14:paraId="7A244F1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Wt%</w:t>
                  </w:r>
                </w:p>
              </w:tc>
              <w:tc>
                <w:tcPr>
                  <w:tcW w:w="1424" w:type="pct"/>
                  <w:noWrap/>
                  <w:vAlign w:val="center"/>
                </w:tcPr>
                <w:p w14:paraId="06EACB7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w:t>
                  </w:r>
                  <w:r>
                    <w:rPr>
                      <w:rFonts w:hint="eastAsia" w:ascii="Times New Roman" w:hAnsi="Times New Roman" w:eastAsia="宋体" w:cs="Times New Roman"/>
                      <w:color w:val="auto"/>
                      <w:kern w:val="0"/>
                      <w:sz w:val="21"/>
                      <w:szCs w:val="21"/>
                      <w:highlight w:val="none"/>
                      <w:lang w:val="en-US" w:eastAsia="zh-CN"/>
                    </w:rPr>
                    <w:t>5</w:t>
                  </w:r>
                  <w:r>
                    <w:rPr>
                      <w:rFonts w:hint="default" w:ascii="Times New Roman" w:hAnsi="Times New Roman" w:eastAsia="宋体" w:cs="Times New Roman"/>
                      <w:color w:val="auto"/>
                      <w:kern w:val="0"/>
                      <w:sz w:val="21"/>
                      <w:szCs w:val="21"/>
                      <w:highlight w:val="none"/>
                    </w:rPr>
                    <w:t>00mg/kg</w:t>
                  </w:r>
                </w:p>
              </w:tc>
            </w:tr>
            <w:tr w14:paraId="7D3AEF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78" w:type="pct"/>
                  <w:noWrap w:val="0"/>
                  <w:vAlign w:val="center"/>
                </w:tcPr>
                <w:p w14:paraId="348D939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不可皂化物</w:t>
                  </w:r>
                </w:p>
              </w:tc>
              <w:tc>
                <w:tcPr>
                  <w:tcW w:w="1497" w:type="pct"/>
                  <w:noWrap w:val="0"/>
                  <w:vAlign w:val="center"/>
                </w:tcPr>
                <w:p w14:paraId="1158B44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Wt%</w:t>
                  </w:r>
                </w:p>
              </w:tc>
              <w:tc>
                <w:tcPr>
                  <w:tcW w:w="1424" w:type="pct"/>
                  <w:noWrap/>
                  <w:vAlign w:val="center"/>
                </w:tcPr>
                <w:p w14:paraId="72DCCB4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0"/>
                      <w:sz w:val="21"/>
                      <w:szCs w:val="21"/>
                      <w:highlight w:val="none"/>
                      <w:lang w:eastAsia="zh-CN"/>
                    </w:rPr>
                  </w:pPr>
                  <w:r>
                    <w:rPr>
                      <w:rFonts w:hint="default" w:ascii="Times New Roman" w:hAnsi="Times New Roman" w:eastAsia="宋体" w:cs="Times New Roman"/>
                      <w:color w:val="auto"/>
                      <w:kern w:val="0"/>
                      <w:sz w:val="21"/>
                      <w:szCs w:val="21"/>
                      <w:highlight w:val="none"/>
                    </w:rPr>
                    <w:t>≤</w:t>
                  </w:r>
                  <w:r>
                    <w:rPr>
                      <w:rFonts w:hint="eastAsia" w:ascii="Times New Roman" w:hAnsi="Times New Roman" w:eastAsia="宋体" w:cs="Times New Roman"/>
                      <w:color w:val="auto"/>
                      <w:kern w:val="0"/>
                      <w:sz w:val="21"/>
                      <w:szCs w:val="21"/>
                      <w:highlight w:val="none"/>
                      <w:lang w:val="en-US" w:eastAsia="zh-CN"/>
                    </w:rPr>
                    <w:t>3</w:t>
                  </w:r>
                </w:p>
              </w:tc>
            </w:tr>
            <w:tr w14:paraId="40DB04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78" w:type="pct"/>
                  <w:noWrap w:val="0"/>
                  <w:vAlign w:val="center"/>
                </w:tcPr>
                <w:p w14:paraId="055D69C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皂化值</w:t>
                  </w:r>
                </w:p>
              </w:tc>
              <w:tc>
                <w:tcPr>
                  <w:tcW w:w="1497" w:type="pct"/>
                  <w:noWrap w:val="0"/>
                  <w:vAlign w:val="center"/>
                </w:tcPr>
                <w:p w14:paraId="647C872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rPr>
                    <w:t>mg/g</w:t>
                  </w:r>
                  <w:r>
                    <w:rPr>
                      <w:rFonts w:hint="eastAsia" w:ascii="Times New Roman" w:hAnsi="Times New Roman" w:eastAsia="宋体" w:cs="Times New Roman"/>
                      <w:color w:val="auto"/>
                      <w:kern w:val="0"/>
                      <w:sz w:val="21"/>
                      <w:szCs w:val="21"/>
                      <w:highlight w:val="none"/>
                      <w:lang w:val="en-US" w:eastAsia="zh-CN"/>
                    </w:rPr>
                    <w:t>KOH</w:t>
                  </w:r>
                </w:p>
              </w:tc>
              <w:tc>
                <w:tcPr>
                  <w:tcW w:w="1424" w:type="pct"/>
                  <w:noWrap/>
                  <w:vAlign w:val="center"/>
                </w:tcPr>
                <w:p w14:paraId="3C20090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≥185</w:t>
                  </w:r>
                </w:p>
              </w:tc>
            </w:tr>
          </w:tbl>
          <w:p w14:paraId="02572177">
            <w:pPr>
              <w:spacing w:line="360" w:lineRule="auto"/>
              <w:ind w:firstLine="480" w:firstLineChars="200"/>
              <w:rPr>
                <w:color w:val="auto"/>
              </w:rPr>
            </w:pPr>
            <w:r>
              <w:rPr>
                <w:rFonts w:hint="eastAsia" w:ascii="宋体" w:hAnsi="宋体" w:cs="宋体"/>
                <w:color w:val="auto"/>
                <w:sz w:val="24"/>
                <w:szCs w:val="24"/>
                <w:lang w:val="en-US" w:eastAsia="zh-CN"/>
              </w:rPr>
              <w:t>本项目为池州中器环保科技有限公司的废弃油脂资源化利用项目配套项目，产品全部交由中器环保公司进一步加工。中器环保《废弃油脂资源化利用项目(一期)--年产15万吨生物柴油、年产80万吨工业级混合油、年产5万吨生物碳源项目》主要外购的是经餐厨垃圾厂初加工后的初级工业油脂，约94.85万吨。</w:t>
            </w:r>
          </w:p>
          <w:p w14:paraId="67D2F0C3">
            <w:pPr>
              <w:adjustRightInd w:val="0"/>
              <w:snapToGrid w:val="0"/>
              <w:spacing w:line="360" w:lineRule="auto"/>
              <w:rPr>
                <w:color w:val="auto"/>
                <w:sz w:val="24"/>
              </w:rPr>
            </w:pPr>
            <w:r>
              <w:rPr>
                <w:color w:val="auto"/>
                <w:sz w:val="24"/>
              </w:rPr>
              <w:t>5、主要原辅材料</w:t>
            </w:r>
          </w:p>
          <w:p w14:paraId="0CCCCFC5">
            <w:pPr>
              <w:snapToGrid w:val="0"/>
              <w:jc w:val="center"/>
              <w:rPr>
                <w:b/>
                <w:bCs/>
                <w:color w:val="auto"/>
                <w:sz w:val="21"/>
                <w:szCs w:val="21"/>
              </w:rPr>
            </w:pPr>
            <w:r>
              <w:rPr>
                <w:b/>
                <w:bCs/>
                <w:color w:val="auto"/>
                <w:sz w:val="21"/>
                <w:szCs w:val="21"/>
              </w:rPr>
              <w:t>表2-</w:t>
            </w:r>
            <w:r>
              <w:rPr>
                <w:rFonts w:hint="eastAsia"/>
                <w:b/>
                <w:bCs/>
                <w:color w:val="auto"/>
                <w:sz w:val="21"/>
                <w:szCs w:val="21"/>
                <w:lang w:val="en-US" w:eastAsia="zh-CN"/>
              </w:rPr>
              <w:t>5</w:t>
            </w:r>
            <w:r>
              <w:rPr>
                <w:b/>
                <w:bCs/>
                <w:color w:val="auto"/>
                <w:sz w:val="21"/>
                <w:szCs w:val="21"/>
              </w:rPr>
              <w:t xml:space="preserve">  项目主要原辅料表</w:t>
            </w:r>
          </w:p>
          <w:tbl>
            <w:tblPr>
              <w:tblStyle w:val="28"/>
              <w:tblW w:w="8405" w:type="dxa"/>
              <w:tblInd w:w="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57"/>
              <w:gridCol w:w="1908"/>
              <w:gridCol w:w="1146"/>
              <w:gridCol w:w="335"/>
              <w:gridCol w:w="899"/>
              <w:gridCol w:w="1422"/>
              <w:gridCol w:w="1338"/>
            </w:tblGrid>
            <w:tr w14:paraId="280B7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807" w:type="pct"/>
                  <w:tcBorders>
                    <w:top w:val="single" w:color="auto" w:sz="4" w:space="0"/>
                    <w:left w:val="single" w:color="auto" w:sz="4" w:space="0"/>
                    <w:bottom w:val="single" w:color="auto" w:sz="4" w:space="0"/>
                    <w:right w:val="single" w:color="auto" w:sz="4" w:space="0"/>
                  </w:tcBorders>
                  <w:noWrap w:val="0"/>
                  <w:vAlign w:val="center"/>
                </w:tcPr>
                <w:p w14:paraId="0D8A1E4E">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kern w:val="2"/>
                      <w:sz w:val="21"/>
                      <w:szCs w:val="21"/>
                      <w:lang w:val="en-US"/>
                    </w:rPr>
                  </w:pPr>
                  <w:r>
                    <w:rPr>
                      <w:rFonts w:hint="default" w:ascii="Times New Roman" w:hAnsi="Times New Roman" w:eastAsia="宋体" w:cs="Times New Roman"/>
                      <w:b/>
                      <w:bCs/>
                      <w:color w:val="auto"/>
                      <w:spacing w:val="-2"/>
                      <w:kern w:val="2"/>
                      <w:sz w:val="21"/>
                      <w:szCs w:val="21"/>
                      <w:lang w:val="en-US" w:eastAsia="zh-CN" w:bidi="ar"/>
                    </w:rPr>
                    <w:t>原辅料名称</w:t>
                  </w:r>
                </w:p>
              </w:tc>
              <w:tc>
                <w:tcPr>
                  <w:tcW w:w="1135" w:type="pct"/>
                  <w:tcBorders>
                    <w:top w:val="single" w:color="auto" w:sz="4" w:space="0"/>
                    <w:left w:val="nil"/>
                    <w:bottom w:val="single" w:color="auto" w:sz="4" w:space="0"/>
                    <w:right w:val="single" w:color="auto" w:sz="4" w:space="0"/>
                  </w:tcBorders>
                  <w:noWrap w:val="0"/>
                  <w:vAlign w:val="center"/>
                </w:tcPr>
                <w:p w14:paraId="74EE6F64">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kern w:val="2"/>
                      <w:sz w:val="21"/>
                      <w:szCs w:val="21"/>
                      <w:lang w:val="en-US"/>
                    </w:rPr>
                  </w:pPr>
                  <w:r>
                    <w:rPr>
                      <w:rFonts w:hint="default" w:ascii="Times New Roman" w:hAnsi="Times New Roman" w:eastAsia="宋体" w:cs="Times New Roman"/>
                      <w:b/>
                      <w:bCs/>
                      <w:color w:val="auto"/>
                      <w:spacing w:val="-2"/>
                      <w:kern w:val="2"/>
                      <w:sz w:val="21"/>
                      <w:szCs w:val="21"/>
                      <w:lang w:val="en-US" w:eastAsia="zh-CN" w:bidi="ar"/>
                    </w:rPr>
                    <w:t>规格</w:t>
                  </w:r>
                </w:p>
              </w:tc>
              <w:tc>
                <w:tcPr>
                  <w:tcW w:w="681" w:type="pct"/>
                  <w:tcBorders>
                    <w:top w:val="single" w:color="auto" w:sz="4" w:space="0"/>
                    <w:left w:val="nil"/>
                    <w:bottom w:val="single" w:color="auto" w:sz="4" w:space="0"/>
                    <w:right w:val="single" w:color="auto" w:sz="4" w:space="0"/>
                  </w:tcBorders>
                  <w:noWrap w:val="0"/>
                  <w:vAlign w:val="center"/>
                </w:tcPr>
                <w:p w14:paraId="35123E8B">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kern w:val="2"/>
                      <w:sz w:val="21"/>
                      <w:szCs w:val="21"/>
                      <w:lang w:val="en-US"/>
                    </w:rPr>
                  </w:pPr>
                  <w:r>
                    <w:rPr>
                      <w:rFonts w:hint="default" w:ascii="Times New Roman" w:hAnsi="Times New Roman" w:eastAsia="宋体" w:cs="Times New Roman"/>
                      <w:b/>
                      <w:bCs/>
                      <w:color w:val="auto"/>
                      <w:spacing w:val="-2"/>
                      <w:kern w:val="2"/>
                      <w:sz w:val="21"/>
                      <w:szCs w:val="21"/>
                      <w:lang w:val="en-US" w:eastAsia="zh-CN" w:bidi="ar"/>
                    </w:rPr>
                    <w:t>包装方式</w:t>
                  </w:r>
                </w:p>
              </w:tc>
              <w:tc>
                <w:tcPr>
                  <w:tcW w:w="734" w:type="pct"/>
                  <w:gridSpan w:val="2"/>
                  <w:tcBorders>
                    <w:top w:val="single" w:color="auto" w:sz="4" w:space="0"/>
                    <w:left w:val="nil"/>
                    <w:bottom w:val="single" w:color="auto" w:sz="4" w:space="0"/>
                    <w:right w:val="single" w:color="auto" w:sz="4" w:space="0"/>
                  </w:tcBorders>
                  <w:noWrap w:val="0"/>
                  <w:vAlign w:val="center"/>
                </w:tcPr>
                <w:p w14:paraId="51796AD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kern w:val="2"/>
                      <w:sz w:val="21"/>
                      <w:szCs w:val="21"/>
                      <w:lang w:val="en-US"/>
                    </w:rPr>
                  </w:pPr>
                  <w:r>
                    <w:rPr>
                      <w:rFonts w:hint="default" w:ascii="Times New Roman" w:hAnsi="Times New Roman" w:eastAsia="宋体" w:cs="Times New Roman"/>
                      <w:b/>
                      <w:bCs/>
                      <w:color w:val="auto"/>
                      <w:spacing w:val="-2"/>
                      <w:kern w:val="2"/>
                      <w:sz w:val="21"/>
                      <w:szCs w:val="21"/>
                      <w:lang w:val="en-US" w:eastAsia="zh-CN" w:bidi="ar"/>
                    </w:rPr>
                    <w:t>贮存位置</w:t>
                  </w:r>
                </w:p>
              </w:tc>
              <w:tc>
                <w:tcPr>
                  <w:tcW w:w="845" w:type="pct"/>
                  <w:tcBorders>
                    <w:top w:val="single" w:color="auto" w:sz="4" w:space="0"/>
                    <w:left w:val="nil"/>
                    <w:bottom w:val="single" w:color="auto" w:sz="4" w:space="0"/>
                    <w:right w:val="single" w:color="auto" w:sz="4" w:space="0"/>
                  </w:tcBorders>
                  <w:noWrap w:val="0"/>
                  <w:vAlign w:val="center"/>
                </w:tcPr>
                <w:p w14:paraId="1020FA2E">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spacing w:val="-2"/>
                      <w:kern w:val="2"/>
                      <w:sz w:val="21"/>
                      <w:szCs w:val="21"/>
                      <w:lang w:val="en-US" w:eastAsia="zh-CN" w:bidi="ar"/>
                    </w:rPr>
                  </w:pPr>
                  <w:r>
                    <w:rPr>
                      <w:rFonts w:hint="default" w:ascii="Times New Roman" w:hAnsi="Times New Roman" w:eastAsia="宋体" w:cs="Times New Roman"/>
                      <w:b/>
                      <w:bCs/>
                      <w:color w:val="auto"/>
                      <w:spacing w:val="-2"/>
                      <w:kern w:val="2"/>
                      <w:sz w:val="21"/>
                      <w:szCs w:val="21"/>
                      <w:lang w:val="en-US" w:eastAsia="zh-CN" w:bidi="ar"/>
                    </w:rPr>
                    <w:t>年</w:t>
                  </w:r>
                  <w:r>
                    <w:rPr>
                      <w:rFonts w:hint="eastAsia" w:ascii="Times New Roman" w:hAnsi="Times New Roman" w:eastAsia="宋体" w:cs="Times New Roman"/>
                      <w:b/>
                      <w:bCs/>
                      <w:color w:val="auto"/>
                      <w:spacing w:val="-2"/>
                      <w:kern w:val="2"/>
                      <w:sz w:val="21"/>
                      <w:szCs w:val="21"/>
                      <w:lang w:val="en-US" w:eastAsia="zh-CN" w:bidi="ar"/>
                    </w:rPr>
                    <w:t>处理量</w:t>
                  </w:r>
                </w:p>
              </w:tc>
              <w:tc>
                <w:tcPr>
                  <w:tcW w:w="795" w:type="pct"/>
                  <w:tcBorders>
                    <w:top w:val="single" w:color="auto" w:sz="4" w:space="0"/>
                    <w:left w:val="nil"/>
                    <w:bottom w:val="single" w:color="auto" w:sz="4" w:space="0"/>
                    <w:right w:val="single" w:color="auto" w:sz="4" w:space="0"/>
                  </w:tcBorders>
                  <w:noWrap w:val="0"/>
                  <w:vAlign w:val="center"/>
                </w:tcPr>
                <w:p w14:paraId="562AC014">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spacing w:val="-2"/>
                      <w:kern w:val="2"/>
                      <w:sz w:val="21"/>
                      <w:szCs w:val="21"/>
                      <w:lang w:val="en-US" w:eastAsia="zh-CN" w:bidi="ar"/>
                    </w:rPr>
                  </w:pPr>
                  <w:r>
                    <w:rPr>
                      <w:rFonts w:hint="eastAsia" w:ascii="Times New Roman" w:hAnsi="Times New Roman" w:eastAsia="宋体" w:cs="Times New Roman"/>
                      <w:b/>
                      <w:bCs/>
                      <w:color w:val="auto"/>
                      <w:spacing w:val="-2"/>
                      <w:kern w:val="2"/>
                      <w:sz w:val="21"/>
                      <w:szCs w:val="21"/>
                      <w:lang w:val="en-US" w:eastAsia="zh-CN" w:bidi="ar"/>
                    </w:rPr>
                    <w:t>日处理量</w:t>
                  </w:r>
                </w:p>
              </w:tc>
            </w:tr>
            <w:tr w14:paraId="132E1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7"/>
                  <w:tcBorders>
                    <w:top w:val="nil"/>
                    <w:left w:val="single" w:color="auto" w:sz="4" w:space="0"/>
                    <w:bottom w:val="single" w:color="auto" w:sz="4" w:space="0"/>
                    <w:right w:val="single" w:color="auto" w:sz="4" w:space="0"/>
                  </w:tcBorders>
                  <w:noWrap w:val="0"/>
                  <w:vAlign w:val="center"/>
                </w:tcPr>
                <w:p w14:paraId="3FD47128">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kern w:val="2"/>
                      <w:sz w:val="21"/>
                      <w:szCs w:val="21"/>
                      <w:lang w:val="en-US"/>
                    </w:rPr>
                  </w:pPr>
                  <w:r>
                    <w:rPr>
                      <w:rFonts w:hint="default" w:ascii="Times New Roman" w:hAnsi="Times New Roman" w:eastAsia="宋体" w:cs="Times New Roman"/>
                      <w:b/>
                      <w:bCs/>
                      <w:color w:val="auto"/>
                      <w:spacing w:val="-2"/>
                      <w:kern w:val="2"/>
                      <w:sz w:val="21"/>
                      <w:szCs w:val="21"/>
                      <w:lang w:val="en-US" w:eastAsia="zh-CN" w:bidi="ar"/>
                    </w:rPr>
                    <w:t>一、原料</w:t>
                  </w:r>
                </w:p>
              </w:tc>
            </w:tr>
            <w:tr w14:paraId="7A20C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pct"/>
                  <w:tcBorders>
                    <w:top w:val="nil"/>
                    <w:left w:val="single" w:color="auto" w:sz="4" w:space="0"/>
                    <w:bottom w:val="single" w:color="auto" w:sz="4" w:space="0"/>
                    <w:right w:val="single" w:color="auto" w:sz="4" w:space="0"/>
                  </w:tcBorders>
                  <w:noWrap w:val="0"/>
                  <w:vAlign w:val="center"/>
                </w:tcPr>
                <w:p w14:paraId="063BC08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lang w:val="en-US"/>
                    </w:rPr>
                  </w:pPr>
                  <w:r>
                    <w:rPr>
                      <w:rFonts w:hint="eastAsia" w:ascii="Times New Roman" w:hAnsi="Times New Roman" w:eastAsia="宋体" w:cs="Times New Roman"/>
                      <w:color w:val="auto"/>
                      <w:spacing w:val="-2"/>
                      <w:kern w:val="2"/>
                      <w:sz w:val="21"/>
                      <w:szCs w:val="21"/>
                      <w:lang w:val="en-US" w:eastAsia="zh-CN" w:bidi="ar"/>
                    </w:rPr>
                    <w:t>餐厨垃圾</w:t>
                  </w:r>
                </w:p>
              </w:tc>
              <w:tc>
                <w:tcPr>
                  <w:tcW w:w="1135" w:type="pct"/>
                  <w:tcBorders>
                    <w:top w:val="nil"/>
                    <w:left w:val="nil"/>
                    <w:bottom w:val="single" w:color="auto" w:sz="4" w:space="0"/>
                    <w:right w:val="single" w:color="auto" w:sz="4" w:space="0"/>
                  </w:tcBorders>
                  <w:noWrap w:val="0"/>
                  <w:vAlign w:val="center"/>
                </w:tcPr>
                <w:p w14:paraId="1A170405">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lang w:val="en-US"/>
                    </w:rPr>
                  </w:pPr>
                  <w:r>
                    <w:rPr>
                      <w:rFonts w:hint="default" w:ascii="Times New Roman" w:hAnsi="Times New Roman" w:eastAsia="宋体" w:cs="Times New Roman"/>
                      <w:color w:val="auto"/>
                      <w:spacing w:val="-2"/>
                      <w:kern w:val="2"/>
                      <w:sz w:val="21"/>
                      <w:szCs w:val="21"/>
                      <w:lang w:val="en-US" w:eastAsia="zh-CN" w:bidi="ar"/>
                    </w:rPr>
                    <w:t>含油约</w:t>
                  </w:r>
                  <w:r>
                    <w:rPr>
                      <w:rFonts w:hint="eastAsia" w:ascii="Times New Roman" w:hAnsi="Times New Roman" w:eastAsia="宋体" w:cs="Times New Roman"/>
                      <w:color w:val="auto"/>
                      <w:spacing w:val="-2"/>
                      <w:kern w:val="2"/>
                      <w:sz w:val="21"/>
                      <w:szCs w:val="21"/>
                      <w:lang w:val="en-US" w:eastAsia="zh-CN" w:bidi="ar"/>
                    </w:rPr>
                    <w:t>4</w:t>
                  </w:r>
                  <w:r>
                    <w:rPr>
                      <w:rFonts w:hint="default" w:ascii="Times New Roman" w:hAnsi="Times New Roman" w:eastAsia="宋体" w:cs="Times New Roman"/>
                      <w:color w:val="auto"/>
                      <w:spacing w:val="-2"/>
                      <w:kern w:val="2"/>
                      <w:sz w:val="21"/>
                      <w:szCs w:val="21"/>
                      <w:lang w:val="en-US" w:eastAsia="zh-CN" w:bidi="ar"/>
                    </w:rPr>
                    <w:t>%</w:t>
                  </w:r>
                </w:p>
              </w:tc>
              <w:tc>
                <w:tcPr>
                  <w:tcW w:w="681" w:type="pct"/>
                  <w:tcBorders>
                    <w:top w:val="nil"/>
                    <w:left w:val="nil"/>
                    <w:bottom w:val="single" w:color="auto" w:sz="4" w:space="0"/>
                    <w:right w:val="single" w:color="auto" w:sz="4" w:space="0"/>
                  </w:tcBorders>
                  <w:noWrap w:val="0"/>
                  <w:vAlign w:val="center"/>
                </w:tcPr>
                <w:p w14:paraId="1451FEE8">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lang w:val="en-US"/>
                    </w:rPr>
                  </w:pPr>
                  <w:r>
                    <w:rPr>
                      <w:rFonts w:hint="eastAsia" w:ascii="Times New Roman" w:hAnsi="Times New Roman" w:eastAsia="宋体" w:cs="Times New Roman"/>
                      <w:color w:val="auto"/>
                      <w:spacing w:val="-2"/>
                      <w:kern w:val="2"/>
                      <w:sz w:val="21"/>
                      <w:szCs w:val="21"/>
                      <w:lang w:val="en-US" w:eastAsia="zh-CN" w:bidi="ar"/>
                    </w:rPr>
                    <w:t>餐厨垃圾</w:t>
                  </w:r>
                  <w:r>
                    <w:rPr>
                      <w:rFonts w:hint="default" w:ascii="Times New Roman" w:hAnsi="Times New Roman" w:eastAsia="宋体" w:cs="Times New Roman"/>
                      <w:color w:val="auto"/>
                      <w:spacing w:val="-2"/>
                      <w:kern w:val="2"/>
                      <w:sz w:val="21"/>
                      <w:szCs w:val="21"/>
                      <w:lang w:val="en-US" w:eastAsia="zh-CN" w:bidi="ar"/>
                    </w:rPr>
                    <w:t>收运车</w:t>
                  </w:r>
                </w:p>
              </w:tc>
              <w:tc>
                <w:tcPr>
                  <w:tcW w:w="734" w:type="pct"/>
                  <w:gridSpan w:val="2"/>
                  <w:tcBorders>
                    <w:top w:val="nil"/>
                    <w:left w:val="nil"/>
                    <w:bottom w:val="single" w:color="auto" w:sz="4" w:space="0"/>
                    <w:right w:val="single" w:color="auto" w:sz="4" w:space="0"/>
                  </w:tcBorders>
                  <w:noWrap w:val="0"/>
                  <w:vAlign w:val="center"/>
                </w:tcPr>
                <w:p w14:paraId="656F0CA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lang w:val="en-US"/>
                    </w:rPr>
                  </w:pPr>
                  <w:r>
                    <w:rPr>
                      <w:rFonts w:hint="default" w:ascii="Times New Roman" w:hAnsi="Times New Roman" w:eastAsia="宋体" w:cs="Times New Roman"/>
                      <w:color w:val="auto"/>
                      <w:spacing w:val="-2"/>
                      <w:kern w:val="2"/>
                      <w:sz w:val="21"/>
                      <w:szCs w:val="21"/>
                      <w:lang w:val="en-US" w:eastAsia="zh-CN" w:bidi="ar"/>
                    </w:rPr>
                    <w:t>预处理车间接料斗</w:t>
                  </w:r>
                  <w:r>
                    <w:rPr>
                      <w:rFonts w:hint="eastAsia" w:ascii="Times New Roman" w:hAnsi="Times New Roman" w:eastAsia="宋体" w:cs="Times New Roman"/>
                      <w:color w:val="auto"/>
                      <w:spacing w:val="-2"/>
                      <w:kern w:val="2"/>
                      <w:sz w:val="21"/>
                      <w:szCs w:val="21"/>
                      <w:lang w:val="en-US" w:eastAsia="zh-CN" w:bidi="ar"/>
                    </w:rPr>
                    <w:t>1</w:t>
                  </w:r>
                </w:p>
              </w:tc>
              <w:tc>
                <w:tcPr>
                  <w:tcW w:w="845" w:type="pct"/>
                  <w:tcBorders>
                    <w:top w:val="nil"/>
                    <w:left w:val="nil"/>
                    <w:bottom w:val="single" w:color="auto" w:sz="4" w:space="0"/>
                    <w:right w:val="single" w:color="auto" w:sz="4" w:space="0"/>
                  </w:tcBorders>
                  <w:noWrap w:val="0"/>
                  <w:vAlign w:val="center"/>
                </w:tcPr>
                <w:p w14:paraId="409F0F3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pacing w:val="-2"/>
                      <w:kern w:val="2"/>
                      <w:sz w:val="21"/>
                      <w:szCs w:val="21"/>
                      <w:lang w:val="en-US" w:eastAsia="zh-CN" w:bidi="ar"/>
                    </w:rPr>
                  </w:pPr>
                  <w:r>
                    <w:rPr>
                      <w:rFonts w:hint="eastAsia" w:ascii="Times New Roman" w:hAnsi="Times New Roman" w:eastAsia="宋体" w:cs="Times New Roman"/>
                      <w:color w:val="auto"/>
                      <w:spacing w:val="-2"/>
                      <w:kern w:val="2"/>
                      <w:sz w:val="21"/>
                      <w:szCs w:val="21"/>
                      <w:lang w:val="en-US" w:eastAsia="zh-CN" w:bidi="ar"/>
                    </w:rPr>
                    <w:t>300</w:t>
                  </w:r>
                  <w:r>
                    <w:rPr>
                      <w:rFonts w:hint="default" w:ascii="Times New Roman" w:hAnsi="Times New Roman" w:eastAsia="宋体" w:cs="Times New Roman"/>
                      <w:color w:val="auto"/>
                      <w:spacing w:val="-2"/>
                      <w:kern w:val="2"/>
                      <w:sz w:val="21"/>
                      <w:szCs w:val="21"/>
                      <w:lang w:val="en-US" w:eastAsia="zh-CN" w:bidi="ar"/>
                    </w:rPr>
                    <w:t>0t</w:t>
                  </w:r>
                </w:p>
              </w:tc>
              <w:tc>
                <w:tcPr>
                  <w:tcW w:w="795" w:type="pct"/>
                  <w:tcBorders>
                    <w:top w:val="nil"/>
                    <w:left w:val="nil"/>
                    <w:bottom w:val="single" w:color="auto" w:sz="4" w:space="0"/>
                    <w:right w:val="single" w:color="auto" w:sz="4" w:space="0"/>
                  </w:tcBorders>
                  <w:noWrap w:val="0"/>
                  <w:vAlign w:val="center"/>
                </w:tcPr>
                <w:p w14:paraId="5988190F">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pacing w:val="-2"/>
                      <w:kern w:val="2"/>
                      <w:sz w:val="21"/>
                      <w:szCs w:val="21"/>
                      <w:lang w:val="en-US" w:eastAsia="zh-CN" w:bidi="ar"/>
                    </w:rPr>
                  </w:pPr>
                  <w:r>
                    <w:rPr>
                      <w:rFonts w:hint="eastAsia" w:ascii="Times New Roman" w:hAnsi="Times New Roman" w:eastAsia="宋体" w:cs="Times New Roman"/>
                      <w:color w:val="auto"/>
                      <w:spacing w:val="-2"/>
                      <w:kern w:val="2"/>
                      <w:sz w:val="21"/>
                      <w:szCs w:val="21"/>
                      <w:lang w:val="en-US" w:eastAsia="zh-CN" w:bidi="ar"/>
                    </w:rPr>
                    <w:t>9.09t</w:t>
                  </w:r>
                </w:p>
              </w:tc>
            </w:tr>
            <w:tr w14:paraId="3A627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pct"/>
                  <w:tcBorders>
                    <w:top w:val="nil"/>
                    <w:left w:val="single" w:color="auto" w:sz="4" w:space="0"/>
                    <w:bottom w:val="single" w:color="auto" w:sz="4" w:space="0"/>
                    <w:right w:val="single" w:color="auto" w:sz="4" w:space="0"/>
                  </w:tcBorders>
                  <w:noWrap w:val="0"/>
                  <w:vAlign w:val="center"/>
                </w:tcPr>
                <w:p w14:paraId="4B11D9A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pacing w:val="-2"/>
                      <w:kern w:val="2"/>
                      <w:sz w:val="21"/>
                      <w:szCs w:val="21"/>
                      <w:lang w:val="en-US" w:eastAsia="zh-CN" w:bidi="ar"/>
                    </w:rPr>
                  </w:pPr>
                  <w:r>
                    <w:rPr>
                      <w:rFonts w:hint="eastAsia" w:ascii="Times New Roman" w:hAnsi="Times New Roman" w:eastAsia="宋体" w:cs="Times New Roman"/>
                      <w:color w:val="auto"/>
                      <w:spacing w:val="-2"/>
                      <w:kern w:val="2"/>
                      <w:sz w:val="21"/>
                      <w:szCs w:val="21"/>
                      <w:lang w:val="en-US" w:eastAsia="zh-CN" w:bidi="ar"/>
                    </w:rPr>
                    <w:t>餐厨废弃油脂</w:t>
                  </w:r>
                </w:p>
              </w:tc>
              <w:tc>
                <w:tcPr>
                  <w:tcW w:w="1135" w:type="pct"/>
                  <w:tcBorders>
                    <w:top w:val="nil"/>
                    <w:left w:val="nil"/>
                    <w:bottom w:val="single" w:color="auto" w:sz="4" w:space="0"/>
                    <w:right w:val="single" w:color="auto" w:sz="4" w:space="0"/>
                  </w:tcBorders>
                  <w:noWrap w:val="0"/>
                  <w:vAlign w:val="center"/>
                </w:tcPr>
                <w:p w14:paraId="382AF6C2">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pacing w:val="-2"/>
                      <w:kern w:val="2"/>
                      <w:sz w:val="21"/>
                      <w:szCs w:val="21"/>
                      <w:lang w:val="en-US" w:eastAsia="zh-CN" w:bidi="ar"/>
                    </w:rPr>
                  </w:pPr>
                  <w:r>
                    <w:rPr>
                      <w:rFonts w:hint="eastAsia" w:ascii="Times New Roman" w:hAnsi="Times New Roman" w:eastAsia="宋体" w:cs="Times New Roman"/>
                      <w:color w:val="auto"/>
                      <w:spacing w:val="-2"/>
                      <w:kern w:val="2"/>
                      <w:sz w:val="21"/>
                      <w:szCs w:val="21"/>
                      <w:lang w:val="en-US" w:eastAsia="zh-CN" w:bidi="ar"/>
                    </w:rPr>
                    <w:t>油脂含量约63.2%</w:t>
                  </w:r>
                </w:p>
              </w:tc>
              <w:tc>
                <w:tcPr>
                  <w:tcW w:w="681" w:type="pct"/>
                  <w:tcBorders>
                    <w:top w:val="nil"/>
                    <w:left w:val="nil"/>
                    <w:bottom w:val="single" w:color="auto" w:sz="4" w:space="0"/>
                    <w:right w:val="single" w:color="auto" w:sz="4" w:space="0"/>
                  </w:tcBorders>
                  <w:noWrap w:val="0"/>
                  <w:vAlign w:val="center"/>
                </w:tcPr>
                <w:p w14:paraId="2415C83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lang w:val="en-US"/>
                    </w:rPr>
                  </w:pPr>
                  <w:r>
                    <w:rPr>
                      <w:rFonts w:hint="eastAsia" w:ascii="Times New Roman" w:hAnsi="Times New Roman" w:eastAsia="宋体" w:cs="Times New Roman"/>
                      <w:color w:val="auto"/>
                      <w:spacing w:val="-2"/>
                      <w:kern w:val="2"/>
                      <w:sz w:val="21"/>
                      <w:szCs w:val="21"/>
                      <w:lang w:val="en-US" w:eastAsia="zh-CN" w:bidi="ar"/>
                    </w:rPr>
                    <w:t>桶装</w:t>
                  </w:r>
                </w:p>
              </w:tc>
              <w:tc>
                <w:tcPr>
                  <w:tcW w:w="734" w:type="pct"/>
                  <w:gridSpan w:val="2"/>
                  <w:tcBorders>
                    <w:top w:val="nil"/>
                    <w:left w:val="nil"/>
                    <w:bottom w:val="single" w:color="auto" w:sz="4" w:space="0"/>
                    <w:right w:val="single" w:color="auto" w:sz="4" w:space="0"/>
                  </w:tcBorders>
                  <w:noWrap w:val="0"/>
                  <w:vAlign w:val="center"/>
                </w:tcPr>
                <w:p w14:paraId="4A6BEC48">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lang w:val="en-US"/>
                    </w:rPr>
                  </w:pPr>
                  <w:r>
                    <w:rPr>
                      <w:rFonts w:hint="default" w:ascii="Times New Roman" w:hAnsi="Times New Roman" w:eastAsia="宋体" w:cs="Times New Roman"/>
                      <w:color w:val="auto"/>
                      <w:spacing w:val="-2"/>
                      <w:kern w:val="2"/>
                      <w:sz w:val="21"/>
                      <w:szCs w:val="21"/>
                      <w:lang w:val="en-US" w:eastAsia="zh-CN" w:bidi="ar"/>
                    </w:rPr>
                    <w:t>预处理车间接料斗</w:t>
                  </w:r>
                  <w:r>
                    <w:rPr>
                      <w:rFonts w:hint="eastAsia" w:ascii="Times New Roman" w:hAnsi="Times New Roman" w:eastAsia="宋体" w:cs="Times New Roman"/>
                      <w:color w:val="auto"/>
                      <w:spacing w:val="-2"/>
                      <w:kern w:val="2"/>
                      <w:sz w:val="21"/>
                      <w:szCs w:val="21"/>
                      <w:lang w:val="en-US" w:eastAsia="zh-CN" w:bidi="ar"/>
                    </w:rPr>
                    <w:t>2</w:t>
                  </w:r>
                </w:p>
              </w:tc>
              <w:tc>
                <w:tcPr>
                  <w:tcW w:w="845" w:type="pct"/>
                  <w:tcBorders>
                    <w:top w:val="nil"/>
                    <w:left w:val="nil"/>
                    <w:bottom w:val="single" w:color="auto" w:sz="4" w:space="0"/>
                    <w:right w:val="single" w:color="auto" w:sz="4" w:space="0"/>
                  </w:tcBorders>
                  <w:noWrap w:val="0"/>
                  <w:vAlign w:val="center"/>
                </w:tcPr>
                <w:p w14:paraId="5E048FBF">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pacing w:val="-2"/>
                      <w:kern w:val="2"/>
                      <w:sz w:val="21"/>
                      <w:szCs w:val="21"/>
                      <w:lang w:val="en-US" w:eastAsia="zh-CN" w:bidi="ar"/>
                    </w:rPr>
                  </w:pPr>
                  <w:r>
                    <w:rPr>
                      <w:rFonts w:hint="eastAsia" w:ascii="Times New Roman" w:hAnsi="Times New Roman" w:eastAsia="宋体" w:cs="Times New Roman"/>
                      <w:color w:val="auto"/>
                      <w:spacing w:val="-2"/>
                      <w:kern w:val="2"/>
                      <w:sz w:val="21"/>
                      <w:szCs w:val="21"/>
                      <w:lang w:val="en-US" w:eastAsia="zh-CN" w:bidi="ar"/>
                    </w:rPr>
                    <w:t>12000</w:t>
                  </w:r>
                  <w:r>
                    <w:rPr>
                      <w:rFonts w:hint="default" w:ascii="Times New Roman" w:hAnsi="Times New Roman" w:eastAsia="宋体" w:cs="Times New Roman"/>
                      <w:color w:val="auto"/>
                      <w:spacing w:val="-2"/>
                      <w:kern w:val="2"/>
                      <w:sz w:val="21"/>
                      <w:szCs w:val="21"/>
                      <w:lang w:val="en-US" w:eastAsia="zh-CN" w:bidi="ar"/>
                    </w:rPr>
                    <w:t>t</w:t>
                  </w:r>
                </w:p>
              </w:tc>
              <w:tc>
                <w:tcPr>
                  <w:tcW w:w="795" w:type="pct"/>
                  <w:tcBorders>
                    <w:top w:val="nil"/>
                    <w:left w:val="nil"/>
                    <w:bottom w:val="single" w:color="auto" w:sz="4" w:space="0"/>
                    <w:right w:val="single" w:color="auto" w:sz="4" w:space="0"/>
                  </w:tcBorders>
                  <w:noWrap w:val="0"/>
                  <w:vAlign w:val="center"/>
                </w:tcPr>
                <w:p w14:paraId="311387A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pacing w:val="-2"/>
                      <w:kern w:val="2"/>
                      <w:sz w:val="21"/>
                      <w:szCs w:val="21"/>
                      <w:lang w:val="en-US" w:eastAsia="zh-CN" w:bidi="ar"/>
                    </w:rPr>
                  </w:pPr>
                  <w:r>
                    <w:rPr>
                      <w:rFonts w:hint="eastAsia" w:ascii="Times New Roman" w:hAnsi="Times New Roman" w:eastAsia="宋体" w:cs="Times New Roman"/>
                      <w:color w:val="auto"/>
                      <w:spacing w:val="-2"/>
                      <w:kern w:val="2"/>
                      <w:sz w:val="21"/>
                      <w:szCs w:val="21"/>
                      <w:lang w:val="en-US" w:eastAsia="zh-CN" w:bidi="ar"/>
                    </w:rPr>
                    <w:t>36.36t</w:t>
                  </w:r>
                </w:p>
              </w:tc>
            </w:tr>
            <w:tr w14:paraId="65036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7"/>
                  <w:tcBorders>
                    <w:top w:val="nil"/>
                    <w:left w:val="single" w:color="auto" w:sz="4" w:space="0"/>
                    <w:bottom w:val="single" w:color="auto" w:sz="4" w:space="0"/>
                    <w:right w:val="single" w:color="auto" w:sz="4" w:space="0"/>
                  </w:tcBorders>
                  <w:noWrap w:val="0"/>
                  <w:vAlign w:val="center"/>
                </w:tcPr>
                <w:p w14:paraId="5108374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kern w:val="2"/>
                      <w:sz w:val="21"/>
                      <w:szCs w:val="21"/>
                      <w:lang w:val="en-US"/>
                    </w:rPr>
                  </w:pPr>
                  <w:r>
                    <w:rPr>
                      <w:rFonts w:hint="default" w:ascii="Times New Roman" w:hAnsi="Times New Roman" w:eastAsia="宋体" w:cs="Times New Roman"/>
                      <w:b/>
                      <w:bCs/>
                      <w:color w:val="auto"/>
                      <w:spacing w:val="-2"/>
                      <w:kern w:val="2"/>
                      <w:sz w:val="21"/>
                      <w:szCs w:val="21"/>
                      <w:lang w:val="en-US" w:eastAsia="zh-CN" w:bidi="ar"/>
                    </w:rPr>
                    <w:t>二、辅料</w:t>
                  </w:r>
                </w:p>
              </w:tc>
            </w:tr>
            <w:tr w14:paraId="46A17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7"/>
                  <w:tcBorders>
                    <w:top w:val="nil"/>
                    <w:left w:val="single" w:color="auto" w:sz="4" w:space="0"/>
                    <w:bottom w:val="single" w:color="auto" w:sz="4" w:space="0"/>
                    <w:right w:val="single" w:color="auto" w:sz="4" w:space="0"/>
                  </w:tcBorders>
                  <w:noWrap w:val="0"/>
                  <w:vAlign w:val="center"/>
                </w:tcPr>
                <w:p w14:paraId="6747A96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left"/>
                    <w:textAlignment w:val="auto"/>
                    <w:rPr>
                      <w:rFonts w:hint="default" w:ascii="Times New Roman" w:hAnsi="Times New Roman" w:eastAsia="宋体" w:cs="Times New Roman"/>
                      <w:color w:val="auto"/>
                      <w:kern w:val="2"/>
                      <w:sz w:val="21"/>
                      <w:szCs w:val="21"/>
                      <w:lang w:val="en-US"/>
                    </w:rPr>
                  </w:pPr>
                  <w:r>
                    <w:rPr>
                      <w:rFonts w:hint="eastAsia" w:cs="Times New Roman"/>
                      <w:color w:val="auto"/>
                      <w:spacing w:val="-2"/>
                      <w:kern w:val="2"/>
                      <w:sz w:val="21"/>
                      <w:szCs w:val="21"/>
                      <w:lang w:val="en-US" w:eastAsia="zh-CN" w:bidi="ar"/>
                    </w:rPr>
                    <w:t>1</w:t>
                  </w:r>
                  <w:r>
                    <w:rPr>
                      <w:rFonts w:hint="default" w:ascii="Times New Roman" w:hAnsi="Times New Roman" w:eastAsia="宋体" w:cs="Times New Roman"/>
                      <w:color w:val="auto"/>
                      <w:spacing w:val="-2"/>
                      <w:kern w:val="2"/>
                      <w:sz w:val="21"/>
                      <w:szCs w:val="21"/>
                      <w:lang w:val="en-US" w:eastAsia="zh-CN" w:bidi="ar"/>
                    </w:rPr>
                    <w:t>.除臭系统药剂　</w:t>
                  </w:r>
                </w:p>
              </w:tc>
            </w:tr>
            <w:tr w14:paraId="2DDCB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pct"/>
                  <w:tcBorders>
                    <w:top w:val="nil"/>
                    <w:left w:val="single" w:color="auto" w:sz="4" w:space="0"/>
                    <w:bottom w:val="single" w:color="auto" w:sz="4" w:space="0"/>
                    <w:right w:val="single" w:color="auto" w:sz="4" w:space="0"/>
                  </w:tcBorders>
                  <w:noWrap w:val="0"/>
                  <w:vAlign w:val="center"/>
                </w:tcPr>
                <w:p w14:paraId="2677EDA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lang w:val="en-US"/>
                    </w:rPr>
                  </w:pPr>
                  <w:r>
                    <w:rPr>
                      <w:rFonts w:hint="default" w:ascii="Times New Roman" w:hAnsi="Times New Roman" w:eastAsia="宋体" w:cs="Times New Roman"/>
                      <w:color w:val="auto"/>
                      <w:spacing w:val="-2"/>
                      <w:kern w:val="2"/>
                      <w:sz w:val="21"/>
                      <w:szCs w:val="21"/>
                      <w:lang w:val="en-US" w:eastAsia="zh-CN" w:bidi="ar"/>
                    </w:rPr>
                    <w:t>除臭药剂</w:t>
                  </w:r>
                </w:p>
              </w:tc>
              <w:tc>
                <w:tcPr>
                  <w:tcW w:w="1135" w:type="pct"/>
                  <w:tcBorders>
                    <w:top w:val="nil"/>
                    <w:left w:val="nil"/>
                    <w:bottom w:val="single" w:color="auto" w:sz="4" w:space="0"/>
                    <w:right w:val="single" w:color="auto" w:sz="4" w:space="0"/>
                  </w:tcBorders>
                  <w:noWrap w:val="0"/>
                  <w:vAlign w:val="center"/>
                </w:tcPr>
                <w:p w14:paraId="44591BD5">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color w:val="auto"/>
                      <w:highlight w:val="none"/>
                      <w:lang w:val="en-US" w:eastAsia="zh-CN"/>
                    </w:rPr>
                    <w:t>99%氢氧化钠</w:t>
                  </w:r>
                </w:p>
              </w:tc>
              <w:tc>
                <w:tcPr>
                  <w:tcW w:w="681" w:type="pct"/>
                  <w:tcBorders>
                    <w:top w:val="nil"/>
                    <w:left w:val="nil"/>
                    <w:bottom w:val="single" w:color="auto" w:sz="4" w:space="0"/>
                    <w:right w:val="single" w:color="auto" w:sz="4" w:space="0"/>
                  </w:tcBorders>
                  <w:noWrap w:val="0"/>
                  <w:vAlign w:val="center"/>
                </w:tcPr>
                <w:p w14:paraId="6659C9C3">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袋装</w:t>
                  </w:r>
                </w:p>
              </w:tc>
              <w:tc>
                <w:tcPr>
                  <w:tcW w:w="734" w:type="pct"/>
                  <w:gridSpan w:val="2"/>
                  <w:tcBorders>
                    <w:top w:val="nil"/>
                    <w:left w:val="nil"/>
                    <w:bottom w:val="single" w:color="auto" w:sz="4" w:space="0"/>
                    <w:right w:val="single" w:color="auto" w:sz="4" w:space="0"/>
                  </w:tcBorders>
                  <w:noWrap w:val="0"/>
                  <w:vAlign w:val="center"/>
                </w:tcPr>
                <w:p w14:paraId="722F110E">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化学品间</w:t>
                  </w:r>
                </w:p>
              </w:tc>
              <w:tc>
                <w:tcPr>
                  <w:tcW w:w="845" w:type="pct"/>
                  <w:tcBorders>
                    <w:top w:val="nil"/>
                    <w:left w:val="nil"/>
                    <w:bottom w:val="single" w:color="auto" w:sz="4" w:space="0"/>
                    <w:right w:val="single" w:color="auto" w:sz="4" w:space="0"/>
                  </w:tcBorders>
                  <w:noWrap w:val="0"/>
                  <w:vAlign w:val="center"/>
                </w:tcPr>
                <w:p w14:paraId="248355EF">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4t</w:t>
                  </w:r>
                </w:p>
              </w:tc>
              <w:tc>
                <w:tcPr>
                  <w:tcW w:w="795" w:type="pct"/>
                  <w:tcBorders>
                    <w:top w:val="nil"/>
                    <w:left w:val="nil"/>
                    <w:bottom w:val="single" w:color="auto" w:sz="4" w:space="0"/>
                    <w:right w:val="single" w:color="auto" w:sz="4" w:space="0"/>
                  </w:tcBorders>
                  <w:noWrap w:val="0"/>
                  <w:vAlign w:val="center"/>
                </w:tcPr>
                <w:p w14:paraId="6DAC4598">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1t</w:t>
                  </w:r>
                </w:p>
              </w:tc>
            </w:tr>
            <w:tr w14:paraId="0D3AD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pct"/>
                  <w:tcBorders>
                    <w:top w:val="nil"/>
                    <w:left w:val="single" w:color="auto" w:sz="4" w:space="0"/>
                    <w:bottom w:val="single" w:color="auto" w:sz="4" w:space="0"/>
                    <w:right w:val="single" w:color="auto" w:sz="4" w:space="0"/>
                  </w:tcBorders>
                  <w:noWrap w:val="0"/>
                  <w:vAlign w:val="center"/>
                </w:tcPr>
                <w:p w14:paraId="6C5D331B">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除臭药剂</w:t>
                  </w:r>
                </w:p>
              </w:tc>
              <w:tc>
                <w:tcPr>
                  <w:tcW w:w="1135" w:type="pct"/>
                  <w:tcBorders>
                    <w:top w:val="nil"/>
                    <w:left w:val="nil"/>
                    <w:bottom w:val="single" w:color="auto" w:sz="4" w:space="0"/>
                    <w:right w:val="single" w:color="auto" w:sz="4" w:space="0"/>
                  </w:tcBorders>
                  <w:shd w:val="clear" w:color="auto" w:fill="auto"/>
                  <w:noWrap w:val="0"/>
                  <w:vAlign w:val="center"/>
                </w:tcPr>
                <w:p w14:paraId="779BB43E">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20%硫酸</w:t>
                  </w:r>
                </w:p>
              </w:tc>
              <w:tc>
                <w:tcPr>
                  <w:tcW w:w="681" w:type="pct"/>
                  <w:tcBorders>
                    <w:top w:val="nil"/>
                    <w:left w:val="nil"/>
                    <w:bottom w:val="single" w:color="auto" w:sz="4" w:space="0"/>
                    <w:right w:val="single" w:color="auto" w:sz="4" w:space="0"/>
                  </w:tcBorders>
                  <w:shd w:val="clear" w:color="auto" w:fill="auto"/>
                  <w:noWrap w:val="0"/>
                  <w:vAlign w:val="center"/>
                </w:tcPr>
                <w:p w14:paraId="330F1105">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桶装</w:t>
                  </w:r>
                </w:p>
              </w:tc>
              <w:tc>
                <w:tcPr>
                  <w:tcW w:w="734" w:type="pct"/>
                  <w:gridSpan w:val="2"/>
                  <w:tcBorders>
                    <w:top w:val="nil"/>
                    <w:left w:val="nil"/>
                    <w:bottom w:val="single" w:color="auto" w:sz="4" w:space="0"/>
                    <w:right w:val="single" w:color="auto" w:sz="4" w:space="0"/>
                  </w:tcBorders>
                  <w:shd w:val="clear" w:color="auto" w:fill="auto"/>
                  <w:noWrap w:val="0"/>
                  <w:vAlign w:val="center"/>
                </w:tcPr>
                <w:p w14:paraId="4F279928">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化学品间</w:t>
                  </w:r>
                </w:p>
              </w:tc>
              <w:tc>
                <w:tcPr>
                  <w:tcW w:w="845" w:type="pct"/>
                  <w:tcBorders>
                    <w:top w:val="nil"/>
                    <w:left w:val="nil"/>
                    <w:bottom w:val="single" w:color="auto" w:sz="4" w:space="0"/>
                    <w:right w:val="single" w:color="auto" w:sz="4" w:space="0"/>
                  </w:tcBorders>
                  <w:shd w:val="clear" w:color="auto" w:fill="auto"/>
                  <w:noWrap w:val="0"/>
                  <w:vAlign w:val="center"/>
                </w:tcPr>
                <w:p w14:paraId="7F2C6BE2">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4t</w:t>
                  </w:r>
                </w:p>
              </w:tc>
              <w:tc>
                <w:tcPr>
                  <w:tcW w:w="795" w:type="pct"/>
                  <w:tcBorders>
                    <w:top w:val="nil"/>
                    <w:left w:val="nil"/>
                    <w:bottom w:val="single" w:color="auto" w:sz="4" w:space="0"/>
                    <w:right w:val="single" w:color="auto" w:sz="4" w:space="0"/>
                  </w:tcBorders>
                  <w:shd w:val="clear" w:color="auto" w:fill="auto"/>
                  <w:noWrap w:val="0"/>
                  <w:vAlign w:val="center"/>
                </w:tcPr>
                <w:p w14:paraId="358A33A0">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rPr>
                    <w:t>1t</w:t>
                  </w:r>
                </w:p>
              </w:tc>
            </w:tr>
            <w:tr w14:paraId="7E5E0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7" w:type="pct"/>
                  <w:tcBorders>
                    <w:top w:val="nil"/>
                    <w:left w:val="single" w:color="auto" w:sz="4" w:space="0"/>
                    <w:bottom w:val="single" w:color="auto" w:sz="4" w:space="0"/>
                    <w:right w:val="single" w:color="auto" w:sz="4" w:space="0"/>
                  </w:tcBorders>
                  <w:noWrap w:val="0"/>
                  <w:vAlign w:val="center"/>
                </w:tcPr>
                <w:p w14:paraId="01D04CA7">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次氯酸钠</w:t>
                  </w:r>
                </w:p>
              </w:tc>
              <w:tc>
                <w:tcPr>
                  <w:tcW w:w="1135" w:type="pct"/>
                  <w:tcBorders>
                    <w:top w:val="nil"/>
                    <w:left w:val="nil"/>
                    <w:bottom w:val="single" w:color="auto" w:sz="4" w:space="0"/>
                    <w:right w:val="single" w:color="auto" w:sz="4" w:space="0"/>
                  </w:tcBorders>
                  <w:shd w:val="clear" w:color="auto" w:fill="auto"/>
                  <w:noWrap w:val="0"/>
                  <w:vAlign w:val="center"/>
                </w:tcPr>
                <w:p w14:paraId="6143F6E3">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次氯酸钠（15%）</w:t>
                  </w:r>
                </w:p>
              </w:tc>
              <w:tc>
                <w:tcPr>
                  <w:tcW w:w="681" w:type="pct"/>
                  <w:tcBorders>
                    <w:top w:val="nil"/>
                    <w:left w:val="nil"/>
                    <w:bottom w:val="single" w:color="auto" w:sz="4" w:space="0"/>
                    <w:right w:val="single" w:color="auto" w:sz="4" w:space="0"/>
                  </w:tcBorders>
                  <w:shd w:val="clear" w:color="auto" w:fill="auto"/>
                  <w:noWrap w:val="0"/>
                  <w:vAlign w:val="center"/>
                </w:tcPr>
                <w:p w14:paraId="6FCCC46F">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cs="Times New Roman"/>
                      <w:color w:val="auto"/>
                      <w:kern w:val="2"/>
                      <w:sz w:val="21"/>
                      <w:szCs w:val="21"/>
                      <w:highlight w:val="none"/>
                      <w:lang w:val="en-US" w:eastAsia="zh-CN"/>
                    </w:rPr>
                  </w:pPr>
                  <w:r>
                    <w:rPr>
                      <w:rFonts w:hint="default" w:cs="Times New Roman"/>
                      <w:color w:val="auto"/>
                      <w:kern w:val="2"/>
                      <w:sz w:val="21"/>
                      <w:szCs w:val="21"/>
                      <w:highlight w:val="none"/>
                      <w:lang w:val="en-US" w:eastAsia="zh-CN"/>
                    </w:rPr>
                    <w:t>桶装</w:t>
                  </w:r>
                </w:p>
              </w:tc>
              <w:tc>
                <w:tcPr>
                  <w:tcW w:w="734" w:type="pct"/>
                  <w:gridSpan w:val="2"/>
                  <w:tcBorders>
                    <w:top w:val="nil"/>
                    <w:left w:val="nil"/>
                    <w:bottom w:val="single" w:color="auto" w:sz="4" w:space="0"/>
                    <w:right w:val="single" w:color="auto" w:sz="4" w:space="0"/>
                  </w:tcBorders>
                  <w:shd w:val="clear" w:color="auto" w:fill="auto"/>
                  <w:noWrap w:val="0"/>
                  <w:vAlign w:val="center"/>
                </w:tcPr>
                <w:p w14:paraId="1CBA219E">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化学品间</w:t>
                  </w:r>
                </w:p>
              </w:tc>
              <w:tc>
                <w:tcPr>
                  <w:tcW w:w="845" w:type="pct"/>
                  <w:tcBorders>
                    <w:top w:val="nil"/>
                    <w:left w:val="nil"/>
                    <w:bottom w:val="single" w:color="auto" w:sz="4" w:space="0"/>
                    <w:right w:val="single" w:color="auto" w:sz="4" w:space="0"/>
                  </w:tcBorders>
                  <w:shd w:val="clear" w:color="auto" w:fill="auto"/>
                  <w:noWrap w:val="0"/>
                  <w:vAlign w:val="center"/>
                </w:tcPr>
                <w:p w14:paraId="3A88A226">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4t</w:t>
                  </w:r>
                </w:p>
              </w:tc>
              <w:tc>
                <w:tcPr>
                  <w:tcW w:w="795" w:type="pct"/>
                  <w:tcBorders>
                    <w:top w:val="nil"/>
                    <w:left w:val="nil"/>
                    <w:bottom w:val="single" w:color="auto" w:sz="4" w:space="0"/>
                    <w:right w:val="single" w:color="auto" w:sz="4" w:space="0"/>
                  </w:tcBorders>
                  <w:shd w:val="clear" w:color="auto" w:fill="auto"/>
                  <w:noWrap w:val="0"/>
                  <w:vAlign w:val="center"/>
                </w:tcPr>
                <w:p w14:paraId="56913FB6">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1t</w:t>
                  </w:r>
                </w:p>
              </w:tc>
            </w:tr>
            <w:tr w14:paraId="159BC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7"/>
                  <w:tcBorders>
                    <w:top w:val="nil"/>
                    <w:left w:val="single" w:color="auto" w:sz="4" w:space="0"/>
                    <w:bottom w:val="single" w:color="auto" w:sz="4" w:space="0"/>
                    <w:right w:val="single" w:color="auto" w:sz="4" w:space="0"/>
                  </w:tcBorders>
                  <w:noWrap w:val="0"/>
                  <w:vAlign w:val="center"/>
                </w:tcPr>
                <w:p w14:paraId="357C80A2">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left"/>
                    <w:textAlignment w:val="auto"/>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项目所用浓度硫酸由原料生产商根据客户需求配置的产品。</w:t>
                  </w:r>
                </w:p>
              </w:tc>
            </w:tr>
            <w:tr w14:paraId="13A43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000" w:type="pct"/>
                  <w:gridSpan w:val="7"/>
                  <w:tcBorders>
                    <w:top w:val="single" w:color="auto" w:sz="4" w:space="0"/>
                    <w:left w:val="single" w:color="auto" w:sz="4" w:space="0"/>
                    <w:bottom w:val="single" w:color="auto" w:sz="4" w:space="0"/>
                    <w:right w:val="single" w:color="auto" w:sz="4" w:space="0"/>
                  </w:tcBorders>
                  <w:noWrap w:val="0"/>
                  <w:vAlign w:val="center"/>
                </w:tcPr>
                <w:p w14:paraId="7783913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left"/>
                    <w:textAlignment w:val="auto"/>
                    <w:rPr>
                      <w:rFonts w:hint="default" w:ascii="Times New Roman" w:hAnsi="Times New Roman" w:eastAsia="宋体" w:cs="Times New Roman"/>
                      <w:color w:val="auto"/>
                      <w:spacing w:val="-2"/>
                      <w:kern w:val="2"/>
                      <w:sz w:val="21"/>
                      <w:szCs w:val="21"/>
                      <w:lang w:val="en-US" w:eastAsia="zh-CN" w:bidi="ar"/>
                    </w:rPr>
                  </w:pPr>
                  <w:r>
                    <w:rPr>
                      <w:rFonts w:hint="eastAsia" w:cs="Times New Roman"/>
                      <w:color w:val="auto"/>
                      <w:spacing w:val="-2"/>
                      <w:kern w:val="2"/>
                      <w:sz w:val="21"/>
                      <w:szCs w:val="21"/>
                      <w:lang w:val="en-US" w:eastAsia="zh-CN" w:bidi="ar"/>
                    </w:rPr>
                    <w:t>2</w:t>
                  </w:r>
                  <w:r>
                    <w:rPr>
                      <w:rFonts w:hint="default" w:ascii="Times New Roman" w:hAnsi="Times New Roman" w:eastAsia="宋体" w:cs="Times New Roman"/>
                      <w:color w:val="auto"/>
                      <w:spacing w:val="-2"/>
                      <w:kern w:val="2"/>
                      <w:sz w:val="21"/>
                      <w:szCs w:val="21"/>
                      <w:lang w:val="en-US" w:eastAsia="zh-CN" w:bidi="ar"/>
                    </w:rPr>
                    <w:t>、能源</w:t>
                  </w:r>
                </w:p>
              </w:tc>
            </w:tr>
            <w:tr w14:paraId="23F26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07" w:type="pct"/>
                  <w:tcBorders>
                    <w:top w:val="single" w:color="auto" w:sz="4" w:space="0"/>
                    <w:left w:val="single" w:color="auto" w:sz="4" w:space="0"/>
                    <w:bottom w:val="single" w:color="auto" w:sz="4" w:space="0"/>
                    <w:right w:val="single" w:color="auto" w:sz="4" w:space="0"/>
                  </w:tcBorders>
                  <w:noWrap w:val="0"/>
                  <w:vAlign w:val="center"/>
                </w:tcPr>
                <w:p w14:paraId="50CDBFA0">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pacing w:val="-2"/>
                      <w:kern w:val="2"/>
                      <w:sz w:val="21"/>
                      <w:szCs w:val="21"/>
                      <w:lang w:val="en-US" w:eastAsia="zh-CN" w:bidi="ar"/>
                    </w:rPr>
                  </w:pPr>
                  <w:r>
                    <w:rPr>
                      <w:rFonts w:hint="default" w:ascii="Times New Roman" w:hAnsi="Times New Roman" w:eastAsia="宋体" w:cs="Times New Roman"/>
                      <w:color w:val="auto"/>
                      <w:spacing w:val="-2"/>
                      <w:kern w:val="2"/>
                      <w:sz w:val="21"/>
                      <w:szCs w:val="21"/>
                      <w:lang w:val="en-US" w:eastAsia="zh-CN" w:bidi="ar"/>
                    </w:rPr>
                    <w:t>电</w:t>
                  </w:r>
                </w:p>
              </w:tc>
              <w:tc>
                <w:tcPr>
                  <w:tcW w:w="2016" w:type="pct"/>
                  <w:gridSpan w:val="3"/>
                  <w:tcBorders>
                    <w:top w:val="single" w:color="auto" w:sz="4" w:space="0"/>
                    <w:left w:val="single" w:color="auto" w:sz="4" w:space="0"/>
                    <w:bottom w:val="single" w:color="auto" w:sz="4" w:space="0"/>
                    <w:right w:val="single" w:color="auto" w:sz="4" w:space="0"/>
                  </w:tcBorders>
                  <w:noWrap w:val="0"/>
                  <w:vAlign w:val="center"/>
                </w:tcPr>
                <w:p w14:paraId="01D2539A">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pacing w:val="-2"/>
                      <w:kern w:val="2"/>
                      <w:sz w:val="21"/>
                      <w:szCs w:val="21"/>
                      <w:highlight w:val="none"/>
                      <w:lang w:val="en-US" w:eastAsia="zh-CN" w:bidi="ar"/>
                    </w:rPr>
                  </w:pPr>
                  <w:r>
                    <w:rPr>
                      <w:rFonts w:hint="eastAsia" w:cs="Times New Roman"/>
                      <w:strike w:val="0"/>
                      <w:dstrike w:val="0"/>
                      <w:color w:val="auto"/>
                      <w:spacing w:val="-2"/>
                      <w:kern w:val="2"/>
                      <w:sz w:val="21"/>
                      <w:szCs w:val="21"/>
                      <w:highlight w:val="none"/>
                      <w:lang w:val="en-US" w:eastAsia="zh-CN" w:bidi="ar"/>
                    </w:rPr>
                    <w:t>120</w:t>
                  </w:r>
                  <w:r>
                    <w:rPr>
                      <w:rFonts w:hint="default" w:ascii="Times New Roman" w:hAnsi="Times New Roman" w:eastAsia="宋体" w:cs="Times New Roman"/>
                      <w:color w:val="auto"/>
                      <w:spacing w:val="-2"/>
                      <w:kern w:val="2"/>
                      <w:sz w:val="21"/>
                      <w:szCs w:val="21"/>
                      <w:highlight w:val="none"/>
                      <w:lang w:val="en-US" w:eastAsia="zh-CN" w:bidi="ar"/>
                    </w:rPr>
                    <w:t xml:space="preserve">万Kwh </w:t>
                  </w:r>
                </w:p>
              </w:tc>
              <w:tc>
                <w:tcPr>
                  <w:tcW w:w="2176" w:type="pct"/>
                  <w:gridSpan w:val="3"/>
                  <w:tcBorders>
                    <w:top w:val="single" w:color="auto" w:sz="4" w:space="0"/>
                    <w:left w:val="single" w:color="auto" w:sz="4" w:space="0"/>
                    <w:bottom w:val="single" w:color="auto" w:sz="4" w:space="0"/>
                    <w:right w:val="single" w:color="auto" w:sz="4" w:space="0"/>
                  </w:tcBorders>
                  <w:noWrap w:val="0"/>
                  <w:vAlign w:val="center"/>
                </w:tcPr>
                <w:p w14:paraId="5E96351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pacing w:val="-2"/>
                      <w:kern w:val="2"/>
                      <w:sz w:val="21"/>
                      <w:szCs w:val="21"/>
                      <w:lang w:val="en-US" w:eastAsia="zh-CN" w:bidi="ar"/>
                    </w:rPr>
                  </w:pPr>
                  <w:r>
                    <w:rPr>
                      <w:rFonts w:hint="default" w:ascii="Times New Roman" w:hAnsi="Times New Roman" w:eastAsia="宋体" w:cs="Times New Roman"/>
                      <w:color w:val="auto"/>
                      <w:spacing w:val="-2"/>
                      <w:kern w:val="2"/>
                      <w:sz w:val="21"/>
                      <w:szCs w:val="21"/>
                      <w:lang w:val="en-US" w:eastAsia="zh-CN" w:bidi="ar"/>
                    </w:rPr>
                    <w:t>市政管网供电</w:t>
                  </w:r>
                </w:p>
              </w:tc>
            </w:tr>
            <w:tr w14:paraId="795D1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07" w:type="pct"/>
                  <w:tcBorders>
                    <w:top w:val="single" w:color="auto" w:sz="4" w:space="0"/>
                    <w:left w:val="single" w:color="auto" w:sz="4" w:space="0"/>
                    <w:bottom w:val="single" w:color="auto" w:sz="4" w:space="0"/>
                    <w:right w:val="single" w:color="auto" w:sz="4" w:space="0"/>
                  </w:tcBorders>
                  <w:noWrap w:val="0"/>
                  <w:vAlign w:val="center"/>
                </w:tcPr>
                <w:p w14:paraId="5B595943">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cs="Times New Roman"/>
                      <w:strike w:val="0"/>
                      <w:dstrike w:val="0"/>
                      <w:color w:val="auto"/>
                      <w:spacing w:val="-2"/>
                      <w:kern w:val="2"/>
                      <w:sz w:val="21"/>
                      <w:szCs w:val="21"/>
                      <w:highlight w:val="none"/>
                      <w:lang w:val="en-US" w:eastAsia="zh-CN" w:bidi="ar"/>
                    </w:rPr>
                  </w:pPr>
                  <w:r>
                    <w:rPr>
                      <w:rFonts w:hint="default" w:cs="Times New Roman"/>
                      <w:strike w:val="0"/>
                      <w:dstrike w:val="0"/>
                      <w:color w:val="auto"/>
                      <w:spacing w:val="-2"/>
                      <w:kern w:val="2"/>
                      <w:sz w:val="21"/>
                      <w:szCs w:val="21"/>
                      <w:highlight w:val="none"/>
                      <w:lang w:val="en-US" w:eastAsia="zh-CN" w:bidi="ar"/>
                    </w:rPr>
                    <w:t>水</w:t>
                  </w:r>
                </w:p>
              </w:tc>
              <w:tc>
                <w:tcPr>
                  <w:tcW w:w="2016" w:type="pct"/>
                  <w:gridSpan w:val="3"/>
                  <w:tcBorders>
                    <w:top w:val="single" w:color="auto" w:sz="4" w:space="0"/>
                    <w:left w:val="single" w:color="auto" w:sz="4" w:space="0"/>
                    <w:bottom w:val="single" w:color="auto" w:sz="4" w:space="0"/>
                    <w:right w:val="single" w:color="auto" w:sz="4" w:space="0"/>
                  </w:tcBorders>
                  <w:noWrap w:val="0"/>
                  <w:vAlign w:val="center"/>
                </w:tcPr>
                <w:p w14:paraId="3A7372AD">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cs="Times New Roman"/>
                      <w:strike w:val="0"/>
                      <w:dstrike w:val="0"/>
                      <w:color w:val="auto"/>
                      <w:spacing w:val="-2"/>
                      <w:kern w:val="2"/>
                      <w:sz w:val="21"/>
                      <w:szCs w:val="21"/>
                      <w:highlight w:val="none"/>
                      <w:lang w:val="en-US" w:eastAsia="zh-CN" w:bidi="ar"/>
                    </w:rPr>
                  </w:pPr>
                  <w:r>
                    <w:rPr>
                      <w:rFonts w:hint="eastAsia" w:cs="Times New Roman"/>
                      <w:strike w:val="0"/>
                      <w:dstrike w:val="0"/>
                      <w:color w:val="auto"/>
                      <w:spacing w:val="-2"/>
                      <w:kern w:val="2"/>
                      <w:sz w:val="21"/>
                      <w:szCs w:val="21"/>
                      <w:highlight w:val="none"/>
                      <w:lang w:val="en-US" w:eastAsia="zh-CN" w:bidi="ar"/>
                    </w:rPr>
                    <w:t>1856.4m³</w:t>
                  </w:r>
                </w:p>
              </w:tc>
              <w:tc>
                <w:tcPr>
                  <w:tcW w:w="2176" w:type="pct"/>
                  <w:gridSpan w:val="3"/>
                  <w:tcBorders>
                    <w:top w:val="single" w:color="auto" w:sz="4" w:space="0"/>
                    <w:left w:val="single" w:color="auto" w:sz="4" w:space="0"/>
                    <w:bottom w:val="single" w:color="auto" w:sz="4" w:space="0"/>
                    <w:right w:val="single" w:color="auto" w:sz="4" w:space="0"/>
                  </w:tcBorders>
                  <w:noWrap w:val="0"/>
                  <w:vAlign w:val="center"/>
                </w:tcPr>
                <w:p w14:paraId="0740A82A">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pacing w:val="-2"/>
                      <w:kern w:val="2"/>
                      <w:sz w:val="21"/>
                      <w:szCs w:val="21"/>
                      <w:lang w:val="en-US" w:eastAsia="zh-CN" w:bidi="ar"/>
                    </w:rPr>
                  </w:pPr>
                  <w:r>
                    <w:rPr>
                      <w:rFonts w:hint="default" w:ascii="Times New Roman" w:hAnsi="Times New Roman" w:eastAsia="宋体" w:cs="Times New Roman"/>
                      <w:color w:val="auto"/>
                      <w:spacing w:val="-2"/>
                      <w:kern w:val="2"/>
                      <w:sz w:val="21"/>
                      <w:szCs w:val="21"/>
                      <w:lang w:val="en-US" w:eastAsia="zh-CN" w:bidi="ar"/>
                    </w:rPr>
                    <w:t>市政管网供水</w:t>
                  </w:r>
                </w:p>
              </w:tc>
            </w:tr>
            <w:tr w14:paraId="006AE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07" w:type="pct"/>
                  <w:tcBorders>
                    <w:top w:val="single" w:color="auto" w:sz="4" w:space="0"/>
                    <w:left w:val="single" w:color="auto" w:sz="4" w:space="0"/>
                    <w:bottom w:val="single" w:color="auto" w:sz="4" w:space="0"/>
                    <w:right w:val="single" w:color="auto" w:sz="4" w:space="0"/>
                  </w:tcBorders>
                  <w:noWrap w:val="0"/>
                  <w:vAlign w:val="center"/>
                </w:tcPr>
                <w:p w14:paraId="0F0DAE87">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pacing w:val="-2"/>
                      <w:kern w:val="2"/>
                      <w:sz w:val="21"/>
                      <w:szCs w:val="21"/>
                      <w:lang w:val="en-US" w:eastAsia="zh-CN" w:bidi="ar"/>
                    </w:rPr>
                  </w:pPr>
                  <w:r>
                    <w:rPr>
                      <w:rFonts w:hint="default" w:ascii="Times New Roman" w:hAnsi="Times New Roman" w:eastAsia="宋体" w:cs="Times New Roman"/>
                      <w:color w:val="auto"/>
                      <w:spacing w:val="-2"/>
                      <w:kern w:val="2"/>
                      <w:sz w:val="21"/>
                      <w:szCs w:val="21"/>
                      <w:lang w:val="en-US" w:eastAsia="zh-CN" w:bidi="ar"/>
                    </w:rPr>
                    <w:t>蒸汽</w:t>
                  </w:r>
                </w:p>
              </w:tc>
              <w:tc>
                <w:tcPr>
                  <w:tcW w:w="2016" w:type="pct"/>
                  <w:gridSpan w:val="3"/>
                  <w:tcBorders>
                    <w:top w:val="single" w:color="auto" w:sz="4" w:space="0"/>
                    <w:left w:val="single" w:color="auto" w:sz="4" w:space="0"/>
                    <w:bottom w:val="single" w:color="auto" w:sz="4" w:space="0"/>
                    <w:right w:val="single" w:color="auto" w:sz="4" w:space="0"/>
                  </w:tcBorders>
                  <w:noWrap w:val="0"/>
                  <w:vAlign w:val="center"/>
                </w:tcPr>
                <w:p w14:paraId="56EBBDA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pacing w:val="-2"/>
                      <w:kern w:val="2"/>
                      <w:sz w:val="21"/>
                      <w:szCs w:val="21"/>
                      <w:lang w:val="en-US" w:eastAsia="zh-CN" w:bidi="ar"/>
                    </w:rPr>
                  </w:pPr>
                  <w:r>
                    <w:rPr>
                      <w:rFonts w:hint="eastAsia" w:ascii="Times New Roman" w:hAnsi="Times New Roman" w:eastAsia="宋体" w:cs="Times New Roman"/>
                      <w:color w:val="auto"/>
                      <w:spacing w:val="-2"/>
                      <w:kern w:val="2"/>
                      <w:sz w:val="21"/>
                      <w:szCs w:val="21"/>
                      <w:lang w:val="en-US" w:eastAsia="zh-CN" w:bidi="ar"/>
                    </w:rPr>
                    <w:t>886.2t</w:t>
                  </w:r>
                </w:p>
              </w:tc>
              <w:tc>
                <w:tcPr>
                  <w:tcW w:w="2176" w:type="pct"/>
                  <w:gridSpan w:val="3"/>
                  <w:tcBorders>
                    <w:top w:val="single" w:color="auto" w:sz="4" w:space="0"/>
                    <w:left w:val="single" w:color="auto" w:sz="4" w:space="0"/>
                    <w:bottom w:val="single" w:color="auto" w:sz="4" w:space="0"/>
                    <w:right w:val="single" w:color="auto" w:sz="4" w:space="0"/>
                  </w:tcBorders>
                  <w:noWrap w:val="0"/>
                  <w:vAlign w:val="center"/>
                </w:tcPr>
                <w:p w14:paraId="35311B2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pacing w:val="-2"/>
                      <w:kern w:val="2"/>
                      <w:sz w:val="21"/>
                      <w:szCs w:val="21"/>
                      <w:lang w:val="en-US" w:eastAsia="zh-CN" w:bidi="ar"/>
                    </w:rPr>
                  </w:pPr>
                  <w:r>
                    <w:rPr>
                      <w:rFonts w:hint="eastAsia" w:ascii="Times New Roman" w:hAnsi="Times New Roman" w:eastAsia="宋体" w:cs="Times New Roman"/>
                      <w:color w:val="auto"/>
                      <w:spacing w:val="-2"/>
                      <w:kern w:val="2"/>
                      <w:sz w:val="21"/>
                      <w:szCs w:val="21"/>
                      <w:lang w:val="en-US" w:eastAsia="zh-CN" w:bidi="ar"/>
                    </w:rPr>
                    <w:t>依托东至海创环保科技有限公司的蒸汽</w:t>
                  </w:r>
                </w:p>
              </w:tc>
            </w:tr>
          </w:tbl>
          <w:p w14:paraId="5AB7A69B">
            <w:pPr>
              <w:ind w:firstLine="480" w:firstLineChars="20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本项目原料为餐厨废弃油脂（</w:t>
            </w:r>
            <w:r>
              <w:rPr>
                <w:rFonts w:hint="eastAsia" w:ascii="Times New Roman" w:hAnsi="Times New Roman" w:eastAsia="宋体" w:cs="Times New Roman"/>
                <w:color w:val="auto"/>
                <w:sz w:val="24"/>
                <w:szCs w:val="24"/>
                <w:highlight w:val="none"/>
                <w:lang w:val="en-US" w:eastAsia="zh-CN"/>
              </w:rPr>
              <w:t>餐饮单位油水分离器及隔油池收集的含油率较高的废弃油脂）</w:t>
            </w:r>
            <w:r>
              <w:rPr>
                <w:rFonts w:hint="eastAsia" w:ascii="Times New Roman" w:hAnsi="Times New Roman" w:eastAsia="宋体" w:cs="Times New Roman"/>
                <w:color w:val="auto"/>
                <w:sz w:val="24"/>
                <w:szCs w:val="24"/>
                <w:lang w:val="en-US" w:eastAsia="zh-CN"/>
              </w:rPr>
              <w:t>和餐厨垃圾。</w:t>
            </w:r>
          </w:p>
          <w:p w14:paraId="71C1A704">
            <w:pPr>
              <w:widowControl/>
              <w:spacing w:before="120" w:beforeLines="50" w:line="240" w:lineRule="auto"/>
              <w:ind w:firstLine="0" w:firstLineChars="0"/>
              <w:jc w:val="center"/>
              <w:rPr>
                <w:rFonts w:hint="default"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表</w:t>
            </w:r>
            <w:r>
              <w:rPr>
                <w:rFonts w:hint="eastAsia" w:ascii="Times New Roman" w:hAnsi="Times New Roman" w:eastAsia="宋体" w:cs="Times New Roman"/>
                <w:b/>
                <w:bCs/>
                <w:color w:val="auto"/>
                <w:sz w:val="21"/>
                <w:szCs w:val="21"/>
                <w:highlight w:val="none"/>
                <w:lang w:val="en-US" w:eastAsia="zh-CN"/>
              </w:rPr>
              <w:t>2-</w:t>
            </w:r>
            <w:r>
              <w:rPr>
                <w:rFonts w:hint="eastAsia" w:cs="Times New Roman"/>
                <w:b/>
                <w:bCs/>
                <w:color w:val="auto"/>
                <w:sz w:val="21"/>
                <w:szCs w:val="21"/>
                <w:highlight w:val="none"/>
                <w:lang w:val="en-US" w:eastAsia="zh-CN"/>
              </w:rPr>
              <w:t>6</w:t>
            </w:r>
            <w:r>
              <w:rPr>
                <w:rFonts w:hint="default" w:ascii="Times New Roman" w:hAnsi="Times New Roman" w:eastAsia="宋体" w:cs="Times New Roman"/>
                <w:b/>
                <w:bCs/>
                <w:color w:val="auto"/>
                <w:sz w:val="21"/>
                <w:szCs w:val="21"/>
                <w:highlight w:val="none"/>
              </w:rPr>
              <w:t xml:space="preserve"> </w:t>
            </w:r>
            <w:r>
              <w:rPr>
                <w:rFonts w:hint="eastAsia" w:ascii="Times New Roman" w:hAnsi="Times New Roman" w:eastAsia="宋体" w:cs="Times New Roman"/>
                <w:b/>
                <w:bCs/>
                <w:color w:val="auto"/>
                <w:sz w:val="21"/>
                <w:szCs w:val="21"/>
                <w:highlight w:val="none"/>
                <w:lang w:val="en-US" w:eastAsia="zh-CN"/>
              </w:rPr>
              <w:t>餐厨废弃油脂</w:t>
            </w:r>
            <w:r>
              <w:rPr>
                <w:rFonts w:hint="default" w:ascii="Times New Roman" w:hAnsi="Times New Roman" w:eastAsia="宋体" w:cs="Times New Roman"/>
                <w:b/>
                <w:bCs/>
                <w:color w:val="auto"/>
                <w:sz w:val="21"/>
                <w:szCs w:val="21"/>
                <w:highlight w:val="none"/>
                <w:lang w:val="en-US" w:eastAsia="zh-CN"/>
              </w:rPr>
              <w:t>质量</w:t>
            </w:r>
            <w:r>
              <w:rPr>
                <w:rFonts w:hint="default" w:ascii="Times New Roman" w:hAnsi="Times New Roman" w:eastAsia="宋体" w:cs="Times New Roman"/>
                <w:b/>
                <w:bCs/>
                <w:color w:val="auto"/>
                <w:sz w:val="21"/>
                <w:szCs w:val="21"/>
                <w:highlight w:val="none"/>
              </w:rPr>
              <w:t>指标</w:t>
            </w:r>
          </w:p>
          <w:tbl>
            <w:tblPr>
              <w:tblStyle w:val="28"/>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325"/>
              <w:gridCol w:w="1664"/>
              <w:gridCol w:w="2386"/>
            </w:tblGrid>
            <w:tr w14:paraId="36CE3B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582" w:type="pct"/>
                  <w:noWrap w:val="0"/>
                  <w:vAlign w:val="center"/>
                </w:tcPr>
                <w:p w14:paraId="61E3BDF7">
                  <w:pPr>
                    <w:widowControl/>
                    <w:spacing w:line="240" w:lineRule="auto"/>
                    <w:ind w:firstLine="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指标</w:t>
                  </w:r>
                </w:p>
              </w:tc>
              <w:tc>
                <w:tcPr>
                  <w:tcW w:w="993" w:type="pct"/>
                  <w:noWrap w:val="0"/>
                  <w:vAlign w:val="center"/>
                </w:tcPr>
                <w:p w14:paraId="7248E2DA">
                  <w:pPr>
                    <w:widowControl/>
                    <w:spacing w:line="240" w:lineRule="auto"/>
                    <w:ind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技术要求</w:t>
                  </w:r>
                </w:p>
              </w:tc>
              <w:tc>
                <w:tcPr>
                  <w:tcW w:w="1424" w:type="pct"/>
                  <w:noWrap w:val="0"/>
                  <w:vAlign w:val="center"/>
                </w:tcPr>
                <w:p w14:paraId="5CF900F3">
                  <w:pPr>
                    <w:widowControl/>
                    <w:spacing w:line="240" w:lineRule="auto"/>
                    <w:ind w:firstLine="0" w:firstLineChars="0"/>
                    <w:jc w:val="center"/>
                    <w:rPr>
                      <w:rFonts w:hint="eastAsia" w:ascii="Times New Roman" w:hAnsi="Times New Roman" w:eastAsia="宋体" w:cs="Times New Roman"/>
                      <w:color w:val="auto"/>
                      <w:kern w:val="0"/>
                      <w:sz w:val="21"/>
                      <w:szCs w:val="21"/>
                      <w:highlight w:val="none"/>
                      <w:lang w:eastAsia="zh-CN"/>
                    </w:rPr>
                  </w:pPr>
                  <w:r>
                    <w:rPr>
                      <w:rFonts w:hint="eastAsia" w:ascii="Times New Roman" w:hAnsi="Times New Roman" w:eastAsia="宋体" w:cs="Times New Roman"/>
                      <w:color w:val="auto"/>
                      <w:kern w:val="0"/>
                      <w:sz w:val="21"/>
                      <w:szCs w:val="21"/>
                      <w:highlight w:val="none"/>
                      <w:lang w:val="en-US" w:eastAsia="zh-CN"/>
                    </w:rPr>
                    <w:t>指标</w:t>
                  </w:r>
                </w:p>
              </w:tc>
            </w:tr>
            <w:tr w14:paraId="383F38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582" w:type="pct"/>
                  <w:noWrap w:val="0"/>
                  <w:vAlign w:val="center"/>
                </w:tcPr>
                <w:p w14:paraId="1C7C89DB">
                  <w:pPr>
                    <w:widowControl/>
                    <w:spacing w:line="240" w:lineRule="auto"/>
                    <w:ind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eastAsia="zh-CN"/>
                    </w:rPr>
                    <w:t>酸值（</w:t>
                  </w:r>
                  <w:r>
                    <w:rPr>
                      <w:rFonts w:hint="eastAsia" w:cs="Times New Roman"/>
                      <w:color w:val="auto"/>
                      <w:kern w:val="0"/>
                      <w:sz w:val="21"/>
                      <w:szCs w:val="21"/>
                      <w:highlight w:val="none"/>
                      <w:lang w:val="en-US" w:eastAsia="zh-CN"/>
                    </w:rPr>
                    <w:t>KOH计</w:t>
                  </w:r>
                  <w:r>
                    <w:rPr>
                      <w:rFonts w:hint="eastAsia" w:cs="Times New Roman"/>
                      <w:color w:val="auto"/>
                      <w:kern w:val="0"/>
                      <w:sz w:val="21"/>
                      <w:szCs w:val="21"/>
                      <w:highlight w:val="none"/>
                      <w:lang w:eastAsia="zh-CN"/>
                    </w:rPr>
                    <w:t>）</w:t>
                  </w:r>
                  <w:r>
                    <w:rPr>
                      <w:rFonts w:hint="eastAsia" w:cs="Times New Roman"/>
                      <w:color w:val="auto"/>
                      <w:kern w:val="0"/>
                      <w:sz w:val="21"/>
                      <w:szCs w:val="21"/>
                      <w:highlight w:val="none"/>
                      <w:lang w:val="en-US" w:eastAsia="zh-CN"/>
                    </w:rPr>
                    <w:t>/（mg/g）</w:t>
                  </w:r>
                </w:p>
              </w:tc>
              <w:tc>
                <w:tcPr>
                  <w:tcW w:w="993" w:type="pct"/>
                  <w:noWrap w:val="0"/>
                  <w:vAlign w:val="center"/>
                </w:tcPr>
                <w:p w14:paraId="1C43C9DA">
                  <w:pPr>
                    <w:widowControl/>
                    <w:spacing w:line="240" w:lineRule="auto"/>
                    <w:ind w:firstLine="0" w:firstLineChars="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w:t>
                  </w:r>
                </w:p>
              </w:tc>
              <w:tc>
                <w:tcPr>
                  <w:tcW w:w="1424" w:type="pct"/>
                  <w:noWrap w:val="0"/>
                  <w:vAlign w:val="center"/>
                </w:tcPr>
                <w:p w14:paraId="34D42980">
                  <w:pPr>
                    <w:widowControl/>
                    <w:spacing w:line="240" w:lineRule="auto"/>
                    <w:ind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52.6</w:t>
                  </w:r>
                </w:p>
              </w:tc>
            </w:tr>
            <w:tr w14:paraId="52D83C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582" w:type="pct"/>
                  <w:noWrap w:val="0"/>
                  <w:vAlign w:val="center"/>
                </w:tcPr>
                <w:p w14:paraId="0237DC18">
                  <w:pPr>
                    <w:widowControl/>
                    <w:spacing w:line="240" w:lineRule="auto"/>
                    <w:ind w:firstLine="0" w:firstLineChars="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pH值</w:t>
                  </w:r>
                </w:p>
              </w:tc>
              <w:tc>
                <w:tcPr>
                  <w:tcW w:w="993" w:type="pct"/>
                  <w:noWrap w:val="0"/>
                  <w:vAlign w:val="center"/>
                </w:tcPr>
                <w:p w14:paraId="35A4E6E2">
                  <w:pPr>
                    <w:widowControl/>
                    <w:spacing w:line="240" w:lineRule="auto"/>
                    <w:ind w:firstLine="0" w:firstLineChars="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4.0-7.0</w:t>
                  </w:r>
                </w:p>
              </w:tc>
              <w:tc>
                <w:tcPr>
                  <w:tcW w:w="1424" w:type="pct"/>
                  <w:noWrap w:val="0"/>
                  <w:vAlign w:val="center"/>
                </w:tcPr>
                <w:p w14:paraId="5C8655DF">
                  <w:pPr>
                    <w:widowControl/>
                    <w:spacing w:line="240" w:lineRule="auto"/>
                    <w:ind w:firstLine="0" w:firstLineChars="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4.8</w:t>
                  </w:r>
                </w:p>
              </w:tc>
            </w:tr>
            <w:tr w14:paraId="00A512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582" w:type="pct"/>
                  <w:noWrap w:val="0"/>
                  <w:vAlign w:val="center"/>
                </w:tcPr>
                <w:p w14:paraId="20DD5745">
                  <w:pPr>
                    <w:widowControl/>
                    <w:spacing w:line="240" w:lineRule="auto"/>
                    <w:ind w:firstLine="0" w:firstLineChars="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水分及挥发物（质量分数）/%</w:t>
                  </w:r>
                </w:p>
              </w:tc>
              <w:tc>
                <w:tcPr>
                  <w:tcW w:w="993" w:type="pct"/>
                  <w:noWrap w:val="0"/>
                  <w:vAlign w:val="center"/>
                </w:tcPr>
                <w:p w14:paraId="126F69A0">
                  <w:pPr>
                    <w:widowControl/>
                    <w:spacing w:line="240" w:lineRule="auto"/>
                    <w:ind w:firstLine="0" w:firstLineChars="0"/>
                    <w:jc w:val="center"/>
                    <w:rPr>
                      <w:rFonts w:hint="default" w:cs="Times New Roman"/>
                      <w:color w:val="auto"/>
                      <w:kern w:val="0"/>
                      <w:sz w:val="21"/>
                      <w:szCs w:val="21"/>
                      <w:highlight w:val="none"/>
                      <w:lang w:val="en-US" w:eastAsia="zh-CN"/>
                    </w:rPr>
                  </w:pPr>
                  <w:r>
                    <w:rPr>
                      <w:rFonts w:hint="default" w:cs="Times New Roman"/>
                      <w:color w:val="auto"/>
                      <w:kern w:val="0"/>
                      <w:sz w:val="21"/>
                      <w:szCs w:val="21"/>
                      <w:highlight w:val="none"/>
                      <w:lang w:val="en-US" w:eastAsia="zh-CN"/>
                    </w:rPr>
                    <w:t>≤</w:t>
                  </w:r>
                  <w:r>
                    <w:rPr>
                      <w:rFonts w:hint="eastAsia" w:cs="Times New Roman"/>
                      <w:color w:val="auto"/>
                      <w:kern w:val="0"/>
                      <w:sz w:val="21"/>
                      <w:szCs w:val="21"/>
                      <w:highlight w:val="none"/>
                      <w:lang w:val="en-US" w:eastAsia="zh-CN"/>
                    </w:rPr>
                    <w:t>3</w:t>
                  </w:r>
                  <w:r>
                    <w:rPr>
                      <w:rFonts w:hint="default" w:cs="Times New Roman"/>
                      <w:color w:val="auto"/>
                      <w:kern w:val="0"/>
                      <w:sz w:val="21"/>
                      <w:szCs w:val="21"/>
                      <w:highlight w:val="none"/>
                      <w:lang w:val="en-US" w:eastAsia="zh-CN"/>
                    </w:rPr>
                    <w:t>0</w:t>
                  </w:r>
                </w:p>
              </w:tc>
              <w:tc>
                <w:tcPr>
                  <w:tcW w:w="1424" w:type="pct"/>
                  <w:noWrap w:val="0"/>
                  <w:vAlign w:val="center"/>
                </w:tcPr>
                <w:p w14:paraId="12B81645">
                  <w:pPr>
                    <w:widowControl/>
                    <w:spacing w:line="240" w:lineRule="auto"/>
                    <w:ind w:firstLine="0" w:firstLineChars="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28.5</w:t>
                  </w:r>
                </w:p>
              </w:tc>
            </w:tr>
            <w:tr w14:paraId="43D143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82" w:type="pct"/>
                  <w:noWrap w:val="0"/>
                  <w:vAlign w:val="center"/>
                </w:tcPr>
                <w:p w14:paraId="311D787F">
                  <w:pPr>
                    <w:widowControl/>
                    <w:spacing w:line="240" w:lineRule="auto"/>
                    <w:ind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不溶性杂质（质量分数）/%</w:t>
                  </w:r>
                </w:p>
              </w:tc>
              <w:tc>
                <w:tcPr>
                  <w:tcW w:w="993" w:type="pct"/>
                  <w:noWrap w:val="0"/>
                  <w:vAlign w:val="center"/>
                </w:tcPr>
                <w:p w14:paraId="582EAAF7">
                  <w:pPr>
                    <w:widowControl/>
                    <w:spacing w:line="240" w:lineRule="auto"/>
                    <w:ind w:firstLine="0" w:firstLineChars="0"/>
                    <w:jc w:val="center"/>
                    <w:rPr>
                      <w:rFonts w:hint="default" w:ascii="Times New Roman" w:hAnsi="Times New Roman" w:eastAsia="宋体" w:cs="Times New Roman"/>
                      <w:color w:val="auto"/>
                      <w:kern w:val="0"/>
                      <w:sz w:val="21"/>
                      <w:szCs w:val="21"/>
                      <w:highlight w:val="none"/>
                    </w:rPr>
                  </w:pPr>
                  <w:r>
                    <w:rPr>
                      <w:rFonts w:hint="default" w:cs="Times New Roman"/>
                      <w:color w:val="auto"/>
                      <w:kern w:val="0"/>
                      <w:sz w:val="21"/>
                      <w:szCs w:val="21"/>
                      <w:highlight w:val="none"/>
                      <w:lang w:val="en-US" w:eastAsia="zh-CN"/>
                    </w:rPr>
                    <w:t>≤</w:t>
                  </w:r>
                  <w:r>
                    <w:rPr>
                      <w:rFonts w:hint="eastAsia" w:cs="Times New Roman"/>
                      <w:color w:val="auto"/>
                      <w:kern w:val="0"/>
                      <w:sz w:val="21"/>
                      <w:szCs w:val="21"/>
                      <w:highlight w:val="none"/>
                      <w:lang w:val="en-US" w:eastAsia="zh-CN"/>
                    </w:rPr>
                    <w:t>1</w:t>
                  </w:r>
                  <w:r>
                    <w:rPr>
                      <w:rFonts w:hint="default" w:cs="Times New Roman"/>
                      <w:color w:val="auto"/>
                      <w:kern w:val="0"/>
                      <w:sz w:val="21"/>
                      <w:szCs w:val="21"/>
                      <w:highlight w:val="none"/>
                      <w:lang w:val="en-US" w:eastAsia="zh-CN"/>
                    </w:rPr>
                    <w:t>0</w:t>
                  </w:r>
                </w:p>
              </w:tc>
              <w:tc>
                <w:tcPr>
                  <w:tcW w:w="1424" w:type="pct"/>
                  <w:noWrap/>
                  <w:vAlign w:val="center"/>
                </w:tcPr>
                <w:p w14:paraId="1835997D">
                  <w:pPr>
                    <w:widowControl/>
                    <w:spacing w:line="240" w:lineRule="auto"/>
                    <w:ind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8.3</w:t>
                  </w:r>
                </w:p>
              </w:tc>
            </w:tr>
            <w:tr w14:paraId="46586C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82" w:type="pct"/>
                  <w:shd w:val="clear" w:color="auto" w:fill="auto"/>
                  <w:noWrap w:val="0"/>
                  <w:vAlign w:val="center"/>
                </w:tcPr>
                <w:p w14:paraId="06C864EB">
                  <w:pPr>
                    <w:widowControl/>
                    <w:spacing w:line="240" w:lineRule="auto"/>
                    <w:ind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油脂含量</w:t>
                  </w:r>
                </w:p>
              </w:tc>
              <w:tc>
                <w:tcPr>
                  <w:tcW w:w="993" w:type="pct"/>
                  <w:shd w:val="clear" w:color="auto" w:fill="auto"/>
                  <w:noWrap w:val="0"/>
                  <w:vAlign w:val="center"/>
                </w:tcPr>
                <w:p w14:paraId="47F15771">
                  <w:pPr>
                    <w:widowControl/>
                    <w:spacing w:line="240" w:lineRule="auto"/>
                    <w:ind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cs="Times New Roman"/>
                      <w:color w:val="auto"/>
                      <w:kern w:val="0"/>
                      <w:sz w:val="21"/>
                      <w:szCs w:val="21"/>
                      <w:highlight w:val="none"/>
                      <w:lang w:val="en-US" w:eastAsia="zh-CN"/>
                    </w:rPr>
                    <w:t>≥60</w:t>
                  </w:r>
                </w:p>
              </w:tc>
              <w:tc>
                <w:tcPr>
                  <w:tcW w:w="1424" w:type="pct"/>
                  <w:shd w:val="clear" w:color="auto" w:fill="auto"/>
                  <w:noWrap/>
                  <w:vAlign w:val="center"/>
                </w:tcPr>
                <w:p w14:paraId="44B76672">
                  <w:pPr>
                    <w:widowControl/>
                    <w:spacing w:line="240" w:lineRule="auto"/>
                    <w:ind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63.2</w:t>
                  </w:r>
                </w:p>
              </w:tc>
            </w:tr>
          </w:tbl>
          <w:p w14:paraId="197ABA35">
            <w:pPr>
              <w:widowControl/>
              <w:spacing w:before="120" w:beforeLines="50" w:line="240" w:lineRule="auto"/>
              <w:ind w:firstLine="0" w:firstLineChars="0"/>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表2-7</w:t>
            </w:r>
            <w:r>
              <w:rPr>
                <w:rFonts w:hint="default" w:ascii="Times New Roman" w:hAnsi="Times New Roman" w:eastAsia="宋体" w:cs="Times New Roman"/>
                <w:b/>
                <w:bCs/>
                <w:color w:val="auto"/>
                <w:sz w:val="21"/>
                <w:szCs w:val="21"/>
                <w:highlight w:val="none"/>
                <w:lang w:val="en-US" w:eastAsia="zh-CN"/>
              </w:rPr>
              <w:t xml:space="preserve"> </w:t>
            </w:r>
            <w:r>
              <w:rPr>
                <w:rFonts w:hint="eastAsia" w:ascii="Times New Roman" w:hAnsi="Times New Roman" w:eastAsia="宋体" w:cs="Times New Roman"/>
                <w:b/>
                <w:bCs/>
                <w:color w:val="auto"/>
                <w:sz w:val="21"/>
                <w:szCs w:val="21"/>
                <w:highlight w:val="none"/>
                <w:lang w:val="en-US" w:eastAsia="zh-CN"/>
              </w:rPr>
              <w:t>餐厨垃圾脂</w:t>
            </w:r>
            <w:r>
              <w:rPr>
                <w:rFonts w:hint="default" w:ascii="Times New Roman" w:hAnsi="Times New Roman" w:eastAsia="宋体" w:cs="Times New Roman"/>
                <w:b/>
                <w:bCs/>
                <w:color w:val="auto"/>
                <w:sz w:val="21"/>
                <w:szCs w:val="21"/>
                <w:highlight w:val="none"/>
                <w:lang w:val="en-US" w:eastAsia="zh-CN"/>
              </w:rPr>
              <w:t>质量指标</w:t>
            </w:r>
          </w:p>
          <w:tbl>
            <w:tblPr>
              <w:tblStyle w:val="28"/>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325"/>
              <w:gridCol w:w="1664"/>
              <w:gridCol w:w="2386"/>
            </w:tblGrid>
            <w:tr w14:paraId="6A24BD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2582" w:type="pct"/>
                  <w:noWrap w:val="0"/>
                  <w:vAlign w:val="center"/>
                </w:tcPr>
                <w:p w14:paraId="01FF59F4">
                  <w:pPr>
                    <w:widowControl/>
                    <w:spacing w:line="240" w:lineRule="auto"/>
                    <w:ind w:firstLine="0" w:firstLineChars="0"/>
                    <w:jc w:val="center"/>
                    <w:rPr>
                      <w:rFonts w:hint="default" w:cs="Times New Roman"/>
                      <w:b/>
                      <w:bCs/>
                      <w:color w:val="auto"/>
                      <w:kern w:val="0"/>
                      <w:sz w:val="21"/>
                      <w:szCs w:val="21"/>
                      <w:highlight w:val="none"/>
                      <w:lang w:val="en-US" w:eastAsia="zh-CN"/>
                    </w:rPr>
                  </w:pPr>
                  <w:r>
                    <w:rPr>
                      <w:rFonts w:hint="default" w:cs="Times New Roman"/>
                      <w:b/>
                      <w:bCs/>
                      <w:color w:val="auto"/>
                      <w:kern w:val="0"/>
                      <w:sz w:val="21"/>
                      <w:szCs w:val="21"/>
                      <w:highlight w:val="none"/>
                      <w:lang w:val="en-US" w:eastAsia="zh-CN"/>
                    </w:rPr>
                    <w:t>指标</w:t>
                  </w:r>
                </w:p>
              </w:tc>
              <w:tc>
                <w:tcPr>
                  <w:tcW w:w="993" w:type="pct"/>
                  <w:noWrap w:val="0"/>
                  <w:vAlign w:val="center"/>
                </w:tcPr>
                <w:p w14:paraId="037F7EBF">
                  <w:pPr>
                    <w:widowControl/>
                    <w:spacing w:line="240" w:lineRule="auto"/>
                    <w:ind w:firstLine="0" w:firstLineChars="0"/>
                    <w:jc w:val="center"/>
                    <w:rPr>
                      <w:rFonts w:hint="default" w:cs="Times New Roman"/>
                      <w:b/>
                      <w:bCs/>
                      <w:color w:val="auto"/>
                      <w:kern w:val="0"/>
                      <w:sz w:val="21"/>
                      <w:szCs w:val="21"/>
                      <w:highlight w:val="none"/>
                      <w:lang w:val="en-US" w:eastAsia="zh-CN"/>
                    </w:rPr>
                  </w:pPr>
                  <w:r>
                    <w:rPr>
                      <w:rFonts w:hint="default" w:cs="Times New Roman"/>
                      <w:b/>
                      <w:bCs/>
                      <w:color w:val="auto"/>
                      <w:kern w:val="0"/>
                      <w:sz w:val="21"/>
                      <w:szCs w:val="21"/>
                      <w:highlight w:val="none"/>
                      <w:lang w:val="en-US" w:eastAsia="zh-CN"/>
                    </w:rPr>
                    <w:t>单位</w:t>
                  </w:r>
                </w:p>
              </w:tc>
              <w:tc>
                <w:tcPr>
                  <w:tcW w:w="1424" w:type="pct"/>
                  <w:noWrap w:val="0"/>
                  <w:vAlign w:val="center"/>
                </w:tcPr>
                <w:p w14:paraId="43396FC2">
                  <w:pPr>
                    <w:widowControl/>
                    <w:spacing w:line="240" w:lineRule="auto"/>
                    <w:ind w:firstLine="0" w:firstLineChars="0"/>
                    <w:jc w:val="center"/>
                    <w:rPr>
                      <w:rFonts w:hint="eastAsia" w:cs="Times New Roman"/>
                      <w:b/>
                      <w:bCs/>
                      <w:color w:val="auto"/>
                      <w:kern w:val="0"/>
                      <w:sz w:val="21"/>
                      <w:szCs w:val="21"/>
                      <w:highlight w:val="none"/>
                      <w:lang w:val="en-US" w:eastAsia="zh-CN"/>
                    </w:rPr>
                  </w:pPr>
                  <w:r>
                    <w:rPr>
                      <w:rFonts w:hint="eastAsia" w:cs="Times New Roman"/>
                      <w:b/>
                      <w:bCs/>
                      <w:color w:val="auto"/>
                      <w:kern w:val="0"/>
                      <w:sz w:val="21"/>
                      <w:szCs w:val="21"/>
                      <w:highlight w:val="none"/>
                      <w:lang w:val="en-US" w:eastAsia="zh-CN"/>
                    </w:rPr>
                    <w:t>指标</w:t>
                  </w:r>
                </w:p>
              </w:tc>
            </w:tr>
            <w:tr w14:paraId="62D21F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82" w:type="pct"/>
                  <w:noWrap w:val="0"/>
                  <w:vAlign w:val="center"/>
                </w:tcPr>
                <w:p w14:paraId="6827B71A">
                  <w:pPr>
                    <w:widowControl/>
                    <w:spacing w:line="240" w:lineRule="auto"/>
                    <w:ind w:firstLine="0" w:firstLineChars="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不溶性杂质（质量分数）</w:t>
                  </w:r>
                </w:p>
              </w:tc>
              <w:tc>
                <w:tcPr>
                  <w:tcW w:w="993" w:type="pct"/>
                  <w:noWrap w:val="0"/>
                  <w:vAlign w:val="center"/>
                </w:tcPr>
                <w:p w14:paraId="35E4DE93">
                  <w:pPr>
                    <w:widowControl/>
                    <w:spacing w:line="240" w:lineRule="auto"/>
                    <w:ind w:firstLine="0" w:firstLineChars="0"/>
                    <w:jc w:val="center"/>
                    <w:rPr>
                      <w:rFonts w:hint="default" w:cs="Times New Roman"/>
                      <w:color w:val="auto"/>
                      <w:kern w:val="0"/>
                      <w:sz w:val="21"/>
                      <w:szCs w:val="21"/>
                      <w:highlight w:val="none"/>
                      <w:lang w:val="en-US" w:eastAsia="zh-CN"/>
                    </w:rPr>
                  </w:pPr>
                  <w:r>
                    <w:rPr>
                      <w:rFonts w:hint="default" w:cs="Times New Roman"/>
                      <w:color w:val="auto"/>
                      <w:kern w:val="0"/>
                      <w:sz w:val="21"/>
                      <w:szCs w:val="21"/>
                      <w:highlight w:val="none"/>
                      <w:lang w:val="en-US" w:eastAsia="zh-CN"/>
                    </w:rPr>
                    <w:t>Wt%</w:t>
                  </w:r>
                </w:p>
              </w:tc>
              <w:tc>
                <w:tcPr>
                  <w:tcW w:w="1424" w:type="pct"/>
                  <w:noWrap/>
                  <w:vAlign w:val="center"/>
                </w:tcPr>
                <w:p w14:paraId="339AA289">
                  <w:pPr>
                    <w:widowControl/>
                    <w:spacing w:line="240" w:lineRule="auto"/>
                    <w:ind w:firstLine="0" w:firstLineChars="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18</w:t>
                  </w:r>
                </w:p>
              </w:tc>
            </w:tr>
            <w:tr w14:paraId="71C3C3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82" w:type="pct"/>
                  <w:noWrap w:val="0"/>
                  <w:vAlign w:val="center"/>
                </w:tcPr>
                <w:p w14:paraId="4E3FD9EC">
                  <w:pPr>
                    <w:widowControl/>
                    <w:spacing w:line="240" w:lineRule="auto"/>
                    <w:ind w:firstLine="0" w:firstLineChars="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含水率</w:t>
                  </w:r>
                </w:p>
              </w:tc>
              <w:tc>
                <w:tcPr>
                  <w:tcW w:w="993" w:type="pct"/>
                  <w:noWrap w:val="0"/>
                  <w:vAlign w:val="center"/>
                </w:tcPr>
                <w:p w14:paraId="292DAD0C">
                  <w:pPr>
                    <w:widowControl/>
                    <w:spacing w:line="240" w:lineRule="auto"/>
                    <w:ind w:firstLine="0" w:firstLineChars="0"/>
                    <w:jc w:val="center"/>
                    <w:rPr>
                      <w:rFonts w:hint="default" w:cs="Times New Roman"/>
                      <w:color w:val="auto"/>
                      <w:kern w:val="0"/>
                      <w:sz w:val="21"/>
                      <w:szCs w:val="21"/>
                      <w:highlight w:val="none"/>
                      <w:lang w:val="en-US" w:eastAsia="zh-CN"/>
                    </w:rPr>
                  </w:pPr>
                  <w:r>
                    <w:rPr>
                      <w:rFonts w:hint="default" w:cs="Times New Roman"/>
                      <w:color w:val="auto"/>
                      <w:kern w:val="0"/>
                      <w:sz w:val="21"/>
                      <w:szCs w:val="21"/>
                      <w:highlight w:val="none"/>
                      <w:lang w:val="en-US" w:eastAsia="zh-CN"/>
                    </w:rPr>
                    <w:t>Wt%</w:t>
                  </w:r>
                </w:p>
              </w:tc>
              <w:tc>
                <w:tcPr>
                  <w:tcW w:w="1424" w:type="pct"/>
                  <w:noWrap/>
                  <w:vAlign w:val="center"/>
                </w:tcPr>
                <w:p w14:paraId="3F556F72">
                  <w:pPr>
                    <w:widowControl/>
                    <w:spacing w:line="240" w:lineRule="auto"/>
                    <w:ind w:firstLine="0" w:firstLineChars="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78</w:t>
                  </w:r>
                </w:p>
              </w:tc>
            </w:tr>
            <w:tr w14:paraId="126E33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82" w:type="pct"/>
                  <w:shd w:val="clear" w:color="auto" w:fill="auto"/>
                  <w:noWrap w:val="0"/>
                  <w:vAlign w:val="center"/>
                </w:tcPr>
                <w:p w14:paraId="69CFE204">
                  <w:pPr>
                    <w:widowControl/>
                    <w:spacing w:line="240" w:lineRule="auto"/>
                    <w:ind w:firstLine="0" w:firstLineChars="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油脂含量</w:t>
                  </w:r>
                </w:p>
              </w:tc>
              <w:tc>
                <w:tcPr>
                  <w:tcW w:w="993" w:type="pct"/>
                  <w:shd w:val="clear" w:color="auto" w:fill="auto"/>
                  <w:noWrap w:val="0"/>
                  <w:vAlign w:val="center"/>
                </w:tcPr>
                <w:p w14:paraId="7442EE9E">
                  <w:pPr>
                    <w:widowControl/>
                    <w:spacing w:line="240" w:lineRule="auto"/>
                    <w:ind w:firstLine="0" w:firstLineChars="0"/>
                    <w:jc w:val="center"/>
                    <w:rPr>
                      <w:rFonts w:hint="default" w:cs="Times New Roman"/>
                      <w:color w:val="auto"/>
                      <w:kern w:val="0"/>
                      <w:sz w:val="21"/>
                      <w:szCs w:val="21"/>
                      <w:highlight w:val="none"/>
                      <w:lang w:val="en-US" w:eastAsia="zh-CN"/>
                    </w:rPr>
                  </w:pPr>
                  <w:r>
                    <w:rPr>
                      <w:rFonts w:hint="default" w:cs="Times New Roman"/>
                      <w:color w:val="auto"/>
                      <w:kern w:val="0"/>
                      <w:sz w:val="21"/>
                      <w:szCs w:val="21"/>
                      <w:highlight w:val="none"/>
                      <w:lang w:val="en-US" w:eastAsia="zh-CN"/>
                    </w:rPr>
                    <w:t>Wt%</w:t>
                  </w:r>
                </w:p>
              </w:tc>
              <w:tc>
                <w:tcPr>
                  <w:tcW w:w="1424" w:type="pct"/>
                  <w:shd w:val="clear" w:color="auto" w:fill="auto"/>
                  <w:noWrap/>
                  <w:vAlign w:val="center"/>
                </w:tcPr>
                <w:p w14:paraId="5A17E96E">
                  <w:pPr>
                    <w:widowControl/>
                    <w:spacing w:line="240" w:lineRule="auto"/>
                    <w:ind w:firstLine="0" w:firstLineChars="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4</w:t>
                  </w:r>
                </w:p>
              </w:tc>
            </w:tr>
          </w:tbl>
          <w:p w14:paraId="4C0EDEBC">
            <w:pPr>
              <w:pStyle w:val="40"/>
              <w:spacing w:line="240" w:lineRule="auto"/>
              <w:ind w:firstLine="0" w:firstLineChars="0"/>
              <w:jc w:val="center"/>
              <w:rPr>
                <w:color w:val="auto"/>
                <w:sz w:val="21"/>
                <w:szCs w:val="21"/>
              </w:rPr>
            </w:pPr>
            <w:r>
              <w:rPr>
                <w:b/>
                <w:bCs/>
                <w:color w:val="auto"/>
                <w:sz w:val="21"/>
                <w:szCs w:val="21"/>
              </w:rPr>
              <w:t>表2-</w:t>
            </w:r>
            <w:r>
              <w:rPr>
                <w:rFonts w:hint="eastAsia"/>
                <w:b/>
                <w:bCs/>
                <w:color w:val="auto"/>
                <w:sz w:val="21"/>
                <w:szCs w:val="21"/>
                <w:lang w:val="en-US" w:eastAsia="zh-CN"/>
              </w:rPr>
              <w:t>8</w:t>
            </w:r>
            <w:r>
              <w:rPr>
                <w:b/>
                <w:bCs/>
                <w:color w:val="auto"/>
                <w:sz w:val="21"/>
                <w:szCs w:val="21"/>
              </w:rPr>
              <w:t xml:space="preserve"> 主要</w:t>
            </w:r>
            <w:r>
              <w:rPr>
                <w:rFonts w:hint="eastAsia"/>
                <w:b/>
                <w:bCs/>
                <w:color w:val="auto"/>
                <w:sz w:val="21"/>
                <w:szCs w:val="21"/>
                <w:lang w:eastAsia="zh-CN"/>
              </w:rPr>
              <w:t>原辅材料理化性质</w:t>
            </w:r>
            <w:r>
              <w:rPr>
                <w:b/>
                <w:bCs/>
                <w:color w:val="auto"/>
                <w:sz w:val="21"/>
                <w:szCs w:val="21"/>
              </w:rPr>
              <w:t>一览表</w:t>
            </w:r>
          </w:p>
          <w:tbl>
            <w:tblPr>
              <w:tblStyle w:val="2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6"/>
              <w:gridCol w:w="6856"/>
            </w:tblGrid>
            <w:tr w14:paraId="7F6E9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915" w:type="pct"/>
                  <w:noWrap w:val="0"/>
                  <w:vAlign w:val="center"/>
                </w:tcPr>
                <w:p w14:paraId="6C19FAC5">
                  <w:pPr>
                    <w:pStyle w:val="1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default" w:ascii="Times New Roman" w:hAnsi="Times New Roman"/>
                      <w:b/>
                      <w:bCs/>
                      <w:color w:val="auto"/>
                      <w:sz w:val="21"/>
                      <w:szCs w:val="21"/>
                      <w:vertAlign w:val="baseline"/>
                      <w:lang w:val="en-US" w:eastAsia="zh-CN"/>
                    </w:rPr>
                  </w:pPr>
                  <w:r>
                    <w:rPr>
                      <w:rFonts w:hint="eastAsia" w:ascii="Times New Roman" w:hAnsi="Times New Roman"/>
                      <w:b/>
                      <w:bCs/>
                      <w:color w:val="auto"/>
                      <w:sz w:val="21"/>
                      <w:szCs w:val="21"/>
                      <w:vertAlign w:val="baseline"/>
                      <w:lang w:val="en-US" w:eastAsia="zh-CN"/>
                    </w:rPr>
                    <w:t>物质名称</w:t>
                  </w:r>
                </w:p>
              </w:tc>
              <w:tc>
                <w:tcPr>
                  <w:tcW w:w="4084" w:type="pct"/>
                  <w:noWrap w:val="0"/>
                  <w:vAlign w:val="center"/>
                </w:tcPr>
                <w:p w14:paraId="68338B5E">
                  <w:pPr>
                    <w:pStyle w:val="1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default" w:ascii="Times New Roman" w:hAnsi="Times New Roman"/>
                      <w:b/>
                      <w:bCs/>
                      <w:color w:val="auto"/>
                      <w:sz w:val="21"/>
                      <w:szCs w:val="21"/>
                      <w:vertAlign w:val="baseline"/>
                      <w:lang w:val="en-US" w:eastAsia="zh-CN"/>
                    </w:rPr>
                  </w:pPr>
                  <w:r>
                    <w:rPr>
                      <w:rFonts w:hint="eastAsia" w:ascii="Times New Roman" w:hAnsi="Times New Roman"/>
                      <w:b/>
                      <w:bCs/>
                      <w:color w:val="auto"/>
                      <w:sz w:val="21"/>
                      <w:szCs w:val="21"/>
                      <w:vertAlign w:val="baseline"/>
                      <w:lang w:val="en-US" w:eastAsia="zh-CN"/>
                    </w:rPr>
                    <w:t>理化性质</w:t>
                  </w:r>
                </w:p>
              </w:tc>
            </w:tr>
            <w:tr w14:paraId="770B5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pct"/>
                  <w:noWrap w:val="0"/>
                  <w:vAlign w:val="center"/>
                </w:tcPr>
                <w:p w14:paraId="3CC8A31B">
                  <w:pPr>
                    <w:pStyle w:val="1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Times New Roman" w:hAnsi="Times New Roman" w:eastAsia="宋体"/>
                      <w:color w:val="auto"/>
                      <w:sz w:val="21"/>
                      <w:szCs w:val="21"/>
                      <w:vertAlign w:val="baseline"/>
                      <w:lang w:val="en-US" w:eastAsia="zh-CN"/>
                    </w:rPr>
                  </w:pPr>
                  <w:r>
                    <w:rPr>
                      <w:rFonts w:hint="eastAsia"/>
                      <w:color w:val="auto"/>
                      <w:sz w:val="21"/>
                      <w:szCs w:val="21"/>
                      <w:vertAlign w:val="baseline"/>
                      <w:lang w:val="en-US" w:eastAsia="zh-CN"/>
                    </w:rPr>
                    <w:t>氢氧化钠</w:t>
                  </w:r>
                </w:p>
              </w:tc>
              <w:tc>
                <w:tcPr>
                  <w:tcW w:w="4084" w:type="pct"/>
                  <w:noWrap w:val="0"/>
                  <w:vAlign w:val="center"/>
                </w:tcPr>
                <w:p w14:paraId="7B533414">
                  <w:pPr>
                    <w:pStyle w:val="1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default" w:ascii="Times New Roman" w:hAnsi="Times New Roman" w:eastAsia="宋体"/>
                      <w:color w:val="auto"/>
                      <w:sz w:val="21"/>
                      <w:szCs w:val="21"/>
                      <w:vertAlign w:val="baseline"/>
                      <w:lang w:val="en-US" w:eastAsia="zh-CN"/>
                    </w:rPr>
                  </w:pPr>
                  <w:r>
                    <w:rPr>
                      <w:rFonts w:hint="default" w:ascii="Times New Roman" w:hAnsi="Times New Roman" w:eastAsia="宋体"/>
                      <w:color w:val="auto"/>
                      <w:sz w:val="21"/>
                      <w:szCs w:val="21"/>
                      <w:vertAlign w:val="baseline"/>
                      <w:lang w:val="en-US" w:eastAsia="zh-CN"/>
                    </w:rPr>
                    <w:t>氢氧化钠，化学式为NaOH，俗称烧碱、火碱、苛性钠，为一种具有强腐蚀性的强碱，一般为片状或颗粒形态，易溶于水(溶于水时放热)并形成碱性溶液，另有潮解性，易吸取空气中的水蒸气(潮解)和二氧化碳(变质)。</w:t>
                  </w:r>
                </w:p>
                <w:p w14:paraId="45FF0D3C">
                  <w:pPr>
                    <w:pStyle w:val="1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default" w:ascii="Times New Roman" w:hAnsi="Times New Roman" w:eastAsia="宋体"/>
                      <w:color w:val="auto"/>
                      <w:sz w:val="21"/>
                      <w:szCs w:val="21"/>
                      <w:vertAlign w:val="baseline"/>
                      <w:lang w:val="en-US" w:eastAsia="zh-CN"/>
                    </w:rPr>
                  </w:pPr>
                  <w:r>
                    <w:rPr>
                      <w:rFonts w:hint="default" w:ascii="Times New Roman" w:hAnsi="Times New Roman" w:eastAsia="宋体"/>
                      <w:color w:val="auto"/>
                      <w:sz w:val="21"/>
                      <w:szCs w:val="21"/>
                      <w:vertAlign w:val="baseline"/>
                      <w:lang w:val="en-US" w:eastAsia="zh-CN"/>
                    </w:rPr>
                    <w:t>密度：2.130 g/cm³</w:t>
                  </w:r>
                  <w:r>
                    <w:rPr>
                      <w:rFonts w:hint="eastAsia"/>
                      <w:color w:val="auto"/>
                      <w:sz w:val="21"/>
                      <w:szCs w:val="21"/>
                      <w:vertAlign w:val="baseline"/>
                      <w:lang w:val="en-US" w:eastAsia="zh-CN"/>
                    </w:rPr>
                    <w:t>、</w:t>
                  </w:r>
                  <w:r>
                    <w:rPr>
                      <w:rFonts w:hint="default" w:ascii="Times New Roman" w:hAnsi="Times New Roman" w:eastAsia="宋体"/>
                      <w:color w:val="auto"/>
                      <w:sz w:val="21"/>
                      <w:szCs w:val="21"/>
                      <w:vertAlign w:val="baseline"/>
                      <w:lang w:val="en-US" w:eastAsia="zh-CN"/>
                    </w:rPr>
                    <w:t>熔点：318.4℃(591 K)</w:t>
                  </w:r>
                  <w:r>
                    <w:rPr>
                      <w:rFonts w:hint="eastAsia"/>
                      <w:color w:val="auto"/>
                      <w:sz w:val="21"/>
                      <w:szCs w:val="21"/>
                      <w:vertAlign w:val="baseline"/>
                      <w:lang w:val="en-US" w:eastAsia="zh-CN"/>
                    </w:rPr>
                    <w:t>、</w:t>
                  </w:r>
                  <w:r>
                    <w:rPr>
                      <w:rFonts w:hint="default" w:ascii="Times New Roman" w:hAnsi="Times New Roman" w:eastAsia="宋体"/>
                      <w:color w:val="auto"/>
                      <w:sz w:val="21"/>
                      <w:szCs w:val="21"/>
                      <w:vertAlign w:val="baseline"/>
                      <w:lang w:val="en-US" w:eastAsia="zh-CN"/>
                    </w:rPr>
                    <w:t xml:space="preserve">沸点：1390 ℃ (1663 K) </w:t>
                  </w:r>
                  <w:r>
                    <w:rPr>
                      <w:rFonts w:hint="eastAsia"/>
                      <w:color w:val="auto"/>
                      <w:sz w:val="21"/>
                      <w:szCs w:val="21"/>
                      <w:vertAlign w:val="baseline"/>
                      <w:lang w:val="en-US" w:eastAsia="zh-CN"/>
                    </w:rPr>
                    <w:t>、</w:t>
                  </w:r>
                </w:p>
                <w:p w14:paraId="45921DAA">
                  <w:pPr>
                    <w:pStyle w:val="1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default" w:ascii="Times New Roman" w:hAnsi="Times New Roman" w:eastAsia="宋体"/>
                      <w:color w:val="auto"/>
                      <w:sz w:val="21"/>
                      <w:szCs w:val="21"/>
                      <w:vertAlign w:val="baseline"/>
                      <w:lang w:val="en-US" w:eastAsia="zh-CN"/>
                    </w:rPr>
                  </w:pPr>
                  <w:r>
                    <w:rPr>
                      <w:rFonts w:hint="default" w:ascii="Times New Roman" w:hAnsi="Times New Roman" w:eastAsia="宋体"/>
                      <w:color w:val="auto"/>
                      <w:sz w:val="21"/>
                      <w:szCs w:val="21"/>
                      <w:vertAlign w:val="baseline"/>
                      <w:lang w:val="en-US" w:eastAsia="zh-CN"/>
                    </w:rPr>
                    <w:t>蒸气压：24.5mmHg( 25°C) [2]</w:t>
                  </w:r>
                  <w:r>
                    <w:rPr>
                      <w:rFonts w:hint="eastAsia"/>
                      <w:color w:val="auto"/>
                      <w:sz w:val="21"/>
                      <w:szCs w:val="21"/>
                      <w:vertAlign w:val="baseline"/>
                      <w:lang w:val="en-US" w:eastAsia="zh-CN"/>
                    </w:rPr>
                    <w:t>、</w:t>
                  </w:r>
                  <w:r>
                    <w:rPr>
                      <w:rFonts w:hint="default" w:ascii="Times New Roman" w:hAnsi="Times New Roman" w:eastAsia="宋体"/>
                      <w:color w:val="auto"/>
                      <w:sz w:val="21"/>
                      <w:szCs w:val="21"/>
                      <w:vertAlign w:val="baseline"/>
                      <w:lang w:val="en-US" w:eastAsia="zh-CN"/>
                    </w:rPr>
                    <w:t>饱和蒸气压：0.13 Kpa（739℃）</w:t>
                  </w:r>
                  <w:r>
                    <w:rPr>
                      <w:rFonts w:hint="eastAsia"/>
                      <w:color w:val="auto"/>
                      <w:sz w:val="21"/>
                      <w:szCs w:val="21"/>
                      <w:vertAlign w:val="baseline"/>
                      <w:lang w:val="en-US" w:eastAsia="zh-CN"/>
                    </w:rPr>
                    <w:t>、</w:t>
                  </w:r>
                  <w:r>
                    <w:rPr>
                      <w:rFonts w:hint="default" w:ascii="Times New Roman" w:hAnsi="Times New Roman" w:eastAsia="宋体"/>
                      <w:color w:val="auto"/>
                      <w:sz w:val="21"/>
                      <w:szCs w:val="21"/>
                      <w:vertAlign w:val="baseline"/>
                      <w:lang w:val="en-US" w:eastAsia="zh-CN"/>
                    </w:rPr>
                    <w:t>溶解性：易溶于水、乙醇、甘油，不溶于丙酮、乙醚</w:t>
                  </w:r>
                  <w:r>
                    <w:rPr>
                      <w:rFonts w:hint="eastAsia"/>
                      <w:color w:val="auto"/>
                      <w:sz w:val="21"/>
                      <w:szCs w:val="21"/>
                      <w:vertAlign w:val="baseline"/>
                      <w:lang w:val="en-US" w:eastAsia="zh-CN"/>
                    </w:rPr>
                    <w:t>、</w:t>
                  </w:r>
                </w:p>
              </w:tc>
            </w:tr>
            <w:tr w14:paraId="5236A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pct"/>
                  <w:noWrap w:val="0"/>
                  <w:vAlign w:val="center"/>
                </w:tcPr>
                <w:p w14:paraId="50AE664A">
                  <w:pPr>
                    <w:pStyle w:val="1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default" w:ascii="Times New Roman" w:hAnsi="Times New Roman" w:eastAsia="宋体" w:cs="宋体"/>
                      <w:color w:val="auto"/>
                      <w:sz w:val="21"/>
                      <w:szCs w:val="21"/>
                      <w:highlight w:val="yellow"/>
                      <w:vertAlign w:val="baseline"/>
                      <w:lang w:val="en-US" w:eastAsia="zh-CN"/>
                    </w:rPr>
                  </w:pPr>
                  <w:r>
                    <w:rPr>
                      <w:rFonts w:hint="eastAsia" w:cs="宋体"/>
                      <w:color w:val="auto"/>
                      <w:sz w:val="21"/>
                      <w:szCs w:val="21"/>
                      <w:highlight w:val="none"/>
                      <w:vertAlign w:val="baseline"/>
                      <w:lang w:val="en-US" w:eastAsia="zh-CN"/>
                    </w:rPr>
                    <w:t>硫酸</w:t>
                  </w:r>
                </w:p>
              </w:tc>
              <w:tc>
                <w:tcPr>
                  <w:tcW w:w="4084" w:type="pct"/>
                  <w:noWrap w:val="0"/>
                  <w:vAlign w:val="center"/>
                </w:tcPr>
                <w:p w14:paraId="54A5D335">
                  <w:pPr>
                    <w:pStyle w:val="1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Times New Roman" w:hAnsi="Times New Roman" w:eastAsia="宋体" w:cs="宋体"/>
                      <w:color w:val="auto"/>
                      <w:sz w:val="21"/>
                      <w:szCs w:val="21"/>
                      <w:highlight w:val="yellow"/>
                      <w:vertAlign w:val="baseline"/>
                      <w:lang w:val="en-US" w:eastAsia="zh-CN"/>
                    </w:rPr>
                  </w:pPr>
                  <w:r>
                    <w:rPr>
                      <w:rFonts w:hint="eastAsia" w:ascii="Times New Roman" w:hAnsi="Times New Roman" w:eastAsia="宋体" w:cs="宋体"/>
                      <w:color w:val="auto"/>
                      <w:sz w:val="21"/>
                      <w:szCs w:val="21"/>
                      <w:highlight w:val="none"/>
                      <w:vertAlign w:val="baseline"/>
                      <w:lang w:val="en-US" w:eastAsia="zh-CN"/>
                    </w:rPr>
                    <w:t>硫酸是一种无机化合物，化学式是H</w:t>
                  </w:r>
                  <w:r>
                    <w:rPr>
                      <w:rFonts w:hint="default" w:ascii="Times New Roman" w:hAnsi="Times New Roman" w:eastAsia="宋体" w:cs="宋体"/>
                      <w:color w:val="auto"/>
                      <w:sz w:val="21"/>
                      <w:szCs w:val="21"/>
                      <w:highlight w:val="none"/>
                      <w:vertAlign w:val="subscript"/>
                      <w:lang w:val="en-US" w:eastAsia="zh-CN"/>
                    </w:rPr>
                    <w:t>2</w:t>
                  </w:r>
                  <w:r>
                    <w:rPr>
                      <w:rFonts w:hint="default" w:ascii="Times New Roman" w:hAnsi="Times New Roman" w:eastAsia="宋体" w:cs="宋体"/>
                      <w:color w:val="auto"/>
                      <w:sz w:val="21"/>
                      <w:szCs w:val="21"/>
                      <w:highlight w:val="none"/>
                      <w:vertAlign w:val="baseline"/>
                      <w:lang w:val="en-US" w:eastAsia="zh-CN"/>
                    </w:rPr>
                    <w:t>SO</w:t>
                  </w:r>
                  <w:r>
                    <w:rPr>
                      <w:rFonts w:hint="default" w:ascii="Times New Roman" w:hAnsi="Times New Roman" w:eastAsia="宋体" w:cs="宋体"/>
                      <w:color w:val="auto"/>
                      <w:sz w:val="21"/>
                      <w:szCs w:val="21"/>
                      <w:highlight w:val="none"/>
                      <w:vertAlign w:val="subscript"/>
                      <w:lang w:val="en-US" w:eastAsia="zh-CN"/>
                    </w:rPr>
                    <w:t>4</w:t>
                  </w:r>
                  <w:r>
                    <w:rPr>
                      <w:rFonts w:hint="default" w:ascii="Times New Roman" w:hAnsi="Times New Roman" w:eastAsia="宋体" w:cs="宋体"/>
                      <w:color w:val="auto"/>
                      <w:sz w:val="21"/>
                      <w:szCs w:val="21"/>
                      <w:highlight w:val="none"/>
                      <w:vertAlign w:val="baseline"/>
                      <w:lang w:val="en-US" w:eastAsia="zh-CN"/>
                    </w:rPr>
                    <w:t>，是硫的最重要的</w:t>
                  </w:r>
                  <w:r>
                    <w:rPr>
                      <w:rFonts w:hint="default" w:ascii="Times New Roman" w:hAnsi="Times New Roman" w:eastAsia="宋体" w:cs="宋体"/>
                      <w:color w:val="auto"/>
                      <w:sz w:val="21"/>
                      <w:szCs w:val="21"/>
                      <w:highlight w:val="none"/>
                      <w:vertAlign w:val="baseline"/>
                      <w:lang w:val="en-US" w:eastAsia="zh-CN"/>
                    </w:rPr>
                    <w:fldChar w:fldCharType="begin"/>
                  </w:r>
                  <w:r>
                    <w:rPr>
                      <w:rFonts w:hint="default" w:ascii="Times New Roman" w:hAnsi="Times New Roman" w:eastAsia="宋体" w:cs="宋体"/>
                      <w:color w:val="auto"/>
                      <w:sz w:val="21"/>
                      <w:szCs w:val="21"/>
                      <w:highlight w:val="none"/>
                      <w:vertAlign w:val="baseline"/>
                      <w:lang w:val="en-US" w:eastAsia="zh-CN"/>
                    </w:rPr>
                    <w:instrText xml:space="preserve"> HYPERLINK "https://baike.baidu.com/item/%E5%90%AB%E6%B0%A7%E9%85%B8/155450?fromModule=lemma_inlink" \t "https://baike.baidu.com/item/_blank" </w:instrText>
                  </w:r>
                  <w:r>
                    <w:rPr>
                      <w:rFonts w:hint="default" w:ascii="Times New Roman" w:hAnsi="Times New Roman" w:eastAsia="宋体" w:cs="宋体"/>
                      <w:color w:val="auto"/>
                      <w:sz w:val="21"/>
                      <w:szCs w:val="21"/>
                      <w:highlight w:val="none"/>
                      <w:vertAlign w:val="baseline"/>
                      <w:lang w:val="en-US" w:eastAsia="zh-CN"/>
                    </w:rPr>
                    <w:fldChar w:fldCharType="separate"/>
                  </w:r>
                  <w:r>
                    <w:rPr>
                      <w:rFonts w:hint="default" w:ascii="Times New Roman" w:hAnsi="Times New Roman" w:eastAsia="宋体" w:cs="宋体"/>
                      <w:color w:val="auto"/>
                      <w:sz w:val="21"/>
                      <w:szCs w:val="21"/>
                      <w:highlight w:val="none"/>
                      <w:vertAlign w:val="baseline"/>
                      <w:lang w:val="en-US" w:eastAsia="zh-CN"/>
                    </w:rPr>
                    <w:t>含氧酸</w:t>
                  </w:r>
                  <w:r>
                    <w:rPr>
                      <w:rFonts w:hint="default" w:ascii="Times New Roman" w:hAnsi="Times New Roman" w:eastAsia="宋体" w:cs="宋体"/>
                      <w:color w:val="auto"/>
                      <w:sz w:val="21"/>
                      <w:szCs w:val="21"/>
                      <w:highlight w:val="none"/>
                      <w:vertAlign w:val="baseline"/>
                      <w:lang w:val="en-US" w:eastAsia="zh-CN"/>
                    </w:rPr>
                    <w:fldChar w:fldCharType="end"/>
                  </w:r>
                  <w:r>
                    <w:rPr>
                      <w:rFonts w:hint="default" w:ascii="Times New Roman" w:hAnsi="Times New Roman" w:eastAsia="宋体" w:cs="宋体"/>
                      <w:color w:val="auto"/>
                      <w:sz w:val="21"/>
                      <w:szCs w:val="21"/>
                      <w:highlight w:val="none"/>
                      <w:vertAlign w:val="baseline"/>
                      <w:lang w:val="en-US" w:eastAsia="zh-CN"/>
                    </w:rPr>
                    <w:t>。纯净的硫酸为无色油状液体，10.36℃时结晶。通常使用的是它的各种不同浓度的水溶液</w:t>
                  </w:r>
                  <w:r>
                    <w:rPr>
                      <w:rFonts w:hint="eastAsia" w:ascii="Times New Roman" w:hAnsi="Times New Roman" w:eastAsia="宋体" w:cs="宋体"/>
                      <w:color w:val="auto"/>
                      <w:sz w:val="21"/>
                      <w:szCs w:val="21"/>
                      <w:highlight w:val="none"/>
                      <w:vertAlign w:val="baseline"/>
                      <w:lang w:val="en-US" w:eastAsia="zh-CN"/>
                    </w:rPr>
                    <w:t>。硫酸是一种无机强酸，能和绝大多数金属发生反应。高浓度的硫酸有强烈</w:t>
                  </w:r>
                  <w:r>
                    <w:rPr>
                      <w:rFonts w:hint="default" w:ascii="Times New Roman" w:hAnsi="Times New Roman" w:eastAsia="宋体" w:cs="宋体"/>
                      <w:color w:val="auto"/>
                      <w:sz w:val="21"/>
                      <w:szCs w:val="21"/>
                      <w:highlight w:val="none"/>
                      <w:vertAlign w:val="baseline"/>
                      <w:lang w:val="en-US" w:eastAsia="zh-CN"/>
                    </w:rPr>
                    <w:fldChar w:fldCharType="begin"/>
                  </w:r>
                  <w:r>
                    <w:rPr>
                      <w:rFonts w:hint="default" w:ascii="Times New Roman" w:hAnsi="Times New Roman" w:eastAsia="宋体" w:cs="宋体"/>
                      <w:color w:val="auto"/>
                      <w:sz w:val="21"/>
                      <w:szCs w:val="21"/>
                      <w:highlight w:val="none"/>
                      <w:vertAlign w:val="baseline"/>
                      <w:lang w:val="en-US" w:eastAsia="zh-CN"/>
                    </w:rPr>
                    <w:instrText xml:space="preserve"> HYPERLINK "https://baike.baidu.com/item/%E5%90%B8%E6%B0%B4%E6%80%A7/10930650?fromModule=lemma_inlink" \t "https://baike.baidu.com/item/_blank" </w:instrText>
                  </w:r>
                  <w:r>
                    <w:rPr>
                      <w:rFonts w:hint="default" w:ascii="Times New Roman" w:hAnsi="Times New Roman" w:eastAsia="宋体" w:cs="宋体"/>
                      <w:color w:val="auto"/>
                      <w:sz w:val="21"/>
                      <w:szCs w:val="21"/>
                      <w:highlight w:val="none"/>
                      <w:vertAlign w:val="baseline"/>
                      <w:lang w:val="en-US" w:eastAsia="zh-CN"/>
                    </w:rPr>
                    <w:fldChar w:fldCharType="separate"/>
                  </w:r>
                  <w:r>
                    <w:rPr>
                      <w:rFonts w:hint="default" w:ascii="Times New Roman" w:hAnsi="Times New Roman" w:eastAsia="宋体" w:cs="宋体"/>
                      <w:color w:val="auto"/>
                      <w:sz w:val="21"/>
                      <w:szCs w:val="21"/>
                      <w:highlight w:val="none"/>
                      <w:vertAlign w:val="baseline"/>
                      <w:lang w:val="en-US" w:eastAsia="zh-CN"/>
                    </w:rPr>
                    <w:t>吸水性</w:t>
                  </w:r>
                  <w:r>
                    <w:rPr>
                      <w:rFonts w:hint="default" w:ascii="Times New Roman" w:hAnsi="Times New Roman" w:eastAsia="宋体" w:cs="宋体"/>
                      <w:color w:val="auto"/>
                      <w:sz w:val="21"/>
                      <w:szCs w:val="21"/>
                      <w:highlight w:val="none"/>
                      <w:vertAlign w:val="baseline"/>
                      <w:lang w:val="en-US" w:eastAsia="zh-CN"/>
                    </w:rPr>
                    <w:fldChar w:fldCharType="end"/>
                  </w:r>
                  <w:r>
                    <w:rPr>
                      <w:rFonts w:hint="default" w:ascii="Times New Roman" w:hAnsi="Times New Roman" w:eastAsia="宋体" w:cs="宋体"/>
                      <w:color w:val="auto"/>
                      <w:sz w:val="21"/>
                      <w:szCs w:val="21"/>
                      <w:highlight w:val="none"/>
                      <w:vertAlign w:val="baseline"/>
                      <w:lang w:val="en-US" w:eastAsia="zh-CN"/>
                    </w:rPr>
                    <w:t>，可用作</w:t>
                  </w:r>
                  <w:r>
                    <w:rPr>
                      <w:rFonts w:hint="default" w:ascii="Times New Roman" w:hAnsi="Times New Roman" w:eastAsia="宋体" w:cs="宋体"/>
                      <w:color w:val="auto"/>
                      <w:sz w:val="21"/>
                      <w:szCs w:val="21"/>
                      <w:highlight w:val="none"/>
                      <w:vertAlign w:val="baseline"/>
                      <w:lang w:val="en-US" w:eastAsia="zh-CN"/>
                    </w:rPr>
                    <w:fldChar w:fldCharType="begin"/>
                  </w:r>
                  <w:r>
                    <w:rPr>
                      <w:rFonts w:hint="default" w:ascii="Times New Roman" w:hAnsi="Times New Roman" w:eastAsia="宋体" w:cs="宋体"/>
                      <w:color w:val="auto"/>
                      <w:sz w:val="21"/>
                      <w:szCs w:val="21"/>
                      <w:highlight w:val="none"/>
                      <w:vertAlign w:val="baseline"/>
                      <w:lang w:val="en-US" w:eastAsia="zh-CN"/>
                    </w:rPr>
                    <w:instrText xml:space="preserve"> HYPERLINK "https://baike.baidu.com/item/%E8%84%B1%E6%B0%B4%E5%89%82/6808435?fromModule=lemma_inlink" \t "https://baike.baidu.com/item/_blank" </w:instrText>
                  </w:r>
                  <w:r>
                    <w:rPr>
                      <w:rFonts w:hint="default" w:ascii="Times New Roman" w:hAnsi="Times New Roman" w:eastAsia="宋体" w:cs="宋体"/>
                      <w:color w:val="auto"/>
                      <w:sz w:val="21"/>
                      <w:szCs w:val="21"/>
                      <w:highlight w:val="none"/>
                      <w:vertAlign w:val="baseline"/>
                      <w:lang w:val="en-US" w:eastAsia="zh-CN"/>
                    </w:rPr>
                    <w:fldChar w:fldCharType="separate"/>
                  </w:r>
                  <w:r>
                    <w:rPr>
                      <w:rFonts w:hint="default" w:ascii="Times New Roman" w:hAnsi="Times New Roman" w:eastAsia="宋体" w:cs="宋体"/>
                      <w:color w:val="auto"/>
                      <w:sz w:val="21"/>
                      <w:szCs w:val="21"/>
                      <w:highlight w:val="none"/>
                      <w:vertAlign w:val="baseline"/>
                      <w:lang w:val="en-US" w:eastAsia="zh-CN"/>
                    </w:rPr>
                    <w:t>脱水剂</w:t>
                  </w:r>
                  <w:r>
                    <w:rPr>
                      <w:rFonts w:hint="default" w:ascii="Times New Roman" w:hAnsi="Times New Roman" w:eastAsia="宋体" w:cs="宋体"/>
                      <w:color w:val="auto"/>
                      <w:sz w:val="21"/>
                      <w:szCs w:val="21"/>
                      <w:highlight w:val="none"/>
                      <w:vertAlign w:val="baseline"/>
                      <w:lang w:val="en-US" w:eastAsia="zh-CN"/>
                    </w:rPr>
                    <w:fldChar w:fldCharType="end"/>
                  </w:r>
                  <w:r>
                    <w:rPr>
                      <w:rFonts w:hint="default" w:ascii="Times New Roman" w:hAnsi="Times New Roman" w:eastAsia="宋体" w:cs="宋体"/>
                      <w:color w:val="auto"/>
                      <w:sz w:val="21"/>
                      <w:szCs w:val="21"/>
                      <w:highlight w:val="none"/>
                      <w:vertAlign w:val="baseline"/>
                      <w:lang w:val="en-US" w:eastAsia="zh-CN"/>
                    </w:rPr>
                    <w:t>，碳化木材、纸张、棉麻织物及生物皮肉等含碳水化合物的物质。与水混合时，亦会放出大量热能。其具有强烈的</w:t>
                  </w:r>
                  <w:r>
                    <w:rPr>
                      <w:rFonts w:hint="default" w:ascii="Times New Roman" w:hAnsi="Times New Roman" w:eastAsia="宋体" w:cs="宋体"/>
                      <w:color w:val="auto"/>
                      <w:sz w:val="21"/>
                      <w:szCs w:val="21"/>
                      <w:highlight w:val="none"/>
                      <w:vertAlign w:val="baseline"/>
                      <w:lang w:val="en-US" w:eastAsia="zh-CN"/>
                    </w:rPr>
                    <w:fldChar w:fldCharType="begin"/>
                  </w:r>
                  <w:r>
                    <w:rPr>
                      <w:rFonts w:hint="default" w:ascii="Times New Roman" w:hAnsi="Times New Roman" w:eastAsia="宋体" w:cs="宋体"/>
                      <w:color w:val="auto"/>
                      <w:sz w:val="21"/>
                      <w:szCs w:val="21"/>
                      <w:highlight w:val="none"/>
                      <w:vertAlign w:val="baseline"/>
                      <w:lang w:val="en-US" w:eastAsia="zh-CN"/>
                    </w:rPr>
                    <w:instrText xml:space="preserve"> HYPERLINK "https://baike.baidu.com/item/%E8%85%90%E8%9A%80%E6%80%A7/770500?fromModule=lemma_inlink" \t "https://baike.baidu.com/item/_blank" </w:instrText>
                  </w:r>
                  <w:r>
                    <w:rPr>
                      <w:rFonts w:hint="default" w:ascii="Times New Roman" w:hAnsi="Times New Roman" w:eastAsia="宋体" w:cs="宋体"/>
                      <w:color w:val="auto"/>
                      <w:sz w:val="21"/>
                      <w:szCs w:val="21"/>
                      <w:highlight w:val="none"/>
                      <w:vertAlign w:val="baseline"/>
                      <w:lang w:val="en-US" w:eastAsia="zh-CN"/>
                    </w:rPr>
                    <w:fldChar w:fldCharType="separate"/>
                  </w:r>
                  <w:r>
                    <w:rPr>
                      <w:rFonts w:hint="default" w:ascii="Times New Roman" w:hAnsi="Times New Roman" w:eastAsia="宋体" w:cs="宋体"/>
                      <w:color w:val="auto"/>
                      <w:sz w:val="21"/>
                      <w:szCs w:val="21"/>
                      <w:highlight w:val="none"/>
                      <w:vertAlign w:val="baseline"/>
                      <w:lang w:val="en-US" w:eastAsia="zh-CN"/>
                    </w:rPr>
                    <w:t>腐蚀性</w:t>
                  </w:r>
                  <w:r>
                    <w:rPr>
                      <w:rFonts w:hint="default" w:ascii="Times New Roman" w:hAnsi="Times New Roman" w:eastAsia="宋体" w:cs="宋体"/>
                      <w:color w:val="auto"/>
                      <w:sz w:val="21"/>
                      <w:szCs w:val="21"/>
                      <w:highlight w:val="none"/>
                      <w:vertAlign w:val="baseline"/>
                      <w:lang w:val="en-US" w:eastAsia="zh-CN"/>
                    </w:rPr>
                    <w:fldChar w:fldCharType="end"/>
                  </w:r>
                  <w:r>
                    <w:rPr>
                      <w:rFonts w:hint="default" w:ascii="Times New Roman" w:hAnsi="Times New Roman" w:eastAsia="宋体" w:cs="宋体"/>
                      <w:color w:val="auto"/>
                      <w:sz w:val="21"/>
                      <w:szCs w:val="21"/>
                      <w:highlight w:val="none"/>
                      <w:vertAlign w:val="baseline"/>
                      <w:lang w:val="en-US" w:eastAsia="zh-CN"/>
                    </w:rPr>
                    <w:t>和</w:t>
                  </w:r>
                  <w:r>
                    <w:rPr>
                      <w:rFonts w:hint="default" w:ascii="Times New Roman" w:hAnsi="Times New Roman" w:eastAsia="宋体" w:cs="宋体"/>
                      <w:color w:val="auto"/>
                      <w:sz w:val="21"/>
                      <w:szCs w:val="21"/>
                      <w:highlight w:val="none"/>
                      <w:vertAlign w:val="baseline"/>
                      <w:lang w:val="en-US" w:eastAsia="zh-CN"/>
                    </w:rPr>
                    <w:fldChar w:fldCharType="begin"/>
                  </w:r>
                  <w:r>
                    <w:rPr>
                      <w:rFonts w:hint="default" w:ascii="Times New Roman" w:hAnsi="Times New Roman" w:eastAsia="宋体" w:cs="宋体"/>
                      <w:color w:val="auto"/>
                      <w:sz w:val="21"/>
                      <w:szCs w:val="21"/>
                      <w:highlight w:val="none"/>
                      <w:vertAlign w:val="baseline"/>
                      <w:lang w:val="en-US" w:eastAsia="zh-CN"/>
                    </w:rPr>
                    <w:instrText xml:space="preserve"> HYPERLINK "https://baike.baidu.com/item/%E6%B0%A7%E5%8C%96%E6%80%A7/4826093?fromModule=lemma_inlink" \t "https://baike.baidu.com/item/_blank" </w:instrText>
                  </w:r>
                  <w:r>
                    <w:rPr>
                      <w:rFonts w:hint="default" w:ascii="Times New Roman" w:hAnsi="Times New Roman" w:eastAsia="宋体" w:cs="宋体"/>
                      <w:color w:val="auto"/>
                      <w:sz w:val="21"/>
                      <w:szCs w:val="21"/>
                      <w:highlight w:val="none"/>
                      <w:vertAlign w:val="baseline"/>
                      <w:lang w:val="en-US" w:eastAsia="zh-CN"/>
                    </w:rPr>
                    <w:fldChar w:fldCharType="separate"/>
                  </w:r>
                  <w:r>
                    <w:rPr>
                      <w:rFonts w:hint="default" w:ascii="Times New Roman" w:hAnsi="Times New Roman" w:eastAsia="宋体" w:cs="宋体"/>
                      <w:color w:val="auto"/>
                      <w:sz w:val="21"/>
                      <w:szCs w:val="21"/>
                      <w:highlight w:val="none"/>
                      <w:vertAlign w:val="baseline"/>
                      <w:lang w:val="en-US" w:eastAsia="zh-CN"/>
                    </w:rPr>
                    <w:t>氧化性</w:t>
                  </w:r>
                  <w:r>
                    <w:rPr>
                      <w:rFonts w:hint="default" w:ascii="Times New Roman" w:hAnsi="Times New Roman" w:eastAsia="宋体" w:cs="宋体"/>
                      <w:color w:val="auto"/>
                      <w:sz w:val="21"/>
                      <w:szCs w:val="21"/>
                      <w:highlight w:val="none"/>
                      <w:vertAlign w:val="baseline"/>
                      <w:lang w:val="en-US" w:eastAsia="zh-CN"/>
                    </w:rPr>
                    <w:fldChar w:fldCharType="end"/>
                  </w:r>
                  <w:r>
                    <w:rPr>
                      <w:rFonts w:hint="default" w:ascii="Times New Roman" w:hAnsi="Times New Roman" w:eastAsia="宋体" w:cs="宋体"/>
                      <w:color w:val="auto"/>
                      <w:sz w:val="21"/>
                      <w:szCs w:val="21"/>
                      <w:highlight w:val="none"/>
                      <w:vertAlign w:val="baseline"/>
                      <w:lang w:val="en-US" w:eastAsia="zh-CN"/>
                    </w:rPr>
                    <w:t xml:space="preserve">，故需谨慎使用。熔点10 至 10.49 ℃ </w:t>
                  </w:r>
                  <w:r>
                    <w:rPr>
                      <w:rFonts w:hint="eastAsia" w:cs="宋体"/>
                      <w:color w:val="auto"/>
                      <w:sz w:val="21"/>
                      <w:szCs w:val="21"/>
                      <w:highlight w:val="none"/>
                      <w:vertAlign w:val="baseline"/>
                      <w:lang w:val="en-US" w:eastAsia="zh-CN"/>
                    </w:rPr>
                    <w:t>、</w:t>
                  </w:r>
                  <w:r>
                    <w:rPr>
                      <w:rFonts w:hint="default" w:ascii="Times New Roman" w:hAnsi="Times New Roman" w:eastAsia="宋体" w:cs="宋体"/>
                      <w:color w:val="auto"/>
                      <w:sz w:val="21"/>
                      <w:szCs w:val="21"/>
                      <w:highlight w:val="none"/>
                      <w:vertAlign w:val="baseline"/>
                      <w:lang w:val="en-US" w:eastAsia="zh-CN"/>
                    </w:rPr>
                    <w:t>沸点338 ℃</w:t>
                  </w:r>
                  <w:r>
                    <w:rPr>
                      <w:rFonts w:hint="eastAsia" w:cs="宋体"/>
                      <w:color w:val="auto"/>
                      <w:sz w:val="21"/>
                      <w:szCs w:val="21"/>
                      <w:highlight w:val="none"/>
                      <w:vertAlign w:val="baseline"/>
                      <w:lang w:val="en-US" w:eastAsia="zh-CN"/>
                    </w:rPr>
                    <w:t>、</w:t>
                  </w:r>
                  <w:r>
                    <w:rPr>
                      <w:rFonts w:hint="default" w:ascii="Times New Roman" w:hAnsi="Times New Roman" w:eastAsia="宋体" w:cs="宋体"/>
                      <w:color w:val="auto"/>
                      <w:sz w:val="21"/>
                      <w:szCs w:val="21"/>
                      <w:highlight w:val="none"/>
                      <w:vertAlign w:val="baseline"/>
                      <w:lang w:val="en-US" w:eastAsia="zh-CN"/>
                    </w:rPr>
                    <w:t>水溶性任意比互溶</w:t>
                  </w:r>
                  <w:r>
                    <w:rPr>
                      <w:rFonts w:hint="eastAsia" w:cs="宋体"/>
                      <w:color w:val="auto"/>
                      <w:sz w:val="21"/>
                      <w:szCs w:val="21"/>
                      <w:highlight w:val="none"/>
                      <w:vertAlign w:val="baseline"/>
                      <w:lang w:val="en-US" w:eastAsia="zh-CN"/>
                    </w:rPr>
                    <w:t>、</w:t>
                  </w:r>
                  <w:r>
                    <w:rPr>
                      <w:rFonts w:hint="default" w:ascii="Times New Roman" w:hAnsi="Times New Roman" w:eastAsia="宋体" w:cs="宋体"/>
                      <w:color w:val="auto"/>
                      <w:sz w:val="21"/>
                      <w:szCs w:val="21"/>
                      <w:highlight w:val="none"/>
                      <w:vertAlign w:val="baseline"/>
                      <w:lang w:val="en-US" w:eastAsia="zh-CN"/>
                    </w:rPr>
                    <w:t>密度1.8305 g/cm³</w:t>
                  </w:r>
                  <w:r>
                    <w:rPr>
                      <w:rFonts w:hint="eastAsia" w:cs="宋体"/>
                      <w:color w:val="auto"/>
                      <w:sz w:val="21"/>
                      <w:szCs w:val="21"/>
                      <w:highlight w:val="none"/>
                      <w:vertAlign w:val="baseline"/>
                      <w:lang w:val="en-US" w:eastAsia="zh-CN"/>
                    </w:rPr>
                    <w:t>。</w:t>
                  </w:r>
                </w:p>
              </w:tc>
            </w:tr>
            <w:tr w14:paraId="44069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pct"/>
                  <w:shd w:val="clear" w:color="auto" w:fill="auto"/>
                  <w:noWrap w:val="0"/>
                  <w:vAlign w:val="center"/>
                </w:tcPr>
                <w:p w14:paraId="3AEE2F10">
                  <w:pPr>
                    <w:pStyle w:val="1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cs="宋体"/>
                      <w:color w:val="auto"/>
                      <w:sz w:val="21"/>
                      <w:szCs w:val="21"/>
                      <w:highlight w:val="none"/>
                      <w:vertAlign w:val="baseline"/>
                      <w:lang w:val="en-US" w:eastAsia="zh-CN"/>
                    </w:rPr>
                  </w:pPr>
                  <w:r>
                    <w:rPr>
                      <w:rFonts w:hint="eastAsia" w:cs="宋体"/>
                      <w:color w:val="auto"/>
                      <w:sz w:val="21"/>
                      <w:szCs w:val="21"/>
                      <w:highlight w:val="none"/>
                      <w:vertAlign w:val="baseline"/>
                      <w:lang w:val="en-US" w:eastAsia="zh-CN"/>
                    </w:rPr>
                    <w:t>次氯酸钠</w:t>
                  </w:r>
                </w:p>
              </w:tc>
              <w:tc>
                <w:tcPr>
                  <w:tcW w:w="4084" w:type="pct"/>
                  <w:shd w:val="clear" w:color="auto" w:fill="auto"/>
                  <w:noWrap w:val="0"/>
                  <w:vAlign w:val="center"/>
                </w:tcPr>
                <w:p w14:paraId="249CCEDA">
                  <w:pPr>
                    <w:pStyle w:val="17"/>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cs="宋体"/>
                      <w:color w:val="auto"/>
                      <w:sz w:val="21"/>
                      <w:szCs w:val="21"/>
                      <w:highlight w:val="none"/>
                      <w:vertAlign w:val="baseline"/>
                      <w:lang w:val="en-US" w:eastAsia="zh-CN"/>
                    </w:rPr>
                  </w:pPr>
                  <w:r>
                    <w:rPr>
                      <w:rFonts w:hint="eastAsia" w:cs="宋体"/>
                      <w:color w:val="auto"/>
                      <w:sz w:val="21"/>
                      <w:szCs w:val="21"/>
                      <w:highlight w:val="none"/>
                      <w:vertAlign w:val="baseline"/>
                      <w:lang w:val="en-US" w:eastAsia="zh-CN"/>
                    </w:rPr>
                    <w:t>次氯酸钠在常温下为白色或微黄色结晶状粉末，具有潮解性，易溶于水。其水溶液通常呈现淡黄色，具有强烈的刺激性气味，密度略大于水，溶解性方面，次氯酸钠易溶于水，形成的水溶液呈碱性。次氯酸钠的熔点为-6℃，沸点为102.2℃，相对密度约为1.10</w:t>
                  </w:r>
                </w:p>
              </w:tc>
            </w:tr>
          </w:tbl>
          <w:p w14:paraId="77D92A5C">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b/>
                <w:bCs/>
                <w:color w:val="auto"/>
                <w:lang w:val="en-US" w:eastAsia="zh-CN"/>
              </w:rPr>
            </w:pPr>
            <w:r>
              <w:rPr>
                <w:rFonts w:hint="eastAsia"/>
                <w:b/>
                <w:bCs/>
                <w:color w:val="auto"/>
                <w:lang w:val="en-US" w:eastAsia="zh-CN"/>
              </w:rPr>
              <w:t>1）餐厨垃圾及餐厨废弃物来源</w:t>
            </w:r>
          </w:p>
          <w:p w14:paraId="7E1A6DEF">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color w:val="auto"/>
                <w:lang w:val="en-US" w:eastAsia="zh-CN"/>
              </w:rPr>
            </w:pPr>
            <w:r>
              <w:rPr>
                <w:rFonts w:hint="eastAsia"/>
                <w:color w:val="auto"/>
                <w:lang w:val="en-US" w:eastAsia="zh-CN"/>
              </w:rPr>
              <w:t>餐厨垃圾全部来自东至县，来源包括食品加工、餐饮服务、集体供餐等活动中产生的食物残余、食品加工废料等。</w:t>
            </w:r>
          </w:p>
          <w:p w14:paraId="37C7C336">
            <w:pPr>
              <w:pStyle w:val="14"/>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480" w:firstLineChars="200"/>
              <w:jc w:val="left"/>
              <w:textAlignment w:val="auto"/>
              <w:rPr>
                <w:rFonts w:hint="eastAsia" w:ascii="Times New Roman" w:hAnsi="Times New Roman" w:eastAsia="宋体" w:cs="Times New Roman"/>
                <w:color w:val="auto"/>
                <w:kern w:val="0"/>
                <w:sz w:val="24"/>
                <w:szCs w:val="20"/>
                <w:lang w:val="en-US" w:eastAsia="zh-CN" w:bidi="ar-SA"/>
              </w:rPr>
            </w:pPr>
            <w:r>
              <w:rPr>
                <w:rFonts w:hint="eastAsia" w:ascii="Times New Roman" w:hAnsi="Times New Roman" w:eastAsia="宋体" w:cs="Times New Roman"/>
                <w:color w:val="auto"/>
                <w:kern w:val="0"/>
                <w:sz w:val="24"/>
                <w:szCs w:val="20"/>
                <w:lang w:val="en-US" w:eastAsia="zh-CN" w:bidi="ar-SA"/>
              </w:rPr>
              <w:t>根据《餐厨</w:t>
            </w:r>
            <w:r>
              <w:rPr>
                <w:rFonts w:hint="eastAsia" w:cs="Times New Roman"/>
                <w:color w:val="auto"/>
                <w:kern w:val="0"/>
                <w:sz w:val="24"/>
                <w:szCs w:val="20"/>
                <w:lang w:val="en-US" w:eastAsia="zh-CN" w:bidi="ar-SA"/>
              </w:rPr>
              <w:t>垃圾</w:t>
            </w:r>
            <w:r>
              <w:rPr>
                <w:rFonts w:hint="eastAsia" w:ascii="Times New Roman" w:hAnsi="Times New Roman" w:eastAsia="宋体" w:cs="Times New Roman"/>
                <w:color w:val="auto"/>
                <w:kern w:val="0"/>
                <w:sz w:val="24"/>
                <w:szCs w:val="20"/>
                <w:lang w:val="en-US" w:eastAsia="zh-CN" w:bidi="ar-SA"/>
              </w:rPr>
              <w:t>处理技术规范》（CJJ184-2012）餐厨废弃物产生量应根据实际统计数据确定，也可按人均日产生量按人均日产量进行估算：</w:t>
            </w:r>
          </w:p>
          <w:p w14:paraId="414DF7B2">
            <w:pPr>
              <w:pStyle w:val="14"/>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480" w:firstLineChars="200"/>
              <w:jc w:val="left"/>
              <w:textAlignment w:val="auto"/>
              <w:rPr>
                <w:rFonts w:hint="eastAsia" w:ascii="Times New Roman" w:hAnsi="Times New Roman" w:eastAsia="宋体" w:cs="Times New Roman"/>
                <w:color w:val="auto"/>
                <w:kern w:val="0"/>
                <w:sz w:val="24"/>
                <w:szCs w:val="20"/>
                <w:lang w:val="en-US" w:eastAsia="zh-CN" w:bidi="ar-SA"/>
              </w:rPr>
            </w:pPr>
            <w:r>
              <w:rPr>
                <w:rFonts w:hint="eastAsia" w:ascii="Times New Roman" w:hAnsi="Times New Roman" w:eastAsia="宋体" w:cs="Times New Roman"/>
                <w:color w:val="auto"/>
                <w:kern w:val="0"/>
                <w:sz w:val="24"/>
                <w:szCs w:val="20"/>
                <w:lang w:val="en-US" w:eastAsia="zh-CN" w:bidi="ar-SA"/>
              </w:rPr>
              <w:t>MC=Rmk</w:t>
            </w:r>
          </w:p>
          <w:p w14:paraId="14F9E12C">
            <w:pPr>
              <w:pStyle w:val="14"/>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right="0" w:firstLine="480" w:firstLineChars="200"/>
              <w:jc w:val="left"/>
              <w:textAlignment w:val="auto"/>
              <w:rPr>
                <w:rFonts w:hint="eastAsia" w:ascii="Times New Roman" w:hAnsi="Times New Roman" w:eastAsia="宋体" w:cs="Times New Roman"/>
                <w:color w:val="auto"/>
                <w:kern w:val="0"/>
                <w:sz w:val="24"/>
                <w:szCs w:val="20"/>
                <w:lang w:val="en-US" w:eastAsia="zh-CN" w:bidi="ar-SA"/>
              </w:rPr>
            </w:pPr>
            <w:r>
              <w:rPr>
                <w:rFonts w:hint="eastAsia" w:ascii="Times New Roman" w:hAnsi="Times New Roman" w:eastAsia="宋体" w:cs="Times New Roman"/>
                <w:color w:val="auto"/>
                <w:kern w:val="0"/>
                <w:sz w:val="24"/>
                <w:szCs w:val="20"/>
                <w:lang w:val="en-US" w:eastAsia="zh-CN" w:bidi="ar-SA"/>
              </w:rPr>
              <w:t>式中：MC——某城市或区域餐厨废弃物日产生量。kg/d；</w:t>
            </w:r>
          </w:p>
          <w:p w14:paraId="40CB4203">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color w:val="auto"/>
                <w:lang w:val="en-US" w:eastAsia="zh-CN"/>
              </w:rPr>
            </w:pPr>
            <w:r>
              <w:rPr>
                <w:rFonts w:hint="eastAsia"/>
                <w:color w:val="auto"/>
                <w:lang w:val="en-US" w:eastAsia="zh-CN"/>
              </w:rPr>
              <w:t>R为城市或区域常住人口，东至县约39.04万人；</w:t>
            </w:r>
          </w:p>
          <w:p w14:paraId="086CBD35">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color w:val="auto"/>
                <w:lang w:val="en-US" w:eastAsia="zh-CN"/>
              </w:rPr>
            </w:pPr>
            <w:r>
              <w:rPr>
                <w:rFonts w:hint="eastAsia"/>
                <w:color w:val="auto"/>
                <w:lang w:val="en-US" w:eastAsia="zh-CN"/>
              </w:rPr>
              <w:t>m为人均餐厨垃圾产生量基数（单位：kg/(人·d)），人均产生量基数的典型取值范围为0.1至0.15 kg/(人·d)，考虑东至经济发展及人均消费水平，m取值0.1，</w:t>
            </w:r>
          </w:p>
          <w:p w14:paraId="57A90AE8">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color w:val="auto"/>
                <w:lang w:val="en-US" w:eastAsia="zh-CN"/>
              </w:rPr>
            </w:pPr>
            <w:r>
              <w:rPr>
                <w:rFonts w:hint="eastAsia"/>
                <w:color w:val="auto"/>
                <w:lang w:val="en-US" w:eastAsia="zh-CN"/>
              </w:rPr>
              <w:t>k餐饮垃圾产生量修正系数。经济发达城市、旅游业发达城市或高校多的城区可取1.05~1.15；经济发达旅游城市、经济发达沿海城市可取1.15~1.30;普通城市可取1.00。本项目取1。</w:t>
            </w:r>
          </w:p>
          <w:p w14:paraId="09FC5D9D">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即日产量为</w:t>
            </w:r>
            <w:r>
              <w:rPr>
                <w:rFonts w:hint="eastAsia"/>
                <w:color w:val="auto"/>
                <w:lang w:val="en-US" w:eastAsia="zh-CN"/>
              </w:rPr>
              <w:t>39.04</w:t>
            </w:r>
            <w:r>
              <w:rPr>
                <w:rFonts w:hint="eastAsia" w:ascii="Times New Roman" w:hAnsi="Times New Roman" w:eastAsia="宋体" w:cs="Times New Roman"/>
                <w:color w:val="auto"/>
                <w:lang w:val="en-US" w:eastAsia="zh-CN"/>
              </w:rPr>
              <w:t>×10000×0.1×1÷1000=39.04t/d。</w:t>
            </w:r>
          </w:p>
          <w:p w14:paraId="0B8D54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eastAsia="宋体"/>
                <w:b/>
                <w:bCs/>
                <w:color w:val="auto"/>
                <w:sz w:val="24"/>
                <w:highlight w:val="none"/>
                <w:lang w:eastAsia="zh-CN"/>
              </w:rPr>
            </w:pPr>
            <w:r>
              <w:rPr>
                <w:rFonts w:hint="eastAsia"/>
                <w:color w:val="auto"/>
                <w:sz w:val="24"/>
                <w:szCs w:val="32"/>
                <w:highlight w:val="none"/>
                <w:lang w:val="en-US" w:eastAsia="zh-CN"/>
              </w:rPr>
              <w:t>废弃油脂来自东至各食品加工厂产生的废油脂、肯德基等煎炸店产生的煎炸废油、火锅店产生的火锅废油、各餐饮单位、食堂等隔油池清掏出的地沟油等</w:t>
            </w:r>
            <w:r>
              <w:rPr>
                <w:rFonts w:hint="eastAsia"/>
                <w:color w:val="auto"/>
                <w:sz w:val="24"/>
                <w:szCs w:val="32"/>
                <w:highlight w:val="none"/>
                <w:lang w:eastAsia="zh-CN"/>
              </w:rPr>
              <w:t>。</w:t>
            </w:r>
          </w:p>
          <w:p w14:paraId="61D07C1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b/>
                <w:bCs/>
                <w:color w:val="auto"/>
                <w:sz w:val="24"/>
                <w:lang w:val="en-US" w:eastAsia="zh-CN"/>
              </w:rPr>
            </w:pPr>
            <w:r>
              <w:rPr>
                <w:rFonts w:hint="eastAsia"/>
                <w:b/>
                <w:bCs/>
                <w:color w:val="auto"/>
                <w:sz w:val="24"/>
                <w:lang w:val="en-US" w:eastAsia="zh-CN"/>
              </w:rPr>
              <w:t>2）餐厨垃圾和餐厨废弃油脂收运</w:t>
            </w:r>
          </w:p>
          <w:p w14:paraId="5BD9EF4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color w:val="auto"/>
                <w:sz w:val="24"/>
                <w:lang w:eastAsia="zh-CN"/>
              </w:rPr>
            </w:pPr>
            <w:r>
              <w:rPr>
                <w:rFonts w:hint="eastAsia"/>
                <w:b/>
                <w:bCs/>
                <w:color w:val="auto"/>
                <w:sz w:val="24"/>
                <w:lang w:eastAsia="zh-CN"/>
              </w:rPr>
              <w:t>收运模式：</w:t>
            </w:r>
            <w:r>
              <w:rPr>
                <w:rFonts w:hint="eastAsia"/>
                <w:color w:val="auto"/>
                <w:sz w:val="24"/>
                <w:lang w:eastAsia="zh-CN"/>
              </w:rPr>
              <w:t>本项目餐厨垃圾和餐厨废弃油脂的收运均委托第三方公司</w:t>
            </w:r>
            <w:r>
              <w:rPr>
                <w:rFonts w:hint="eastAsia"/>
                <w:color w:val="auto"/>
                <w:sz w:val="24"/>
                <w:szCs w:val="32"/>
                <w:lang w:eastAsia="zh-CN"/>
              </w:rPr>
              <w:t>，</w:t>
            </w:r>
            <w:r>
              <w:rPr>
                <w:rFonts w:hint="eastAsia"/>
                <w:color w:val="auto"/>
                <w:sz w:val="24"/>
                <w:lang w:eastAsia="zh-CN"/>
              </w:rPr>
              <w:t>收运路线及收集点不在本次评价范围内。</w:t>
            </w:r>
          </w:p>
          <w:p w14:paraId="671241F5">
            <w:pPr>
              <w:pStyle w:val="90"/>
              <w:numPr>
                <w:ilvl w:val="0"/>
                <w:numId w:val="0"/>
              </w:numPr>
              <w:tabs>
                <w:tab w:val="left" w:pos="1360"/>
              </w:tabs>
              <w:spacing w:before="0" w:after="0" w:line="360" w:lineRule="auto"/>
              <w:ind w:right="0" w:rightChars="0" w:firstLine="482" w:firstLineChars="200"/>
              <w:jc w:val="left"/>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bCs/>
                <w:color w:val="auto"/>
                <w:kern w:val="2"/>
                <w:sz w:val="24"/>
                <w:szCs w:val="24"/>
                <w:lang w:val="en-US" w:eastAsia="zh-CN" w:bidi="ar-SA"/>
              </w:rPr>
              <w:t>收运系统构成：</w:t>
            </w:r>
            <w:r>
              <w:rPr>
                <w:rFonts w:hint="eastAsia" w:ascii="Times New Roman" w:hAnsi="Times New Roman" w:eastAsia="宋体" w:cs="Times New Roman"/>
                <w:b w:val="0"/>
                <w:bCs w:val="0"/>
                <w:color w:val="auto"/>
                <w:kern w:val="2"/>
                <w:sz w:val="24"/>
                <w:szCs w:val="24"/>
                <w:lang w:val="en-US" w:eastAsia="zh-CN" w:bidi="ar-SA"/>
              </w:rPr>
              <w:t>餐厨垃圾的收运系统主要由收集容器、收运车辆和管理系统构成。设备配置主要包括餐厨垃圾收运桶、餐厨垃圾收运车和维修设备与工具等。</w:t>
            </w:r>
          </w:p>
          <w:p w14:paraId="112B0497">
            <w:pPr>
              <w:pStyle w:val="14"/>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①收运桶</w:t>
            </w:r>
          </w:p>
          <w:p w14:paraId="4EA2C8EB">
            <w:pPr>
              <w:pStyle w:val="14"/>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为便于与收运车辆标配以及方便搬运，餐厨垃圾容器统一选择120L容积桶（尺寸：L460*W450*H940），厚度4mm，材质采用HDPE（高密度聚乙烯）全新料。餐厨垃圾桶采用密闭、防腐专用垃圾桶，一律采用绿色，收集桶外用白色颜料喷注“餐厨废弃物专用桶”、桶盖喷注“生活垃圾严禁入内”作为标识。桶体正面喷涂监管部门名称及监督电话。收集桶损坏与丢失由产生单位到主管部门指定的地点自行购置（换）。</w:t>
            </w:r>
          </w:p>
          <w:p w14:paraId="6F5E8D0D">
            <w:pPr>
              <w:pStyle w:val="14"/>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②收运车</w:t>
            </w:r>
          </w:p>
          <w:p w14:paraId="02ACF48B">
            <w:pPr>
              <w:pStyle w:val="14"/>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用3.0t、5.0t密闭式运输车，车上设有挂桶设施，将垃圾标准桶提升至车厢顶部，再通过翻料机将垃圾倒入车厢内，垃圾在车厢内被推板机构挤压，餐厨垃圾被压缩后存于罐体内，运输过程中车厢密闭。运至处理厂卸料平台之后，密封后盖打开，推料机构将固体垃圾推出。车上所有操作为液压自动控制，可分别在驾驶室和车旁操作。</w:t>
            </w:r>
          </w:p>
          <w:p w14:paraId="5D1127D4">
            <w:pPr>
              <w:pStyle w:val="14"/>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餐厨垃圾运输车的外观如下图所示。</w:t>
            </w:r>
          </w:p>
          <w:p w14:paraId="5CA58CBE">
            <w:pPr>
              <w:ind w:left="0" w:leftChars="0" w:firstLine="0" w:firstLineChars="0"/>
              <w:jc w:val="center"/>
              <w:rPr>
                <w:color w:val="auto"/>
              </w:rPr>
            </w:pPr>
            <w:r>
              <w:rPr>
                <w:color w:val="auto"/>
              </w:rPr>
              <w:drawing>
                <wp:inline distT="0" distB="0" distL="114300" distR="114300">
                  <wp:extent cx="5112385" cy="2847340"/>
                  <wp:effectExtent l="0" t="0" r="12065" b="10160"/>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0"/>
                          <a:stretch>
                            <a:fillRect/>
                          </a:stretch>
                        </pic:blipFill>
                        <pic:spPr>
                          <a:xfrm>
                            <a:off x="0" y="0"/>
                            <a:ext cx="5112385" cy="2847340"/>
                          </a:xfrm>
                          <a:prstGeom prst="rect">
                            <a:avLst/>
                          </a:prstGeom>
                          <a:noFill/>
                          <a:ln>
                            <a:noFill/>
                          </a:ln>
                        </pic:spPr>
                      </pic:pic>
                    </a:graphicData>
                  </a:graphic>
                </wp:inline>
              </w:drawing>
            </w:r>
          </w:p>
          <w:p w14:paraId="27FC230F">
            <w:pPr>
              <w:pStyle w:val="14"/>
              <w:spacing w:before="2"/>
              <w:rPr>
                <w:rFonts w:hint="eastAsia" w:eastAsia="宋体"/>
                <w:color w:val="auto"/>
                <w:sz w:val="9"/>
                <w:lang w:eastAsia="zh-CN"/>
              </w:rPr>
            </w:pPr>
            <w:r>
              <w:rPr>
                <w:rFonts w:hint="eastAsia" w:eastAsia="宋体"/>
                <w:color w:val="auto"/>
                <w:sz w:val="9"/>
                <w:lang w:eastAsia="zh-CN"/>
              </w:rPr>
              <w:drawing>
                <wp:inline distT="0" distB="0" distL="114300" distR="114300">
                  <wp:extent cx="5080000" cy="2857500"/>
                  <wp:effectExtent l="0" t="0" r="6350" b="0"/>
                  <wp:docPr id="12" name="图片 7" descr="3bb99f8aa9429119cc449dd84e2ca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descr="3bb99f8aa9429119cc449dd84e2ca94"/>
                          <pic:cNvPicPr>
                            <a:picLocks noChangeAspect="1"/>
                          </pic:cNvPicPr>
                        </pic:nvPicPr>
                        <pic:blipFill>
                          <a:blip r:embed="rId11"/>
                          <a:stretch>
                            <a:fillRect/>
                          </a:stretch>
                        </pic:blipFill>
                        <pic:spPr>
                          <a:xfrm>
                            <a:off x="0" y="0"/>
                            <a:ext cx="5080000" cy="2857500"/>
                          </a:xfrm>
                          <a:prstGeom prst="rect">
                            <a:avLst/>
                          </a:prstGeom>
                          <a:noFill/>
                          <a:ln>
                            <a:noFill/>
                          </a:ln>
                        </pic:spPr>
                      </pic:pic>
                    </a:graphicData>
                  </a:graphic>
                </wp:inline>
              </w:drawing>
            </w:r>
          </w:p>
          <w:p w14:paraId="5E72A9AA">
            <w:pPr>
              <w:spacing w:line="360" w:lineRule="auto"/>
              <w:ind w:firstLine="482" w:firstLineChars="200"/>
              <w:jc w:val="center"/>
              <w:rPr>
                <w:rFonts w:hint="default"/>
                <w:b/>
                <w:bCs/>
                <w:color w:val="auto"/>
                <w:sz w:val="24"/>
                <w:szCs w:val="24"/>
                <w:lang w:val="en-US" w:eastAsia="zh-CN"/>
              </w:rPr>
            </w:pPr>
            <w:r>
              <w:rPr>
                <w:rFonts w:hint="eastAsia"/>
                <w:b/>
                <w:bCs/>
                <w:color w:val="auto"/>
                <w:sz w:val="24"/>
                <w:szCs w:val="24"/>
                <w:lang w:val="en-US" w:eastAsia="zh-CN"/>
              </w:rPr>
              <w:t>图1 餐厨垃圾收运车辆（3t、5t）</w:t>
            </w:r>
          </w:p>
          <w:p w14:paraId="1F7615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eastAsia="宋体" w:cs="Times New Roman"/>
                <w:b w:val="0"/>
                <w:bCs w:val="0"/>
                <w:color w:val="auto"/>
                <w:sz w:val="24"/>
                <w:szCs w:val="24"/>
                <w:lang w:val="en-US" w:eastAsia="zh-CN"/>
              </w:rPr>
            </w:pPr>
            <w:r>
              <w:rPr>
                <w:rFonts w:hint="eastAsia"/>
                <w:b w:val="0"/>
                <w:bCs w:val="0"/>
                <w:color w:val="auto"/>
                <w:sz w:val="24"/>
                <w:szCs w:val="24"/>
                <w:lang w:val="en-US" w:eastAsia="zh-CN"/>
              </w:rPr>
              <w:t>③</w:t>
            </w:r>
            <w:r>
              <w:rPr>
                <w:rFonts w:hint="default" w:eastAsia="宋体" w:cs="Times New Roman"/>
                <w:b w:val="0"/>
                <w:bCs w:val="0"/>
                <w:color w:val="auto"/>
                <w:sz w:val="24"/>
                <w:szCs w:val="24"/>
                <w:lang w:val="en-US" w:eastAsia="zh-CN"/>
              </w:rPr>
              <w:t>运输时间安排</w:t>
            </w:r>
          </w:p>
          <w:p w14:paraId="5C931DB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eastAsia="宋体" w:cs="Times New Roman"/>
                <w:b w:val="0"/>
                <w:bCs w:val="0"/>
                <w:color w:val="auto"/>
                <w:sz w:val="24"/>
                <w:szCs w:val="24"/>
                <w:lang w:val="en-US" w:eastAsia="zh-CN"/>
              </w:rPr>
            </w:pPr>
            <w:r>
              <w:rPr>
                <w:rFonts w:hint="eastAsia" w:eastAsia="宋体" w:cs="Times New Roman"/>
                <w:b w:val="0"/>
                <w:bCs w:val="0"/>
                <w:color w:val="auto"/>
                <w:sz w:val="24"/>
                <w:szCs w:val="24"/>
                <w:lang w:val="en-US" w:eastAsia="zh-CN"/>
              </w:rPr>
              <w:t>餐厨垃圾收运时间应确定为：每日一次，</w:t>
            </w:r>
            <w:r>
              <w:rPr>
                <w:rFonts w:hint="eastAsia" w:cs="Times New Roman"/>
                <w:b w:val="0"/>
                <w:bCs w:val="0"/>
                <w:color w:val="auto"/>
                <w:sz w:val="24"/>
                <w:szCs w:val="24"/>
                <w:lang w:val="en-US" w:eastAsia="zh-CN"/>
              </w:rPr>
              <w:t>作业时间为夜间9:00-次日9:00。</w:t>
            </w:r>
          </w:p>
          <w:p w14:paraId="3CB0A150">
            <w:pPr>
              <w:pStyle w:val="90"/>
              <w:keepNext w:val="0"/>
              <w:keepLines w:val="0"/>
              <w:pageBreakBefore w:val="0"/>
              <w:widowControl w:val="0"/>
              <w:numPr>
                <w:ilvl w:val="0"/>
                <w:numId w:val="0"/>
              </w:numPr>
              <w:tabs>
                <w:tab w:val="left" w:pos="1360"/>
              </w:tabs>
              <w:kinsoku/>
              <w:wordWrap/>
              <w:overflowPunct/>
              <w:topLinePunct w:val="0"/>
              <w:autoSpaceDE/>
              <w:autoSpaceDN/>
              <w:bidi w:val="0"/>
              <w:adjustRightInd w:val="0"/>
              <w:snapToGrid w:val="0"/>
              <w:spacing w:after="0" w:line="360" w:lineRule="auto"/>
              <w:ind w:right="0" w:rightChars="0" w:firstLine="480" w:firstLineChars="200"/>
              <w:jc w:val="left"/>
              <w:textAlignment w:val="auto"/>
              <w:rPr>
                <w:color w:val="auto"/>
                <w:sz w:val="24"/>
                <w:szCs w:val="24"/>
              </w:rPr>
            </w:pPr>
            <w:r>
              <w:rPr>
                <w:rFonts w:hint="eastAsia"/>
                <w:color w:val="auto"/>
                <w:sz w:val="24"/>
                <w:szCs w:val="24"/>
                <w:lang w:eastAsia="zh-CN"/>
              </w:rPr>
              <w:t>④</w:t>
            </w:r>
            <w:r>
              <w:rPr>
                <w:color w:val="auto"/>
                <w:sz w:val="24"/>
                <w:szCs w:val="24"/>
              </w:rPr>
              <w:t>收运范围及运输路线</w:t>
            </w:r>
          </w:p>
          <w:p w14:paraId="39F6286A">
            <w:pPr>
              <w:pStyle w:val="14"/>
              <w:keepNext w:val="0"/>
              <w:keepLines w:val="0"/>
              <w:pageBreakBefore w:val="0"/>
              <w:widowControl w:val="0"/>
              <w:kinsoku/>
              <w:wordWrap/>
              <w:overflowPunct/>
              <w:topLinePunct w:val="0"/>
              <w:autoSpaceDE/>
              <w:autoSpaceDN/>
              <w:bidi w:val="0"/>
              <w:adjustRightInd w:val="0"/>
              <w:snapToGrid w:val="0"/>
              <w:spacing w:before="0" w:after="0" w:line="360" w:lineRule="auto"/>
              <w:ind w:right="0" w:firstLine="480" w:firstLineChars="200"/>
              <w:jc w:val="left"/>
              <w:textAlignment w:val="auto"/>
              <w:rPr>
                <w:color w:val="auto"/>
                <w:sz w:val="24"/>
                <w:szCs w:val="24"/>
              </w:rPr>
            </w:pPr>
            <w:r>
              <w:rPr>
                <w:color w:val="auto"/>
                <w:sz w:val="24"/>
                <w:szCs w:val="24"/>
              </w:rPr>
              <w:t>收运范围：本项目受纳区域主要涵盖</w:t>
            </w:r>
            <w:r>
              <w:rPr>
                <w:rFonts w:hint="eastAsia"/>
                <w:color w:val="auto"/>
                <w:sz w:val="24"/>
                <w:szCs w:val="24"/>
                <w:lang w:eastAsia="zh-CN"/>
              </w:rPr>
              <w:t>东至县</w:t>
            </w:r>
            <w:r>
              <w:rPr>
                <w:color w:val="auto"/>
                <w:sz w:val="24"/>
                <w:szCs w:val="24"/>
              </w:rPr>
              <w:t>范围。</w:t>
            </w:r>
          </w:p>
          <w:p w14:paraId="6ADC21D3">
            <w:pPr>
              <w:adjustRightInd w:val="0"/>
              <w:snapToGrid w:val="0"/>
              <w:spacing w:line="360" w:lineRule="auto"/>
              <w:rPr>
                <w:color w:val="auto"/>
                <w:sz w:val="24"/>
              </w:rPr>
            </w:pPr>
            <w:r>
              <w:rPr>
                <w:color w:val="auto"/>
                <w:sz w:val="24"/>
              </w:rPr>
              <w:t>6、设备清单</w:t>
            </w:r>
          </w:p>
          <w:p w14:paraId="31FDA22B">
            <w:pPr>
              <w:snapToGrid w:val="0"/>
              <w:jc w:val="center"/>
              <w:rPr>
                <w:color w:val="auto"/>
                <w:sz w:val="24"/>
              </w:rPr>
            </w:pPr>
            <w:r>
              <w:rPr>
                <w:b/>
                <w:bCs/>
                <w:color w:val="auto"/>
                <w:sz w:val="21"/>
                <w:szCs w:val="21"/>
              </w:rPr>
              <w:t>表2-</w:t>
            </w:r>
            <w:r>
              <w:rPr>
                <w:rFonts w:hint="eastAsia"/>
                <w:b/>
                <w:bCs/>
                <w:color w:val="auto"/>
                <w:sz w:val="21"/>
                <w:szCs w:val="21"/>
                <w:lang w:val="en-US" w:eastAsia="zh-CN"/>
              </w:rPr>
              <w:t>9</w:t>
            </w:r>
            <w:r>
              <w:rPr>
                <w:b/>
                <w:bCs/>
                <w:color w:val="auto"/>
                <w:sz w:val="21"/>
                <w:szCs w:val="21"/>
              </w:rPr>
              <w:t xml:space="preserve"> 本项目主要设备一览表</w:t>
            </w:r>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093"/>
              <w:gridCol w:w="1320"/>
              <w:gridCol w:w="2487"/>
              <w:gridCol w:w="528"/>
              <w:gridCol w:w="630"/>
              <w:gridCol w:w="645"/>
              <w:gridCol w:w="968"/>
            </w:tblGrid>
            <w:tr w14:paraId="5FCE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trPr>
              <w:tc>
                <w:tcPr>
                  <w:tcW w:w="431" w:type="pct"/>
                  <w:shd w:val="clear" w:color="auto" w:fill="auto"/>
                  <w:noWrap/>
                  <w:vAlign w:val="center"/>
                </w:tcPr>
                <w:p w14:paraId="32D3E45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650" w:type="pct"/>
                  <w:shd w:val="clear" w:color="auto" w:fill="auto"/>
                  <w:noWrap/>
                  <w:vAlign w:val="center"/>
                </w:tcPr>
                <w:p w14:paraId="4D8929A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设备名称</w:t>
                  </w:r>
                </w:p>
              </w:tc>
              <w:tc>
                <w:tcPr>
                  <w:tcW w:w="786" w:type="pct"/>
                  <w:shd w:val="clear" w:color="auto" w:fill="auto"/>
                  <w:vAlign w:val="center"/>
                </w:tcPr>
                <w:p w14:paraId="18EAE29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布局图上序号</w:t>
                  </w:r>
                </w:p>
              </w:tc>
              <w:tc>
                <w:tcPr>
                  <w:tcW w:w="1481" w:type="pct"/>
                  <w:shd w:val="clear" w:color="auto" w:fill="auto"/>
                  <w:vAlign w:val="center"/>
                </w:tcPr>
                <w:p w14:paraId="50A3D52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规格参数</w:t>
                  </w:r>
                </w:p>
              </w:tc>
              <w:tc>
                <w:tcPr>
                  <w:tcW w:w="314" w:type="pct"/>
                  <w:shd w:val="clear" w:color="auto" w:fill="auto"/>
                  <w:vAlign w:val="center"/>
                </w:tcPr>
                <w:p w14:paraId="560636F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车间位置</w:t>
                  </w:r>
                </w:p>
              </w:tc>
              <w:tc>
                <w:tcPr>
                  <w:tcW w:w="375" w:type="pct"/>
                  <w:shd w:val="clear" w:color="auto" w:fill="auto"/>
                  <w:noWrap/>
                  <w:vAlign w:val="center"/>
                </w:tcPr>
                <w:p w14:paraId="116EE3A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数量</w:t>
                  </w:r>
                </w:p>
              </w:tc>
              <w:tc>
                <w:tcPr>
                  <w:tcW w:w="384" w:type="pct"/>
                  <w:shd w:val="clear" w:color="auto" w:fill="auto"/>
                  <w:noWrap/>
                  <w:vAlign w:val="center"/>
                </w:tcPr>
                <w:p w14:paraId="33AED5F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单位</w:t>
                  </w:r>
                </w:p>
              </w:tc>
              <w:tc>
                <w:tcPr>
                  <w:tcW w:w="576" w:type="pct"/>
                  <w:shd w:val="clear" w:color="auto" w:fill="auto"/>
                  <w:noWrap/>
                  <w:vAlign w:val="center"/>
                </w:tcPr>
                <w:p w14:paraId="5495D0E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工艺</w:t>
                  </w:r>
                </w:p>
              </w:tc>
            </w:tr>
            <w:tr w14:paraId="1D230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404E9BB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一</w:t>
                  </w:r>
                </w:p>
              </w:tc>
              <w:tc>
                <w:tcPr>
                  <w:tcW w:w="4568" w:type="pct"/>
                  <w:gridSpan w:val="7"/>
                  <w:shd w:val="clear" w:color="auto" w:fill="auto"/>
                  <w:noWrap/>
                  <w:vAlign w:val="center"/>
                </w:tcPr>
                <w:p w14:paraId="42217BF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餐厨废油初加工系统设备清单</w:t>
                  </w:r>
                </w:p>
              </w:tc>
            </w:tr>
            <w:tr w14:paraId="13887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431" w:type="pct"/>
                  <w:shd w:val="clear" w:color="auto" w:fill="auto"/>
                  <w:noWrap/>
                  <w:vAlign w:val="center"/>
                </w:tcPr>
                <w:p w14:paraId="31A7F85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650" w:type="pct"/>
                  <w:shd w:val="clear" w:color="auto" w:fill="auto"/>
                  <w:noWrap/>
                  <w:vAlign w:val="center"/>
                </w:tcPr>
                <w:p w14:paraId="5EB2B8A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接料斗</w:t>
                  </w:r>
                  <w:r>
                    <w:rPr>
                      <w:rFonts w:hint="eastAsia" w:ascii="宋体" w:hAnsi="宋体" w:cs="宋体"/>
                      <w:color w:val="auto"/>
                      <w:sz w:val="21"/>
                      <w:szCs w:val="21"/>
                      <w:lang w:val="en-US" w:eastAsia="zh-CN"/>
                    </w:rPr>
                    <w:t>A-B</w:t>
                  </w:r>
                </w:p>
              </w:tc>
              <w:tc>
                <w:tcPr>
                  <w:tcW w:w="786" w:type="pct"/>
                  <w:shd w:val="clear" w:color="auto" w:fill="auto"/>
                  <w:vAlign w:val="center"/>
                </w:tcPr>
                <w:p w14:paraId="1D4B2AC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V1101A-B</w:t>
                  </w:r>
                </w:p>
              </w:tc>
              <w:tc>
                <w:tcPr>
                  <w:tcW w:w="1481" w:type="pct"/>
                  <w:shd w:val="clear" w:color="auto" w:fill="auto"/>
                  <w:vAlign w:val="center"/>
                </w:tcPr>
                <w:p w14:paraId="1EFEA2F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2.0m*2.0m*0.5m,SS304</w:t>
                  </w:r>
                </w:p>
              </w:tc>
              <w:tc>
                <w:tcPr>
                  <w:tcW w:w="314" w:type="pct"/>
                  <w:vMerge w:val="restart"/>
                  <w:shd w:val="clear" w:color="auto" w:fill="auto"/>
                  <w:vAlign w:val="center"/>
                </w:tcPr>
                <w:p w14:paraId="72E4F6E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厂房一</w:t>
                  </w:r>
                </w:p>
              </w:tc>
              <w:tc>
                <w:tcPr>
                  <w:tcW w:w="375" w:type="pct"/>
                  <w:shd w:val="clear" w:color="auto" w:fill="auto"/>
                  <w:noWrap/>
                  <w:vAlign w:val="center"/>
                </w:tcPr>
                <w:p w14:paraId="681C497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p>
              </w:tc>
              <w:tc>
                <w:tcPr>
                  <w:tcW w:w="384" w:type="pct"/>
                  <w:shd w:val="clear" w:color="auto" w:fill="auto"/>
                  <w:noWrap/>
                  <w:vAlign w:val="center"/>
                </w:tcPr>
                <w:p w14:paraId="28669D0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台</w:t>
                  </w:r>
                </w:p>
              </w:tc>
              <w:tc>
                <w:tcPr>
                  <w:tcW w:w="576" w:type="pct"/>
                  <w:vMerge w:val="restart"/>
                  <w:shd w:val="clear" w:color="auto" w:fill="auto"/>
                  <w:noWrap/>
                  <w:vAlign w:val="center"/>
                </w:tcPr>
                <w:p w14:paraId="2F4B2BD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接料</w:t>
                  </w:r>
                </w:p>
              </w:tc>
            </w:tr>
            <w:tr w14:paraId="419AA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51B43E4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650" w:type="pct"/>
                  <w:shd w:val="clear" w:color="auto" w:fill="auto"/>
                  <w:noWrap/>
                  <w:vAlign w:val="center"/>
                </w:tcPr>
                <w:p w14:paraId="25AF6C9C">
                  <w:pPr>
                    <w:keepNext w:val="0"/>
                    <w:keepLines w:val="0"/>
                    <w:pageBreakBefore w:val="0"/>
                    <w:widowControl/>
                    <w:suppressLineNumbers w:val="0"/>
                    <w:kinsoku/>
                    <w:wordWrap/>
                    <w:overflowPunct/>
                    <w:topLinePunct w:val="0"/>
                    <w:autoSpaceDE/>
                    <w:autoSpaceDN/>
                    <w:bidi w:val="0"/>
                    <w:adjustRightInd/>
                    <w:snapToGrid/>
                    <w:ind w:left="210" w:leftChars="0" w:hanging="210" w:hangingChars="100"/>
                    <w:jc w:val="center"/>
                    <w:textAlignment w:val="center"/>
                    <w:rPr>
                      <w:rFonts w:hint="eastAsia" w:ascii="宋体" w:hAnsi="宋体" w:eastAsia="宋体" w:cs="宋体"/>
                      <w:i w:val="0"/>
                      <w:iCs w:val="0"/>
                      <w:color w:val="auto"/>
                      <w:sz w:val="21"/>
                      <w:szCs w:val="21"/>
                      <w:u w:val="none"/>
                      <w:lang w:val="en-US" w:eastAsia="zh-CN"/>
                    </w:rPr>
                  </w:pPr>
                  <w:r>
                    <w:rPr>
                      <w:rFonts w:hint="eastAsia"/>
                      <w:color w:val="auto"/>
                    </w:rPr>
                    <w:t>配套密封房</w:t>
                  </w:r>
                </w:p>
              </w:tc>
              <w:tc>
                <w:tcPr>
                  <w:tcW w:w="786" w:type="pct"/>
                  <w:shd w:val="clear" w:color="auto" w:fill="auto"/>
                  <w:vAlign w:val="center"/>
                </w:tcPr>
                <w:p w14:paraId="2E4779DC">
                  <w:pPr>
                    <w:keepNext w:val="0"/>
                    <w:keepLines w:val="0"/>
                    <w:pageBreakBefore w:val="0"/>
                    <w:widowControl/>
                    <w:suppressLineNumbers w:val="0"/>
                    <w:kinsoku/>
                    <w:wordWrap/>
                    <w:overflowPunct/>
                    <w:topLinePunct w:val="0"/>
                    <w:autoSpaceDE/>
                    <w:autoSpaceDN/>
                    <w:bidi w:val="0"/>
                    <w:adjustRightInd/>
                    <w:snapToGrid/>
                    <w:ind w:left="210" w:leftChars="0" w:hanging="210" w:hangingChars="100"/>
                    <w:jc w:val="center"/>
                    <w:textAlignment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22C659C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color w:val="auto"/>
                    </w:rPr>
                    <w:t>自动感应电动卷帘门，安全保护装置、透视窗，密封房下部1.5m面板材质SS304</w:t>
                  </w:r>
                </w:p>
              </w:tc>
              <w:tc>
                <w:tcPr>
                  <w:tcW w:w="314" w:type="pct"/>
                  <w:vMerge w:val="continue"/>
                  <w:shd w:val="clear" w:color="auto" w:fill="auto"/>
                  <w:vAlign w:val="center"/>
                </w:tcPr>
                <w:p w14:paraId="35A0B49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7161F9F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p>
              </w:tc>
              <w:tc>
                <w:tcPr>
                  <w:tcW w:w="384" w:type="pct"/>
                  <w:shd w:val="clear" w:color="auto" w:fill="auto"/>
                  <w:noWrap/>
                  <w:vAlign w:val="center"/>
                </w:tcPr>
                <w:p w14:paraId="29DC61F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576" w:type="pct"/>
                  <w:vMerge w:val="continue"/>
                  <w:shd w:val="clear" w:color="auto" w:fill="auto"/>
                  <w:noWrap/>
                  <w:vAlign w:val="center"/>
                </w:tcPr>
                <w:p w14:paraId="363D22B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r>
            <w:tr w14:paraId="7988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2BC0BA3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650" w:type="pct"/>
                  <w:shd w:val="clear" w:color="auto" w:fill="auto"/>
                  <w:noWrap/>
                  <w:vAlign w:val="center"/>
                </w:tcPr>
                <w:p w14:paraId="2314FBF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rPr>
                  </w:pPr>
                  <w:r>
                    <w:rPr>
                      <w:rFonts w:hint="eastAsia" w:ascii="宋体" w:hAnsi="宋体" w:eastAsia="宋体" w:cs="宋体"/>
                      <w:color w:val="auto"/>
                      <w:sz w:val="21"/>
                      <w:szCs w:val="21"/>
                      <w:lang w:val="en-US" w:eastAsia="zh-CN"/>
                    </w:rPr>
                    <w:t>除杂机</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A-</w:t>
                  </w:r>
                  <w:r>
                    <w:rPr>
                      <w:rFonts w:hint="eastAsia" w:ascii="宋体" w:hAnsi="宋体" w:cs="宋体"/>
                      <w:color w:val="auto"/>
                      <w:sz w:val="21"/>
                      <w:szCs w:val="21"/>
                      <w:lang w:val="en-US" w:eastAsia="zh-CN"/>
                    </w:rPr>
                    <w:t>B</w:t>
                  </w:r>
                </w:p>
              </w:tc>
              <w:tc>
                <w:tcPr>
                  <w:tcW w:w="786" w:type="pct"/>
                  <w:shd w:val="clear" w:color="auto" w:fill="auto"/>
                  <w:vAlign w:val="center"/>
                </w:tcPr>
                <w:p w14:paraId="29C86C1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S1101A-B</w:t>
                  </w:r>
                </w:p>
              </w:tc>
              <w:tc>
                <w:tcPr>
                  <w:tcW w:w="1481" w:type="pct"/>
                  <w:shd w:val="clear" w:color="auto" w:fill="auto"/>
                  <w:vAlign w:val="center"/>
                </w:tcPr>
                <w:p w14:paraId="19131A1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带螺旋推进器，7.5kw，筛网孔径5mm</w:t>
                  </w:r>
                </w:p>
              </w:tc>
              <w:tc>
                <w:tcPr>
                  <w:tcW w:w="314" w:type="pct"/>
                  <w:vMerge w:val="continue"/>
                  <w:shd w:val="clear" w:color="auto" w:fill="auto"/>
                  <w:vAlign w:val="center"/>
                </w:tcPr>
                <w:p w14:paraId="246854D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67631CD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p>
              </w:tc>
              <w:tc>
                <w:tcPr>
                  <w:tcW w:w="384" w:type="pct"/>
                  <w:shd w:val="clear" w:color="auto" w:fill="auto"/>
                  <w:noWrap/>
                  <w:vAlign w:val="center"/>
                </w:tcPr>
                <w:p w14:paraId="0C9F431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576" w:type="pct"/>
                  <w:vMerge w:val="restart"/>
                  <w:shd w:val="clear" w:color="auto" w:fill="auto"/>
                  <w:noWrap/>
                  <w:vAlign w:val="center"/>
                </w:tcPr>
                <w:p w14:paraId="42A056C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除杂</w:t>
                  </w:r>
                </w:p>
              </w:tc>
            </w:tr>
            <w:tr w14:paraId="5C39B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5CF7964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650" w:type="pct"/>
                  <w:shd w:val="clear" w:color="auto" w:fill="auto"/>
                  <w:noWrap/>
                  <w:vAlign w:val="center"/>
                </w:tcPr>
                <w:p w14:paraId="6C9A0C3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除杂机出渣螺旋1A~</w:t>
                  </w:r>
                  <w:r>
                    <w:rPr>
                      <w:rFonts w:hint="eastAsia" w:ascii="宋体" w:hAnsi="宋体" w:cs="宋体"/>
                      <w:color w:val="auto"/>
                      <w:sz w:val="21"/>
                      <w:szCs w:val="21"/>
                      <w:lang w:val="en-US" w:eastAsia="zh-CN"/>
                    </w:rPr>
                    <w:t>1B</w:t>
                  </w:r>
                </w:p>
              </w:tc>
              <w:tc>
                <w:tcPr>
                  <w:tcW w:w="786" w:type="pct"/>
                  <w:shd w:val="clear" w:color="auto" w:fill="auto"/>
                  <w:vAlign w:val="center"/>
                </w:tcPr>
                <w:p w14:paraId="23B378A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S1102A-B</w:t>
                  </w:r>
                </w:p>
              </w:tc>
              <w:tc>
                <w:tcPr>
                  <w:tcW w:w="1481" w:type="pct"/>
                  <w:shd w:val="clear" w:color="auto" w:fill="auto"/>
                  <w:vAlign w:val="center"/>
                </w:tcPr>
                <w:p w14:paraId="1D1D6EE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D220*8650mm，3kw，27°，螺旋材质16Mn，壳体SS304,厚度≥5mm，盖板SS304,厚度≥2.5mm，衬板材质高分子聚乙烯，厚度10mm,沥水段2m，孔径5mm,带蒸汽吹扫口</w:t>
                  </w:r>
                </w:p>
              </w:tc>
              <w:tc>
                <w:tcPr>
                  <w:tcW w:w="314" w:type="pct"/>
                  <w:vMerge w:val="continue"/>
                  <w:shd w:val="clear" w:color="auto" w:fill="auto"/>
                  <w:vAlign w:val="center"/>
                </w:tcPr>
                <w:p w14:paraId="4A53B70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688488F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p>
              </w:tc>
              <w:tc>
                <w:tcPr>
                  <w:tcW w:w="384" w:type="pct"/>
                  <w:shd w:val="clear" w:color="auto" w:fill="auto"/>
                  <w:noWrap/>
                  <w:vAlign w:val="center"/>
                </w:tcPr>
                <w:p w14:paraId="6F3EA84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576" w:type="pct"/>
                  <w:vMerge w:val="continue"/>
                  <w:shd w:val="clear" w:color="auto" w:fill="auto"/>
                  <w:noWrap/>
                  <w:vAlign w:val="center"/>
                </w:tcPr>
                <w:p w14:paraId="5E7E127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r>
            <w:tr w14:paraId="11B17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4301D0C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c>
                <w:tcPr>
                  <w:tcW w:w="650" w:type="pct"/>
                  <w:shd w:val="clear" w:color="auto" w:fill="auto"/>
                  <w:noWrap/>
                  <w:vAlign w:val="center"/>
                </w:tcPr>
                <w:p w14:paraId="26D916A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除杂机出渣螺旋2</w:t>
                  </w:r>
                </w:p>
              </w:tc>
              <w:tc>
                <w:tcPr>
                  <w:tcW w:w="786" w:type="pct"/>
                  <w:shd w:val="clear" w:color="auto" w:fill="auto"/>
                  <w:vAlign w:val="center"/>
                </w:tcPr>
                <w:p w14:paraId="6F33720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S1103</w:t>
                  </w:r>
                </w:p>
              </w:tc>
              <w:tc>
                <w:tcPr>
                  <w:tcW w:w="1481" w:type="pct"/>
                  <w:shd w:val="clear" w:color="auto" w:fill="auto"/>
                  <w:vAlign w:val="center"/>
                </w:tcPr>
                <w:p w14:paraId="2CC5F48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D220*8880mm，3kw，10°，螺旋材质16Mn，壳体SS304,厚度≥5mm，盖板SS304,厚度≥2.5mm，衬板材质高分子聚乙烯，厚度10mm</w:t>
                  </w:r>
                </w:p>
              </w:tc>
              <w:tc>
                <w:tcPr>
                  <w:tcW w:w="314" w:type="pct"/>
                  <w:vMerge w:val="continue"/>
                  <w:shd w:val="clear" w:color="auto" w:fill="auto"/>
                  <w:vAlign w:val="center"/>
                </w:tcPr>
                <w:p w14:paraId="7F78713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2B53567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384" w:type="pct"/>
                  <w:shd w:val="clear" w:color="auto" w:fill="auto"/>
                  <w:noWrap/>
                  <w:vAlign w:val="center"/>
                </w:tcPr>
                <w:p w14:paraId="5D18526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576" w:type="pct"/>
                  <w:vMerge w:val="continue"/>
                  <w:shd w:val="clear" w:color="auto" w:fill="auto"/>
                  <w:noWrap/>
                  <w:vAlign w:val="center"/>
                </w:tcPr>
                <w:p w14:paraId="12E66D3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r>
            <w:tr w14:paraId="7D1AC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0C32725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c>
                <w:tcPr>
                  <w:tcW w:w="650" w:type="pct"/>
                  <w:shd w:val="clear" w:color="auto" w:fill="auto"/>
                  <w:noWrap/>
                  <w:vAlign w:val="center"/>
                </w:tcPr>
                <w:p w14:paraId="073164E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集油箱</w:t>
                  </w:r>
                  <w:r>
                    <w:rPr>
                      <w:rFonts w:hint="eastAsia" w:ascii="宋体" w:hAnsi="宋体" w:cs="宋体"/>
                      <w:color w:val="auto"/>
                      <w:sz w:val="21"/>
                      <w:szCs w:val="21"/>
                      <w:lang w:val="en-US" w:eastAsia="zh-CN"/>
                    </w:rPr>
                    <w:t>A-B</w:t>
                  </w:r>
                </w:p>
              </w:tc>
              <w:tc>
                <w:tcPr>
                  <w:tcW w:w="786" w:type="pct"/>
                  <w:shd w:val="clear" w:color="auto" w:fill="auto"/>
                  <w:vAlign w:val="center"/>
                </w:tcPr>
                <w:p w14:paraId="1BCAD58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V1102A-B</w:t>
                  </w:r>
                </w:p>
              </w:tc>
              <w:tc>
                <w:tcPr>
                  <w:tcW w:w="1481" w:type="pct"/>
                  <w:shd w:val="clear" w:color="auto" w:fill="auto"/>
                  <w:vAlign w:val="center"/>
                </w:tcPr>
                <w:p w14:paraId="4AA150D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2m*1.8m*1.2m，容积4m³，材质SS304，蒸带汽盘管</w:t>
                  </w:r>
                </w:p>
              </w:tc>
              <w:tc>
                <w:tcPr>
                  <w:tcW w:w="314" w:type="pct"/>
                  <w:vMerge w:val="continue"/>
                  <w:shd w:val="clear" w:color="auto" w:fill="auto"/>
                  <w:vAlign w:val="center"/>
                </w:tcPr>
                <w:p w14:paraId="3EB9049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5EAAB93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p>
              </w:tc>
              <w:tc>
                <w:tcPr>
                  <w:tcW w:w="384" w:type="pct"/>
                  <w:shd w:val="clear" w:color="auto" w:fill="auto"/>
                  <w:noWrap/>
                  <w:vAlign w:val="center"/>
                </w:tcPr>
                <w:p w14:paraId="639B7F7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576" w:type="pct"/>
                  <w:shd w:val="clear" w:color="auto" w:fill="auto"/>
                  <w:noWrap/>
                  <w:vAlign w:val="center"/>
                </w:tcPr>
                <w:p w14:paraId="64256A4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r>
            <w:tr w14:paraId="11BD5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vMerge w:val="restart"/>
                  <w:shd w:val="clear" w:color="auto" w:fill="auto"/>
                  <w:noWrap/>
                  <w:vAlign w:val="center"/>
                </w:tcPr>
                <w:p w14:paraId="4469E9E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7</w:t>
                  </w:r>
                </w:p>
              </w:tc>
              <w:tc>
                <w:tcPr>
                  <w:tcW w:w="650" w:type="pct"/>
                  <w:vMerge w:val="restart"/>
                  <w:shd w:val="clear" w:color="auto" w:fill="auto"/>
                  <w:noWrap/>
                  <w:vAlign w:val="center"/>
                </w:tcPr>
                <w:p w14:paraId="32E2337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加热罐进料泵</w:t>
                  </w:r>
                </w:p>
              </w:tc>
              <w:tc>
                <w:tcPr>
                  <w:tcW w:w="786" w:type="pct"/>
                  <w:shd w:val="clear" w:color="auto" w:fill="auto"/>
                  <w:vAlign w:val="center"/>
                </w:tcPr>
                <w:p w14:paraId="7323A71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P1101A-B </w:t>
                  </w:r>
                </w:p>
              </w:tc>
              <w:tc>
                <w:tcPr>
                  <w:tcW w:w="1481" w:type="pct"/>
                  <w:shd w:val="clear" w:color="auto" w:fill="auto"/>
                  <w:vAlign w:val="center"/>
                </w:tcPr>
                <w:p w14:paraId="5C1E81D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H=</w:t>
                  </w:r>
                  <w:r>
                    <w:rPr>
                      <w:rFonts w:hint="eastAsia" w:ascii="宋体" w:hAnsi="宋体" w:eastAsia="宋体" w:cs="宋体"/>
                      <w:color w:val="auto"/>
                      <w:sz w:val="21"/>
                      <w:szCs w:val="21"/>
                      <w:lang w:val="en-US" w:eastAsia="zh-CN"/>
                    </w:rPr>
                    <w:t>15</w:t>
                  </w:r>
                  <w:r>
                    <w:rPr>
                      <w:rFonts w:hint="eastAsia" w:ascii="宋体" w:hAnsi="宋体" w:eastAsia="宋体" w:cs="宋体"/>
                      <w:color w:val="auto"/>
                      <w:sz w:val="21"/>
                      <w:szCs w:val="21"/>
                    </w:rPr>
                    <w:t>m，N=</w:t>
                  </w:r>
                  <w:r>
                    <w:rPr>
                      <w:rFonts w:hint="eastAsia" w:ascii="宋体" w:hAnsi="宋体" w:eastAsia="宋体" w:cs="宋体"/>
                      <w:color w:val="auto"/>
                      <w:sz w:val="21"/>
                      <w:szCs w:val="21"/>
                      <w:lang w:val="en-US" w:eastAsia="zh-CN"/>
                    </w:rPr>
                    <w:t>5.5</w:t>
                  </w:r>
                  <w:r>
                    <w:rPr>
                      <w:rFonts w:hint="eastAsia" w:ascii="宋体" w:hAnsi="宋体" w:eastAsia="宋体" w:cs="宋体"/>
                      <w:color w:val="auto"/>
                      <w:sz w:val="21"/>
                      <w:szCs w:val="21"/>
                    </w:rPr>
                    <w:t>KW</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过流SS304</w:t>
                  </w:r>
                </w:p>
              </w:tc>
              <w:tc>
                <w:tcPr>
                  <w:tcW w:w="314" w:type="pct"/>
                  <w:vMerge w:val="continue"/>
                  <w:shd w:val="clear" w:color="auto" w:fill="auto"/>
                  <w:vAlign w:val="center"/>
                </w:tcPr>
                <w:p w14:paraId="12CEEC9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vMerge w:val="restart"/>
                  <w:shd w:val="clear" w:color="auto" w:fill="auto"/>
                  <w:noWrap/>
                  <w:vAlign w:val="center"/>
                </w:tcPr>
                <w:p w14:paraId="7FE2EE9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4</w:t>
                  </w:r>
                </w:p>
              </w:tc>
              <w:tc>
                <w:tcPr>
                  <w:tcW w:w="384" w:type="pct"/>
                  <w:vMerge w:val="restart"/>
                  <w:shd w:val="clear" w:color="auto" w:fill="auto"/>
                  <w:noWrap/>
                  <w:vAlign w:val="center"/>
                </w:tcPr>
                <w:p w14:paraId="5862E6E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576" w:type="pct"/>
                  <w:vMerge w:val="restart"/>
                  <w:shd w:val="clear" w:color="auto" w:fill="auto"/>
                  <w:noWrap/>
                  <w:vAlign w:val="center"/>
                </w:tcPr>
                <w:p w14:paraId="1387FA4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加热</w:t>
                  </w:r>
                </w:p>
              </w:tc>
            </w:tr>
            <w:tr w14:paraId="27E5E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vMerge w:val="continue"/>
                  <w:shd w:val="clear" w:color="auto" w:fill="auto"/>
                  <w:noWrap/>
                  <w:vAlign w:val="center"/>
                </w:tcPr>
                <w:p w14:paraId="177F3E3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c>
                <w:tcPr>
                  <w:tcW w:w="650" w:type="pct"/>
                  <w:vMerge w:val="continue"/>
                  <w:shd w:val="clear" w:color="auto" w:fill="auto"/>
                  <w:noWrap/>
                  <w:vAlign w:val="center"/>
                </w:tcPr>
                <w:p w14:paraId="3855FBE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p>
              </w:tc>
              <w:tc>
                <w:tcPr>
                  <w:tcW w:w="786" w:type="pct"/>
                  <w:shd w:val="clear" w:color="auto" w:fill="auto"/>
                  <w:vAlign w:val="center"/>
                </w:tcPr>
                <w:p w14:paraId="0AF0356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 xml:space="preserve">P2102A-B </w:t>
                  </w:r>
                </w:p>
              </w:tc>
              <w:tc>
                <w:tcPr>
                  <w:tcW w:w="1481" w:type="pct"/>
                  <w:shd w:val="clear" w:color="auto" w:fill="auto"/>
                  <w:vAlign w:val="center"/>
                </w:tcPr>
                <w:p w14:paraId="722EC56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H=</w:t>
                  </w:r>
                  <w:r>
                    <w:rPr>
                      <w:rFonts w:hint="eastAsia" w:ascii="宋体" w:hAnsi="宋体" w:eastAsia="宋体" w:cs="宋体"/>
                      <w:color w:val="auto"/>
                      <w:sz w:val="21"/>
                      <w:szCs w:val="21"/>
                      <w:lang w:val="en-US" w:eastAsia="zh-CN"/>
                    </w:rPr>
                    <w:t>15</w:t>
                  </w:r>
                  <w:r>
                    <w:rPr>
                      <w:rFonts w:hint="eastAsia" w:ascii="宋体" w:hAnsi="宋体" w:eastAsia="宋体" w:cs="宋体"/>
                      <w:color w:val="auto"/>
                      <w:sz w:val="21"/>
                      <w:szCs w:val="21"/>
                    </w:rPr>
                    <w:t>m，N=</w:t>
                  </w:r>
                  <w:r>
                    <w:rPr>
                      <w:rFonts w:hint="eastAsia" w:ascii="宋体" w:hAnsi="宋体" w:eastAsia="宋体" w:cs="宋体"/>
                      <w:color w:val="auto"/>
                      <w:sz w:val="21"/>
                      <w:szCs w:val="21"/>
                      <w:lang w:val="en-US" w:eastAsia="zh-CN"/>
                    </w:rPr>
                    <w:t>5.5</w:t>
                  </w:r>
                  <w:r>
                    <w:rPr>
                      <w:rFonts w:hint="eastAsia" w:ascii="宋体" w:hAnsi="宋体" w:eastAsia="宋体" w:cs="宋体"/>
                      <w:color w:val="auto"/>
                      <w:sz w:val="21"/>
                      <w:szCs w:val="21"/>
                    </w:rPr>
                    <w:t>KW</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过流SS304</w:t>
                  </w:r>
                </w:p>
              </w:tc>
              <w:tc>
                <w:tcPr>
                  <w:tcW w:w="314" w:type="pct"/>
                  <w:vMerge w:val="continue"/>
                  <w:shd w:val="clear" w:color="auto" w:fill="auto"/>
                  <w:vAlign w:val="center"/>
                </w:tcPr>
                <w:p w14:paraId="392730E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vMerge w:val="continue"/>
                  <w:shd w:val="clear" w:color="auto" w:fill="auto"/>
                  <w:noWrap/>
                  <w:vAlign w:val="center"/>
                </w:tcPr>
                <w:p w14:paraId="7769FAD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p>
              </w:tc>
              <w:tc>
                <w:tcPr>
                  <w:tcW w:w="384" w:type="pct"/>
                  <w:vMerge w:val="continue"/>
                  <w:shd w:val="clear" w:color="auto" w:fill="auto"/>
                  <w:noWrap/>
                  <w:vAlign w:val="center"/>
                </w:tcPr>
                <w:p w14:paraId="621FA87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p>
              </w:tc>
              <w:tc>
                <w:tcPr>
                  <w:tcW w:w="576" w:type="pct"/>
                  <w:vMerge w:val="continue"/>
                  <w:shd w:val="clear" w:color="auto" w:fill="auto"/>
                  <w:noWrap/>
                  <w:vAlign w:val="center"/>
                </w:tcPr>
                <w:p w14:paraId="59C617D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p>
              </w:tc>
            </w:tr>
            <w:tr w14:paraId="719FB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720AB67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8</w:t>
                  </w:r>
                </w:p>
              </w:tc>
              <w:tc>
                <w:tcPr>
                  <w:tcW w:w="650" w:type="pct"/>
                  <w:shd w:val="clear" w:color="auto" w:fill="auto"/>
                  <w:noWrap/>
                  <w:vAlign w:val="center"/>
                </w:tcPr>
                <w:p w14:paraId="005CFC5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加热沉降釜</w:t>
                  </w:r>
                  <w:r>
                    <w:rPr>
                      <w:rFonts w:hint="eastAsia" w:ascii="宋体" w:hAnsi="宋体" w:cs="宋体"/>
                      <w:color w:val="auto"/>
                      <w:sz w:val="21"/>
                      <w:szCs w:val="21"/>
                      <w:highlight w:val="none"/>
                      <w:lang w:val="en-US" w:eastAsia="zh-CN"/>
                    </w:rPr>
                    <w:t>（图上显示的地沟油加热罐）</w:t>
                  </w:r>
                </w:p>
              </w:tc>
              <w:tc>
                <w:tcPr>
                  <w:tcW w:w="786" w:type="pct"/>
                  <w:shd w:val="clear" w:color="auto" w:fill="auto"/>
                  <w:vAlign w:val="center"/>
                </w:tcPr>
                <w:p w14:paraId="44AC695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V1103A-F</w:t>
                  </w:r>
                </w:p>
              </w:tc>
              <w:tc>
                <w:tcPr>
                  <w:tcW w:w="1481" w:type="pct"/>
                  <w:shd w:val="clear" w:color="auto" w:fill="auto"/>
                  <w:vAlign w:val="center"/>
                </w:tcPr>
                <w:p w14:paraId="333CD427">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lang w:val="en-US" w:eastAsia="zh-CN"/>
                    </w:rPr>
                    <w:t>容积</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lang w:val="en-US" w:eastAsia="zh-CN"/>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color w:val="auto"/>
                      <w:sz w:val="21"/>
                      <w:szCs w:val="21"/>
                      <w:lang w:val="en-US" w:eastAsia="zh-CN"/>
                    </w:rPr>
                    <w:t>，材质SS304，含搅拌机，视镜灯，消音器，蒸汽直喷+外盘管，搅拌功率7.5kw</w:t>
                  </w:r>
                </w:p>
              </w:tc>
              <w:tc>
                <w:tcPr>
                  <w:tcW w:w="314" w:type="pct"/>
                  <w:vMerge w:val="continue"/>
                  <w:shd w:val="clear" w:color="auto" w:fill="auto"/>
                  <w:vAlign w:val="center"/>
                </w:tcPr>
                <w:p w14:paraId="4F33FCD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56D627E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c>
                <w:tcPr>
                  <w:tcW w:w="384" w:type="pct"/>
                  <w:shd w:val="clear" w:color="auto" w:fill="auto"/>
                  <w:noWrap/>
                  <w:vAlign w:val="center"/>
                </w:tcPr>
                <w:p w14:paraId="020D1DE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c>
                <w:tcPr>
                  <w:tcW w:w="576" w:type="pct"/>
                  <w:vMerge w:val="continue"/>
                  <w:shd w:val="clear" w:color="auto" w:fill="auto"/>
                  <w:noWrap/>
                  <w:vAlign w:val="center"/>
                </w:tcPr>
                <w:p w14:paraId="2BA2738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r>
            <w:tr w14:paraId="6FBAE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6EB2801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9</w:t>
                  </w:r>
                </w:p>
              </w:tc>
              <w:tc>
                <w:tcPr>
                  <w:tcW w:w="650" w:type="pct"/>
                  <w:shd w:val="clear" w:color="auto" w:fill="auto"/>
                  <w:noWrap/>
                  <w:vAlign w:val="center"/>
                </w:tcPr>
                <w:p w14:paraId="68B33CC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排水罐</w:t>
                  </w:r>
                </w:p>
              </w:tc>
              <w:tc>
                <w:tcPr>
                  <w:tcW w:w="786" w:type="pct"/>
                  <w:shd w:val="clear" w:color="auto" w:fill="auto"/>
                  <w:vAlign w:val="center"/>
                </w:tcPr>
                <w:p w14:paraId="35A3882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V1107</w:t>
                  </w:r>
                </w:p>
              </w:tc>
              <w:tc>
                <w:tcPr>
                  <w:tcW w:w="1481" w:type="pct"/>
                  <w:shd w:val="clear" w:color="auto" w:fill="auto"/>
                  <w:vAlign w:val="center"/>
                </w:tcPr>
                <w:p w14:paraId="3DFFA692">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容积10m³，材质SS304</w:t>
                  </w:r>
                </w:p>
              </w:tc>
              <w:tc>
                <w:tcPr>
                  <w:tcW w:w="314" w:type="pct"/>
                  <w:vMerge w:val="continue"/>
                  <w:shd w:val="clear" w:color="auto" w:fill="auto"/>
                  <w:vAlign w:val="center"/>
                </w:tcPr>
                <w:p w14:paraId="6C0209A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1EB8F8B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1</w:t>
                  </w:r>
                </w:p>
              </w:tc>
              <w:tc>
                <w:tcPr>
                  <w:tcW w:w="384" w:type="pct"/>
                  <w:shd w:val="clear" w:color="auto" w:fill="auto"/>
                  <w:noWrap/>
                  <w:vAlign w:val="center"/>
                </w:tcPr>
                <w:p w14:paraId="46899C3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rPr>
                    <w:t>台</w:t>
                  </w:r>
                </w:p>
              </w:tc>
              <w:tc>
                <w:tcPr>
                  <w:tcW w:w="576" w:type="pct"/>
                  <w:vMerge w:val="restart"/>
                  <w:shd w:val="clear" w:color="auto" w:fill="auto"/>
                  <w:noWrap/>
                  <w:vAlign w:val="center"/>
                </w:tcPr>
                <w:p w14:paraId="7EF5457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废水暂存</w:t>
                  </w:r>
                </w:p>
              </w:tc>
            </w:tr>
            <w:tr w14:paraId="44513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64ED99D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10</w:t>
                  </w:r>
                </w:p>
              </w:tc>
              <w:tc>
                <w:tcPr>
                  <w:tcW w:w="650" w:type="pct"/>
                  <w:shd w:val="clear" w:color="auto" w:fill="auto"/>
                  <w:noWrap/>
                  <w:vAlign w:val="center"/>
                </w:tcPr>
                <w:p w14:paraId="64FEA12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排水罐出料泵</w:t>
                  </w:r>
                </w:p>
              </w:tc>
              <w:tc>
                <w:tcPr>
                  <w:tcW w:w="786" w:type="pct"/>
                  <w:shd w:val="clear" w:color="auto" w:fill="auto"/>
                  <w:vAlign w:val="center"/>
                </w:tcPr>
                <w:p w14:paraId="67B69C7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P1106A-B</w:t>
                  </w:r>
                </w:p>
              </w:tc>
              <w:tc>
                <w:tcPr>
                  <w:tcW w:w="1481" w:type="pct"/>
                  <w:shd w:val="clear" w:color="auto" w:fill="auto"/>
                  <w:vAlign w:val="center"/>
                </w:tcPr>
                <w:p w14:paraId="19E9648B">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color w:val="auto"/>
                      <w:kern w:val="2"/>
                      <w:sz w:val="21"/>
                      <w:szCs w:val="21"/>
                      <w:highlight w:val="yellow"/>
                      <w:lang w:val="en-US" w:eastAsia="zh-CN" w:bidi="ar-SA"/>
                    </w:rPr>
                  </w:pPr>
                  <w:r>
                    <w:rPr>
                      <w:rFonts w:hint="eastAsia" w:ascii="宋体" w:hAnsi="宋体" w:eastAsia="宋体" w:cs="宋体"/>
                      <w:color w:val="auto"/>
                      <w:sz w:val="21"/>
                      <w:szCs w:val="21"/>
                      <w:highlight w:val="none"/>
                      <w:lang w:val="en-US" w:eastAsia="zh-CN"/>
                    </w:rPr>
                    <w:t>H=15m，N=5.5KW，过流SS304,半开式叶轮</w:t>
                  </w:r>
                </w:p>
              </w:tc>
              <w:tc>
                <w:tcPr>
                  <w:tcW w:w="314" w:type="pct"/>
                  <w:vMerge w:val="continue"/>
                  <w:shd w:val="clear" w:color="auto" w:fill="auto"/>
                  <w:vAlign w:val="center"/>
                </w:tcPr>
                <w:p w14:paraId="4A07718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0312558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2</w:t>
                  </w:r>
                </w:p>
              </w:tc>
              <w:tc>
                <w:tcPr>
                  <w:tcW w:w="384" w:type="pct"/>
                  <w:shd w:val="clear" w:color="auto" w:fill="auto"/>
                  <w:noWrap/>
                  <w:vAlign w:val="center"/>
                </w:tcPr>
                <w:p w14:paraId="4E572F5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台</w:t>
                  </w:r>
                </w:p>
              </w:tc>
              <w:tc>
                <w:tcPr>
                  <w:tcW w:w="576" w:type="pct"/>
                  <w:vMerge w:val="continue"/>
                  <w:shd w:val="clear" w:color="auto" w:fill="auto"/>
                  <w:noWrap/>
                  <w:vAlign w:val="center"/>
                </w:tcPr>
                <w:p w14:paraId="510839F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r>
            <w:tr w14:paraId="223AC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768B508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11</w:t>
                  </w:r>
                </w:p>
              </w:tc>
              <w:tc>
                <w:tcPr>
                  <w:tcW w:w="650" w:type="pct"/>
                  <w:shd w:val="clear" w:color="auto" w:fill="auto"/>
                  <w:noWrap/>
                  <w:vAlign w:val="center"/>
                </w:tcPr>
                <w:p w14:paraId="7FFC411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离心机进料泵</w:t>
                  </w:r>
                </w:p>
              </w:tc>
              <w:tc>
                <w:tcPr>
                  <w:tcW w:w="786" w:type="pct"/>
                  <w:shd w:val="clear" w:color="auto" w:fill="auto"/>
                  <w:vAlign w:val="center"/>
                </w:tcPr>
                <w:p w14:paraId="5BC95ED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kern w:val="2"/>
                      <w:sz w:val="21"/>
                      <w:szCs w:val="21"/>
                      <w:lang w:val="en-US" w:eastAsia="zh-CN" w:bidi="ar-SA"/>
                    </w:rPr>
                  </w:pPr>
                  <w:r>
                    <w:rPr>
                      <w:rFonts w:hint="eastAsia" w:ascii="宋体" w:hAnsi="宋体" w:cs="宋体"/>
                      <w:strike w:val="0"/>
                      <w:dstrike w:val="0"/>
                      <w:color w:val="auto"/>
                      <w:sz w:val="21"/>
                      <w:szCs w:val="21"/>
                      <w:lang w:val="en-US" w:eastAsia="zh-CN"/>
                    </w:rPr>
                    <w:t>P1102A-B</w:t>
                  </w:r>
                </w:p>
              </w:tc>
              <w:tc>
                <w:tcPr>
                  <w:tcW w:w="1481" w:type="pct"/>
                  <w:shd w:val="clear" w:color="auto" w:fill="auto"/>
                  <w:vAlign w:val="center"/>
                </w:tcPr>
                <w:p w14:paraId="19A5772F">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功率5.5kw，过流304，变频</w:t>
                  </w:r>
                </w:p>
              </w:tc>
              <w:tc>
                <w:tcPr>
                  <w:tcW w:w="314" w:type="pct"/>
                  <w:vMerge w:val="continue"/>
                  <w:shd w:val="clear" w:color="auto" w:fill="auto"/>
                  <w:vAlign w:val="center"/>
                </w:tcPr>
                <w:p w14:paraId="287956B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highlight w:val="yellow"/>
                    </w:rPr>
                  </w:pPr>
                </w:p>
              </w:tc>
              <w:tc>
                <w:tcPr>
                  <w:tcW w:w="375" w:type="pct"/>
                  <w:shd w:val="clear" w:color="auto" w:fill="auto"/>
                  <w:noWrap/>
                  <w:vAlign w:val="center"/>
                </w:tcPr>
                <w:p w14:paraId="69C17CA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2</w:t>
                  </w:r>
                </w:p>
              </w:tc>
              <w:tc>
                <w:tcPr>
                  <w:tcW w:w="384" w:type="pct"/>
                  <w:shd w:val="clear" w:color="auto" w:fill="auto"/>
                  <w:noWrap/>
                  <w:vAlign w:val="center"/>
                </w:tcPr>
                <w:p w14:paraId="3E04771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台</w:t>
                  </w:r>
                </w:p>
              </w:tc>
              <w:tc>
                <w:tcPr>
                  <w:tcW w:w="576" w:type="pct"/>
                  <w:vMerge w:val="restart"/>
                  <w:shd w:val="clear" w:color="auto" w:fill="auto"/>
                  <w:noWrap/>
                  <w:vAlign w:val="center"/>
                </w:tcPr>
                <w:p w14:paraId="102736D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三相离心</w:t>
                  </w:r>
                </w:p>
              </w:tc>
            </w:tr>
            <w:tr w14:paraId="790C6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0D08D9F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strike/>
                      <w:dstrike w:val="0"/>
                      <w:color w:val="auto"/>
                      <w:kern w:val="2"/>
                      <w:sz w:val="21"/>
                      <w:szCs w:val="21"/>
                      <w:lang w:val="en-US" w:eastAsia="zh-CN" w:bidi="ar-SA"/>
                    </w:rPr>
                  </w:pPr>
                  <w:r>
                    <w:rPr>
                      <w:rFonts w:hint="eastAsia" w:ascii="宋体" w:hAnsi="宋体" w:eastAsia="宋体" w:cs="宋体"/>
                      <w:strike w:val="0"/>
                      <w:dstrike w:val="0"/>
                      <w:color w:val="auto"/>
                      <w:sz w:val="21"/>
                      <w:szCs w:val="21"/>
                      <w:lang w:val="en-US" w:eastAsia="zh-CN"/>
                    </w:rPr>
                    <w:t>12</w:t>
                  </w:r>
                </w:p>
              </w:tc>
              <w:tc>
                <w:tcPr>
                  <w:tcW w:w="650" w:type="pct"/>
                  <w:shd w:val="clear" w:color="auto" w:fill="auto"/>
                  <w:noWrap/>
                  <w:vAlign w:val="center"/>
                </w:tcPr>
                <w:p w14:paraId="54EA308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strike w:val="0"/>
                      <w:dstrike w:val="0"/>
                      <w:color w:val="auto"/>
                      <w:kern w:val="2"/>
                      <w:sz w:val="21"/>
                      <w:szCs w:val="21"/>
                      <w:lang w:val="en-US" w:eastAsia="zh-CN" w:bidi="ar-SA"/>
                    </w:rPr>
                  </w:pPr>
                  <w:r>
                    <w:rPr>
                      <w:rFonts w:hint="eastAsia" w:ascii="宋体" w:hAnsi="宋体" w:eastAsia="宋体" w:cs="宋体"/>
                      <w:strike w:val="0"/>
                      <w:dstrike w:val="0"/>
                      <w:color w:val="auto"/>
                      <w:sz w:val="21"/>
                      <w:szCs w:val="21"/>
                      <w:lang w:val="en-US" w:eastAsia="zh-CN"/>
                    </w:rPr>
                    <w:t>三相离心机</w:t>
                  </w:r>
                  <w:r>
                    <w:rPr>
                      <w:rFonts w:hint="eastAsia"/>
                      <w:color w:val="auto"/>
                      <w:lang w:eastAsia="zh-CN"/>
                    </w:rPr>
                    <w:t>（餐厨废油）</w:t>
                  </w:r>
                </w:p>
              </w:tc>
              <w:tc>
                <w:tcPr>
                  <w:tcW w:w="786" w:type="pct"/>
                  <w:shd w:val="clear" w:color="auto" w:fill="auto"/>
                  <w:vAlign w:val="center"/>
                </w:tcPr>
                <w:p w14:paraId="1DB192D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strike w:val="0"/>
                      <w:dstrike w:val="0"/>
                      <w:color w:val="auto"/>
                      <w:kern w:val="2"/>
                      <w:sz w:val="21"/>
                      <w:szCs w:val="21"/>
                      <w:lang w:val="en-US" w:eastAsia="zh-CN" w:bidi="ar-SA"/>
                    </w:rPr>
                  </w:pPr>
                  <w:r>
                    <w:rPr>
                      <w:rFonts w:hint="eastAsia" w:ascii="宋体" w:hAnsi="宋体" w:cs="宋体"/>
                      <w:strike w:val="0"/>
                      <w:dstrike w:val="0"/>
                      <w:color w:val="auto"/>
                      <w:sz w:val="21"/>
                      <w:szCs w:val="21"/>
                      <w:lang w:val="en-US" w:eastAsia="zh-CN"/>
                    </w:rPr>
                    <w:t>S1104A-B</w:t>
                  </w:r>
                </w:p>
              </w:tc>
              <w:tc>
                <w:tcPr>
                  <w:tcW w:w="1481" w:type="pct"/>
                  <w:shd w:val="clear" w:color="auto" w:fill="auto"/>
                  <w:vAlign w:val="center"/>
                </w:tcPr>
                <w:p w14:paraId="018E31EB">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strike w:val="0"/>
                      <w:dstrike w:val="0"/>
                      <w:color w:val="auto"/>
                      <w:kern w:val="2"/>
                      <w:sz w:val="21"/>
                      <w:szCs w:val="21"/>
                      <w:lang w:val="en-US" w:eastAsia="zh-CN" w:bidi="ar-SA"/>
                    </w:rPr>
                  </w:pPr>
                  <w:r>
                    <w:rPr>
                      <w:rFonts w:hint="eastAsia" w:ascii="宋体" w:hAnsi="宋体" w:eastAsia="宋体" w:cs="宋体"/>
                      <w:strike w:val="0"/>
                      <w:dstrike w:val="0"/>
                      <w:color w:val="auto"/>
                      <w:sz w:val="21"/>
                      <w:szCs w:val="21"/>
                      <w:lang w:val="en-US" w:eastAsia="zh-CN"/>
                    </w:rPr>
                    <w:t>转鼓及大小端盖双相2304，螺旋304，固相出料端焊接硬质合金片，排渣口喷涂硬质合金，主轴承SKF,分离因素2950，处理量</w:t>
                  </w:r>
                  <w:r>
                    <w:rPr>
                      <w:rFonts w:hint="eastAsia" w:ascii="宋体" w:hAnsi="宋体" w:cs="宋体"/>
                      <w:strike w:val="0"/>
                      <w:dstrike w:val="0"/>
                      <w:color w:val="auto"/>
                      <w:sz w:val="21"/>
                      <w:szCs w:val="21"/>
                      <w:lang w:val="en-US" w:eastAsia="zh-CN"/>
                    </w:rPr>
                    <w:t>2-3</w:t>
                  </w:r>
                  <w:r>
                    <w:rPr>
                      <w:rFonts w:hint="eastAsia" w:ascii="宋体" w:hAnsi="宋体" w:eastAsia="宋体" w:cs="宋体"/>
                      <w:strike w:val="0"/>
                      <w:dstrike w:val="0"/>
                      <w:color w:val="auto"/>
                      <w:sz w:val="21"/>
                      <w:szCs w:val="21"/>
                      <w:lang w:val="en-US" w:eastAsia="zh-CN"/>
                    </w:rPr>
                    <w:t>m³/h，总功率37kw，变频</w:t>
                  </w:r>
                </w:p>
              </w:tc>
              <w:tc>
                <w:tcPr>
                  <w:tcW w:w="314" w:type="pct"/>
                  <w:vMerge w:val="continue"/>
                  <w:shd w:val="clear" w:color="auto" w:fill="auto"/>
                  <w:vAlign w:val="center"/>
                </w:tcPr>
                <w:p w14:paraId="4B23367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c>
                <w:tcPr>
                  <w:tcW w:w="375" w:type="pct"/>
                  <w:shd w:val="clear" w:color="auto" w:fill="auto"/>
                  <w:noWrap/>
                  <w:vAlign w:val="center"/>
                </w:tcPr>
                <w:p w14:paraId="308ED27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p>
              </w:tc>
              <w:tc>
                <w:tcPr>
                  <w:tcW w:w="384" w:type="pct"/>
                  <w:shd w:val="clear" w:color="auto" w:fill="auto"/>
                  <w:noWrap/>
                  <w:vAlign w:val="center"/>
                </w:tcPr>
                <w:p w14:paraId="48A5AB9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台</w:t>
                  </w:r>
                </w:p>
              </w:tc>
              <w:tc>
                <w:tcPr>
                  <w:tcW w:w="576" w:type="pct"/>
                  <w:vMerge w:val="continue"/>
                  <w:shd w:val="clear" w:color="auto" w:fill="auto"/>
                  <w:noWrap/>
                  <w:vAlign w:val="center"/>
                </w:tcPr>
                <w:p w14:paraId="5403EA0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r>
            <w:tr w14:paraId="125F4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2B4B4B0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strike/>
                      <w:dstrike w:val="0"/>
                      <w:color w:val="auto"/>
                      <w:sz w:val="21"/>
                      <w:szCs w:val="21"/>
                      <w:lang w:val="en-US" w:eastAsia="zh-CN"/>
                    </w:rPr>
                  </w:pPr>
                  <w:r>
                    <w:rPr>
                      <w:rFonts w:hint="eastAsia" w:ascii="宋体" w:hAnsi="宋体" w:cs="宋体"/>
                      <w:strike w:val="0"/>
                      <w:dstrike w:val="0"/>
                      <w:color w:val="auto"/>
                      <w:sz w:val="21"/>
                      <w:szCs w:val="21"/>
                      <w:lang w:val="en-US" w:eastAsia="zh-CN"/>
                    </w:rPr>
                    <w:t>13</w:t>
                  </w:r>
                </w:p>
              </w:tc>
              <w:tc>
                <w:tcPr>
                  <w:tcW w:w="650" w:type="pct"/>
                  <w:shd w:val="clear" w:color="auto" w:fill="auto"/>
                  <w:noWrap/>
                  <w:vAlign w:val="center"/>
                </w:tcPr>
                <w:p w14:paraId="016D5B7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三相离心机出渣螺旋</w:t>
                  </w:r>
                </w:p>
              </w:tc>
              <w:tc>
                <w:tcPr>
                  <w:tcW w:w="786" w:type="pct"/>
                  <w:shd w:val="clear" w:color="auto" w:fill="auto"/>
                  <w:vAlign w:val="center"/>
                </w:tcPr>
                <w:p w14:paraId="77FAED2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S1106</w:t>
                  </w:r>
                </w:p>
              </w:tc>
              <w:tc>
                <w:tcPr>
                  <w:tcW w:w="1481" w:type="pct"/>
                  <w:shd w:val="clear" w:color="auto" w:fill="auto"/>
                  <w:vAlign w:val="center"/>
                </w:tcPr>
                <w:p w14:paraId="0A4A385B">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D360*8880mm，5.5kw，螺旋材质16Mn，壳体SS304,厚度≥5mm，盖板SS304,厚度≥2.5mm，衬板材质高分子聚乙烯，厚度10mm</w:t>
                  </w:r>
                </w:p>
              </w:tc>
              <w:tc>
                <w:tcPr>
                  <w:tcW w:w="314" w:type="pct"/>
                  <w:vMerge w:val="continue"/>
                  <w:shd w:val="clear" w:color="auto" w:fill="auto"/>
                  <w:vAlign w:val="center"/>
                </w:tcPr>
                <w:p w14:paraId="3AEBCBF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c>
                <w:tcPr>
                  <w:tcW w:w="375" w:type="pct"/>
                  <w:shd w:val="clear" w:color="auto" w:fill="auto"/>
                  <w:noWrap/>
                  <w:vAlign w:val="center"/>
                </w:tcPr>
                <w:p w14:paraId="3F8DBDF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384" w:type="pct"/>
                  <w:shd w:val="clear" w:color="auto" w:fill="auto"/>
                  <w:noWrap/>
                  <w:vAlign w:val="center"/>
                </w:tcPr>
                <w:p w14:paraId="60B6E62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台</w:t>
                  </w:r>
                </w:p>
              </w:tc>
              <w:tc>
                <w:tcPr>
                  <w:tcW w:w="576" w:type="pct"/>
                  <w:vMerge w:val="continue"/>
                  <w:shd w:val="clear" w:color="auto" w:fill="auto"/>
                  <w:noWrap/>
                  <w:vAlign w:val="center"/>
                </w:tcPr>
                <w:p w14:paraId="370E1A0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r>
            <w:tr w14:paraId="5ACE6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5120E50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4</w:t>
                  </w:r>
                </w:p>
              </w:tc>
              <w:tc>
                <w:tcPr>
                  <w:tcW w:w="650" w:type="pct"/>
                  <w:shd w:val="clear" w:color="auto" w:fill="auto"/>
                  <w:noWrap/>
                  <w:vAlign w:val="center"/>
                </w:tcPr>
                <w:p w14:paraId="3FC7D98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计量罐进料泵</w:t>
                  </w:r>
                </w:p>
              </w:tc>
              <w:tc>
                <w:tcPr>
                  <w:tcW w:w="786" w:type="pct"/>
                  <w:shd w:val="clear" w:color="auto" w:fill="auto"/>
                  <w:vAlign w:val="center"/>
                </w:tcPr>
                <w:p w14:paraId="1CA0755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2CA44AE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default" w:ascii="宋体" w:hAnsi="宋体" w:cs="宋体"/>
                      <w:color w:val="auto"/>
                      <w:sz w:val="21"/>
                      <w:szCs w:val="21"/>
                      <w:lang w:val="en-US" w:eastAsia="zh-CN"/>
                    </w:rPr>
                    <w:t>Q=15m</w:t>
                  </w:r>
                  <w:r>
                    <w:rPr>
                      <w:rFonts w:hint="eastAsia" w:ascii="宋体" w:hAnsi="宋体" w:cs="宋体"/>
                      <w:color w:val="auto"/>
                      <w:sz w:val="21"/>
                      <w:szCs w:val="21"/>
                      <w:lang w:val="en-US" w:eastAsia="zh-CN"/>
                    </w:rPr>
                    <w:t>³/h，H=10m，N=4KW，过流SS304，半开式叶轮</w:t>
                  </w:r>
                </w:p>
              </w:tc>
              <w:tc>
                <w:tcPr>
                  <w:tcW w:w="314" w:type="pct"/>
                  <w:vMerge w:val="continue"/>
                  <w:shd w:val="clear" w:color="auto" w:fill="auto"/>
                  <w:vAlign w:val="center"/>
                </w:tcPr>
                <w:p w14:paraId="4A59EA1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76336F2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2</w:t>
                  </w:r>
                </w:p>
              </w:tc>
              <w:tc>
                <w:tcPr>
                  <w:tcW w:w="384" w:type="pct"/>
                  <w:shd w:val="clear" w:color="auto" w:fill="auto"/>
                  <w:noWrap/>
                  <w:vAlign w:val="center"/>
                </w:tcPr>
                <w:p w14:paraId="35EDA07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台</w:t>
                  </w:r>
                </w:p>
              </w:tc>
              <w:tc>
                <w:tcPr>
                  <w:tcW w:w="576" w:type="pct"/>
                  <w:vMerge w:val="restart"/>
                  <w:shd w:val="clear" w:color="auto" w:fill="auto"/>
                  <w:noWrap/>
                  <w:vAlign w:val="center"/>
                </w:tcPr>
                <w:p w14:paraId="0807341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称重</w:t>
                  </w:r>
                </w:p>
              </w:tc>
            </w:tr>
            <w:tr w14:paraId="012D9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1B1DC0A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15</w:t>
                  </w:r>
                </w:p>
              </w:tc>
              <w:tc>
                <w:tcPr>
                  <w:tcW w:w="650" w:type="pct"/>
                  <w:shd w:val="clear" w:color="auto" w:fill="auto"/>
                  <w:noWrap/>
                  <w:vAlign w:val="center"/>
                </w:tcPr>
                <w:p w14:paraId="57964C9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计量罐</w:t>
                  </w:r>
                </w:p>
              </w:tc>
              <w:tc>
                <w:tcPr>
                  <w:tcW w:w="786" w:type="pct"/>
                  <w:shd w:val="clear" w:color="auto" w:fill="auto"/>
                  <w:vAlign w:val="center"/>
                </w:tcPr>
                <w:p w14:paraId="332894F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V1106A-B</w:t>
                  </w:r>
                </w:p>
              </w:tc>
              <w:tc>
                <w:tcPr>
                  <w:tcW w:w="1481" w:type="pct"/>
                  <w:shd w:val="clear" w:color="auto" w:fill="auto"/>
                  <w:vAlign w:val="center"/>
                </w:tcPr>
                <w:p w14:paraId="35451573">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容积6m³，材质SS304</w:t>
                  </w:r>
                </w:p>
              </w:tc>
              <w:tc>
                <w:tcPr>
                  <w:tcW w:w="314" w:type="pct"/>
                  <w:vMerge w:val="continue"/>
                  <w:shd w:val="clear" w:color="auto" w:fill="auto"/>
                  <w:vAlign w:val="center"/>
                </w:tcPr>
                <w:p w14:paraId="0596F17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7522284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2</w:t>
                  </w:r>
                </w:p>
              </w:tc>
              <w:tc>
                <w:tcPr>
                  <w:tcW w:w="384" w:type="pct"/>
                  <w:shd w:val="clear" w:color="auto" w:fill="auto"/>
                  <w:noWrap/>
                  <w:vAlign w:val="center"/>
                </w:tcPr>
                <w:p w14:paraId="6BA17DE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台</w:t>
                  </w:r>
                </w:p>
              </w:tc>
              <w:tc>
                <w:tcPr>
                  <w:tcW w:w="576" w:type="pct"/>
                  <w:vMerge w:val="continue"/>
                  <w:shd w:val="clear" w:color="auto" w:fill="auto"/>
                  <w:noWrap/>
                  <w:vAlign w:val="center"/>
                </w:tcPr>
                <w:p w14:paraId="6E2C116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p>
              </w:tc>
            </w:tr>
            <w:tr w14:paraId="05B4C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44BD2C2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16</w:t>
                  </w:r>
                </w:p>
              </w:tc>
              <w:tc>
                <w:tcPr>
                  <w:tcW w:w="650" w:type="pct"/>
                  <w:shd w:val="clear" w:color="auto" w:fill="auto"/>
                  <w:noWrap/>
                  <w:vAlign w:val="center"/>
                </w:tcPr>
                <w:p w14:paraId="1A99A75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计量</w:t>
                  </w:r>
                  <w:r>
                    <w:rPr>
                      <w:rFonts w:hint="eastAsia" w:ascii="宋体" w:hAnsi="宋体" w:cs="宋体"/>
                      <w:color w:val="auto"/>
                      <w:sz w:val="21"/>
                      <w:szCs w:val="21"/>
                      <w:lang w:val="en-US" w:eastAsia="zh-CN"/>
                    </w:rPr>
                    <w:t>秤</w:t>
                  </w:r>
                </w:p>
              </w:tc>
              <w:tc>
                <w:tcPr>
                  <w:tcW w:w="786" w:type="pct"/>
                  <w:shd w:val="clear" w:color="auto" w:fill="auto"/>
                  <w:vAlign w:val="center"/>
                </w:tcPr>
                <w:p w14:paraId="052FD86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05C18D7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default" w:ascii="宋体" w:hAnsi="宋体" w:cs="宋体"/>
                      <w:color w:val="auto"/>
                      <w:sz w:val="21"/>
                      <w:szCs w:val="21"/>
                      <w:lang w:val="en-US" w:eastAsia="zh-CN"/>
                    </w:rPr>
                    <w:t>10</w:t>
                  </w:r>
                  <w:r>
                    <w:rPr>
                      <w:rFonts w:hint="eastAsia" w:ascii="宋体" w:hAnsi="宋体" w:cs="宋体"/>
                      <w:color w:val="auto"/>
                      <w:sz w:val="21"/>
                      <w:szCs w:val="21"/>
                      <w:lang w:val="en-US" w:eastAsia="zh-CN"/>
                    </w:rPr>
                    <w:t>吨，带</w:t>
                  </w:r>
                  <w:r>
                    <w:rPr>
                      <w:rFonts w:hint="default" w:ascii="宋体" w:hAnsi="宋体" w:cs="宋体"/>
                      <w:color w:val="auto"/>
                      <w:sz w:val="21"/>
                      <w:szCs w:val="21"/>
                      <w:lang w:val="en-US" w:eastAsia="zh-CN"/>
                    </w:rPr>
                    <w:t>485</w:t>
                  </w:r>
                  <w:r>
                    <w:rPr>
                      <w:rFonts w:hint="eastAsia" w:ascii="宋体" w:hAnsi="宋体" w:cs="宋体"/>
                      <w:color w:val="auto"/>
                      <w:sz w:val="21"/>
                      <w:szCs w:val="21"/>
                      <w:lang w:val="en-US" w:eastAsia="zh-CN"/>
                    </w:rPr>
                    <w:t>接口及现场显示</w:t>
                  </w:r>
                </w:p>
              </w:tc>
              <w:tc>
                <w:tcPr>
                  <w:tcW w:w="314" w:type="pct"/>
                  <w:vMerge w:val="continue"/>
                  <w:shd w:val="clear" w:color="auto" w:fill="auto"/>
                  <w:vAlign w:val="center"/>
                </w:tcPr>
                <w:p w14:paraId="08870C0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4E9B478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2</w:t>
                  </w:r>
                </w:p>
              </w:tc>
              <w:tc>
                <w:tcPr>
                  <w:tcW w:w="384" w:type="pct"/>
                  <w:shd w:val="clear" w:color="auto" w:fill="auto"/>
                  <w:noWrap/>
                  <w:vAlign w:val="center"/>
                </w:tcPr>
                <w:p w14:paraId="6CFBBD5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台</w:t>
                  </w:r>
                </w:p>
              </w:tc>
              <w:tc>
                <w:tcPr>
                  <w:tcW w:w="576" w:type="pct"/>
                  <w:vMerge w:val="continue"/>
                  <w:shd w:val="clear" w:color="auto" w:fill="auto"/>
                  <w:noWrap/>
                  <w:vAlign w:val="center"/>
                </w:tcPr>
                <w:p w14:paraId="258061C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p>
              </w:tc>
            </w:tr>
            <w:tr w14:paraId="1BB1A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2912BBE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17</w:t>
                  </w:r>
                </w:p>
              </w:tc>
              <w:tc>
                <w:tcPr>
                  <w:tcW w:w="650" w:type="pct"/>
                  <w:shd w:val="clear" w:color="auto" w:fill="auto"/>
                  <w:noWrap/>
                  <w:vAlign w:val="center"/>
                </w:tcPr>
                <w:p w14:paraId="0D3FC1A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过滤桶</w:t>
                  </w:r>
                </w:p>
              </w:tc>
              <w:tc>
                <w:tcPr>
                  <w:tcW w:w="786" w:type="pct"/>
                  <w:shd w:val="clear" w:color="auto" w:fill="auto"/>
                  <w:vAlign w:val="center"/>
                </w:tcPr>
                <w:p w14:paraId="6AC2A46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S1105A-B</w:t>
                  </w:r>
                </w:p>
              </w:tc>
              <w:tc>
                <w:tcPr>
                  <w:tcW w:w="1481" w:type="pct"/>
                  <w:shd w:val="clear" w:color="auto" w:fill="auto"/>
                  <w:vAlign w:val="center"/>
                </w:tcPr>
                <w:p w14:paraId="2E31F79B">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w:t>
                  </w:r>
                </w:p>
              </w:tc>
              <w:tc>
                <w:tcPr>
                  <w:tcW w:w="314" w:type="pct"/>
                  <w:vMerge w:val="continue"/>
                  <w:shd w:val="clear" w:color="auto" w:fill="auto"/>
                  <w:vAlign w:val="center"/>
                </w:tcPr>
                <w:p w14:paraId="65DC4A1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20DAB6D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2</w:t>
                  </w:r>
                </w:p>
              </w:tc>
              <w:tc>
                <w:tcPr>
                  <w:tcW w:w="384" w:type="pct"/>
                  <w:shd w:val="clear" w:color="auto" w:fill="auto"/>
                  <w:noWrap/>
                  <w:vAlign w:val="center"/>
                </w:tcPr>
                <w:p w14:paraId="4DF01CA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台</w:t>
                  </w:r>
                </w:p>
              </w:tc>
              <w:tc>
                <w:tcPr>
                  <w:tcW w:w="576" w:type="pct"/>
                  <w:vMerge w:val="continue"/>
                  <w:shd w:val="clear" w:color="auto" w:fill="auto"/>
                  <w:noWrap/>
                  <w:vAlign w:val="center"/>
                </w:tcPr>
                <w:p w14:paraId="68EF7A8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r>
            <w:tr w14:paraId="4B408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6C1480D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18</w:t>
                  </w:r>
                </w:p>
              </w:tc>
              <w:tc>
                <w:tcPr>
                  <w:tcW w:w="650" w:type="pct"/>
                  <w:shd w:val="clear" w:color="auto" w:fill="auto"/>
                  <w:noWrap/>
                  <w:vAlign w:val="center"/>
                </w:tcPr>
                <w:p w14:paraId="53E7DCB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沉降罐进料泵</w:t>
                  </w:r>
                </w:p>
              </w:tc>
              <w:tc>
                <w:tcPr>
                  <w:tcW w:w="786" w:type="pct"/>
                  <w:shd w:val="clear" w:color="auto" w:fill="auto"/>
                  <w:vAlign w:val="center"/>
                </w:tcPr>
                <w:p w14:paraId="7A9F3E9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P1105A-B</w:t>
                  </w:r>
                </w:p>
              </w:tc>
              <w:tc>
                <w:tcPr>
                  <w:tcW w:w="1481" w:type="pct"/>
                  <w:shd w:val="clear" w:color="auto" w:fill="auto"/>
                  <w:vAlign w:val="center"/>
                </w:tcPr>
                <w:p w14:paraId="0A38A5FA">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H=</w:t>
                  </w:r>
                  <w:r>
                    <w:rPr>
                      <w:rFonts w:hint="eastAsia" w:ascii="宋体" w:hAnsi="宋体" w:eastAsia="宋体" w:cs="宋体"/>
                      <w:color w:val="auto"/>
                      <w:sz w:val="21"/>
                      <w:szCs w:val="21"/>
                      <w:lang w:val="en-US" w:eastAsia="zh-CN"/>
                    </w:rPr>
                    <w:t>15</w:t>
                  </w:r>
                  <w:r>
                    <w:rPr>
                      <w:rFonts w:hint="eastAsia" w:ascii="宋体" w:hAnsi="宋体" w:eastAsia="宋体" w:cs="宋体"/>
                      <w:color w:val="auto"/>
                      <w:sz w:val="21"/>
                      <w:szCs w:val="21"/>
                    </w:rPr>
                    <w:t>m，N=</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KW</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过流SS304</w:t>
                  </w:r>
                </w:p>
              </w:tc>
              <w:tc>
                <w:tcPr>
                  <w:tcW w:w="314" w:type="pct"/>
                  <w:vMerge w:val="continue"/>
                  <w:shd w:val="clear" w:color="auto" w:fill="auto"/>
                  <w:vAlign w:val="center"/>
                </w:tcPr>
                <w:p w14:paraId="5526852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1177001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384" w:type="pct"/>
                  <w:shd w:val="clear" w:color="auto" w:fill="auto"/>
                  <w:noWrap/>
                  <w:vAlign w:val="center"/>
                </w:tcPr>
                <w:p w14:paraId="098D5C8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台</w:t>
                  </w:r>
                </w:p>
              </w:tc>
              <w:tc>
                <w:tcPr>
                  <w:tcW w:w="576" w:type="pct"/>
                  <w:vMerge w:val="restart"/>
                  <w:shd w:val="clear" w:color="auto" w:fill="auto"/>
                  <w:noWrap/>
                  <w:vAlign w:val="center"/>
                </w:tcPr>
                <w:p w14:paraId="376F14D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沉降</w:t>
                  </w:r>
                </w:p>
              </w:tc>
            </w:tr>
            <w:tr w14:paraId="3FFAC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37B2C18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19</w:t>
                  </w:r>
                </w:p>
              </w:tc>
              <w:tc>
                <w:tcPr>
                  <w:tcW w:w="650" w:type="pct"/>
                  <w:shd w:val="clear" w:color="auto" w:fill="auto"/>
                  <w:noWrap/>
                  <w:vAlign w:val="center"/>
                </w:tcPr>
                <w:p w14:paraId="3B07B3F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中间</w:t>
                  </w:r>
                  <w:r>
                    <w:rPr>
                      <w:rFonts w:hint="eastAsia" w:ascii="宋体" w:hAnsi="宋体" w:eastAsia="宋体" w:cs="宋体"/>
                      <w:color w:val="auto"/>
                      <w:sz w:val="21"/>
                      <w:szCs w:val="21"/>
                      <w:lang w:val="en-US" w:eastAsia="zh-CN"/>
                    </w:rPr>
                    <w:t>沉降罐</w:t>
                  </w:r>
                </w:p>
              </w:tc>
              <w:tc>
                <w:tcPr>
                  <w:tcW w:w="786" w:type="pct"/>
                  <w:shd w:val="clear" w:color="auto" w:fill="auto"/>
                  <w:vAlign w:val="center"/>
                </w:tcPr>
                <w:p w14:paraId="2C4BCBA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V1109A-F</w:t>
                  </w:r>
                </w:p>
              </w:tc>
              <w:tc>
                <w:tcPr>
                  <w:tcW w:w="1481" w:type="pct"/>
                  <w:shd w:val="clear" w:color="auto" w:fill="auto"/>
                  <w:vAlign w:val="center"/>
                </w:tcPr>
                <w:p w14:paraId="089F2282">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Ø3400*H6000，材质SS304，带加热盘管</w:t>
                  </w:r>
                  <w:r>
                    <w:rPr>
                      <w:rFonts w:hint="eastAsia" w:ascii="宋体" w:hAnsi="宋体" w:cs="宋体"/>
                      <w:color w:val="auto"/>
                      <w:sz w:val="21"/>
                      <w:szCs w:val="21"/>
                      <w:lang w:val="en-US" w:eastAsia="zh-CN"/>
                    </w:rPr>
                    <w:t>，沉降时间5h</w:t>
                  </w:r>
                </w:p>
              </w:tc>
              <w:tc>
                <w:tcPr>
                  <w:tcW w:w="314" w:type="pct"/>
                  <w:vMerge w:val="continue"/>
                  <w:shd w:val="clear" w:color="auto" w:fill="auto"/>
                  <w:vAlign w:val="center"/>
                </w:tcPr>
                <w:p w14:paraId="137D547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78EA75B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6</w:t>
                  </w:r>
                </w:p>
              </w:tc>
              <w:tc>
                <w:tcPr>
                  <w:tcW w:w="384" w:type="pct"/>
                  <w:shd w:val="clear" w:color="auto" w:fill="auto"/>
                  <w:noWrap/>
                  <w:vAlign w:val="center"/>
                </w:tcPr>
                <w:p w14:paraId="0947E7C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台</w:t>
                  </w:r>
                </w:p>
              </w:tc>
              <w:tc>
                <w:tcPr>
                  <w:tcW w:w="576" w:type="pct"/>
                  <w:vMerge w:val="continue"/>
                  <w:shd w:val="clear" w:color="auto" w:fill="auto"/>
                  <w:noWrap/>
                  <w:vAlign w:val="center"/>
                </w:tcPr>
                <w:p w14:paraId="11FEFFF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r>
            <w:tr w14:paraId="2C9A8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4AB1FC4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20</w:t>
                  </w:r>
                </w:p>
              </w:tc>
              <w:tc>
                <w:tcPr>
                  <w:tcW w:w="650" w:type="pct"/>
                  <w:shd w:val="clear" w:color="auto" w:fill="auto"/>
                  <w:noWrap/>
                  <w:vAlign w:val="center"/>
                </w:tcPr>
                <w:p w14:paraId="42A523A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沉降罐出料泵</w:t>
                  </w:r>
                </w:p>
              </w:tc>
              <w:tc>
                <w:tcPr>
                  <w:tcW w:w="786" w:type="pct"/>
                  <w:shd w:val="clear" w:color="auto" w:fill="auto"/>
                  <w:vAlign w:val="center"/>
                </w:tcPr>
                <w:p w14:paraId="03BF3B7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P1109A-B</w:t>
                  </w:r>
                </w:p>
              </w:tc>
              <w:tc>
                <w:tcPr>
                  <w:tcW w:w="1481" w:type="pct"/>
                  <w:shd w:val="clear" w:color="auto" w:fill="auto"/>
                  <w:vAlign w:val="center"/>
                </w:tcPr>
                <w:p w14:paraId="3D690C03">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H=</w:t>
                  </w:r>
                  <w:r>
                    <w:rPr>
                      <w:rFonts w:hint="eastAsia" w:ascii="宋体" w:hAnsi="宋体" w:eastAsia="宋体" w:cs="宋体"/>
                      <w:color w:val="auto"/>
                      <w:sz w:val="21"/>
                      <w:szCs w:val="21"/>
                      <w:lang w:val="en-US" w:eastAsia="zh-CN"/>
                    </w:rPr>
                    <w:t>30</w:t>
                  </w:r>
                  <w:r>
                    <w:rPr>
                      <w:rFonts w:hint="eastAsia" w:ascii="宋体" w:hAnsi="宋体" w:eastAsia="宋体" w:cs="宋体"/>
                      <w:color w:val="auto"/>
                      <w:sz w:val="21"/>
                      <w:szCs w:val="21"/>
                    </w:rPr>
                    <w:t>m，N=</w:t>
                  </w:r>
                  <w:r>
                    <w:rPr>
                      <w:rFonts w:hint="eastAsia" w:ascii="宋体" w:hAnsi="宋体" w:eastAsia="宋体" w:cs="宋体"/>
                      <w:color w:val="auto"/>
                      <w:sz w:val="21"/>
                      <w:szCs w:val="21"/>
                      <w:lang w:val="en-US" w:eastAsia="zh-CN"/>
                    </w:rPr>
                    <w:t>7.5</w:t>
                  </w:r>
                  <w:r>
                    <w:rPr>
                      <w:rFonts w:hint="eastAsia" w:ascii="宋体" w:hAnsi="宋体" w:eastAsia="宋体" w:cs="宋体"/>
                      <w:color w:val="auto"/>
                      <w:sz w:val="21"/>
                      <w:szCs w:val="21"/>
                    </w:rPr>
                    <w:t>KW</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过流SS304，</w:t>
                  </w:r>
                </w:p>
              </w:tc>
              <w:tc>
                <w:tcPr>
                  <w:tcW w:w="314" w:type="pct"/>
                  <w:vMerge w:val="continue"/>
                  <w:shd w:val="clear" w:color="auto" w:fill="auto"/>
                  <w:vAlign w:val="center"/>
                </w:tcPr>
                <w:p w14:paraId="5F1A287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24227E9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384" w:type="pct"/>
                  <w:shd w:val="clear" w:color="auto" w:fill="auto"/>
                  <w:noWrap/>
                  <w:vAlign w:val="center"/>
                </w:tcPr>
                <w:p w14:paraId="2B34583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台</w:t>
                  </w:r>
                </w:p>
              </w:tc>
              <w:tc>
                <w:tcPr>
                  <w:tcW w:w="576" w:type="pct"/>
                  <w:vMerge w:val="continue"/>
                  <w:shd w:val="clear" w:color="auto" w:fill="auto"/>
                  <w:noWrap/>
                  <w:vAlign w:val="center"/>
                </w:tcPr>
                <w:p w14:paraId="7FED66E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r>
            <w:tr w14:paraId="4D540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5D88A31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21</w:t>
                  </w:r>
                </w:p>
              </w:tc>
              <w:tc>
                <w:tcPr>
                  <w:tcW w:w="650" w:type="pct"/>
                  <w:shd w:val="clear" w:color="auto" w:fill="auto"/>
                  <w:noWrap/>
                  <w:vAlign w:val="center"/>
                </w:tcPr>
                <w:p w14:paraId="6D9A152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default" w:ascii="宋体" w:hAnsi="宋体" w:cs="宋体"/>
                      <w:color w:val="auto"/>
                      <w:sz w:val="21"/>
                      <w:szCs w:val="21"/>
                      <w:lang w:val="en-US" w:eastAsia="zh-CN"/>
                    </w:rPr>
                    <w:t>油缓存罐</w:t>
                  </w:r>
                </w:p>
              </w:tc>
              <w:tc>
                <w:tcPr>
                  <w:tcW w:w="786" w:type="pct"/>
                  <w:shd w:val="clear" w:color="auto" w:fill="auto"/>
                  <w:vAlign w:val="center"/>
                </w:tcPr>
                <w:p w14:paraId="7707EB0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w:t>
                  </w:r>
                </w:p>
              </w:tc>
              <w:tc>
                <w:tcPr>
                  <w:tcW w:w="1481" w:type="pct"/>
                  <w:shd w:val="clear" w:color="auto" w:fill="auto"/>
                  <w:vAlign w:val="center"/>
                </w:tcPr>
                <w:p w14:paraId="7443063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default" w:ascii="宋体" w:hAnsi="宋体" w:cs="宋体"/>
                      <w:color w:val="auto"/>
                      <w:sz w:val="21"/>
                      <w:szCs w:val="21"/>
                      <w:lang w:val="en-US" w:eastAsia="zh-CN"/>
                    </w:rPr>
                    <w:t>容积</w:t>
                  </w:r>
                  <w:r>
                    <w:rPr>
                      <w:rFonts w:hint="eastAsia" w:ascii="宋体" w:hAnsi="宋体" w:cs="宋体"/>
                      <w:color w:val="auto"/>
                      <w:sz w:val="21"/>
                      <w:szCs w:val="21"/>
                      <w:lang w:val="en-US" w:eastAsia="zh-CN"/>
                    </w:rPr>
                    <w:t>5m³，材质SS304</w:t>
                  </w:r>
                </w:p>
              </w:tc>
              <w:tc>
                <w:tcPr>
                  <w:tcW w:w="314" w:type="pct"/>
                  <w:vMerge w:val="continue"/>
                  <w:shd w:val="clear" w:color="auto" w:fill="auto"/>
                  <w:vAlign w:val="center"/>
                </w:tcPr>
                <w:p w14:paraId="0393B66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274DF2B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1</w:t>
                  </w:r>
                </w:p>
              </w:tc>
              <w:tc>
                <w:tcPr>
                  <w:tcW w:w="384" w:type="pct"/>
                  <w:shd w:val="clear" w:color="auto" w:fill="auto"/>
                  <w:noWrap/>
                  <w:vAlign w:val="center"/>
                </w:tcPr>
                <w:p w14:paraId="76D5D75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台</w:t>
                  </w:r>
                </w:p>
              </w:tc>
              <w:tc>
                <w:tcPr>
                  <w:tcW w:w="576" w:type="pct"/>
                  <w:shd w:val="clear" w:color="auto" w:fill="auto"/>
                  <w:noWrap/>
                  <w:vAlign w:val="center"/>
                </w:tcPr>
                <w:p w14:paraId="7936955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油相暂存</w:t>
                  </w:r>
                </w:p>
              </w:tc>
            </w:tr>
            <w:tr w14:paraId="0FECB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79944F3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22</w:t>
                  </w:r>
                </w:p>
              </w:tc>
              <w:tc>
                <w:tcPr>
                  <w:tcW w:w="650" w:type="pct"/>
                  <w:shd w:val="clear" w:color="auto" w:fill="auto"/>
                  <w:noWrap/>
                  <w:vAlign w:val="center"/>
                </w:tcPr>
                <w:p w14:paraId="331FDDB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水缓存罐</w:t>
                  </w:r>
                </w:p>
              </w:tc>
              <w:tc>
                <w:tcPr>
                  <w:tcW w:w="786" w:type="pct"/>
                  <w:shd w:val="clear" w:color="auto" w:fill="auto"/>
                  <w:vAlign w:val="center"/>
                </w:tcPr>
                <w:p w14:paraId="436096F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43EF3F7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default" w:ascii="宋体" w:hAnsi="宋体" w:cs="宋体"/>
                      <w:color w:val="auto"/>
                      <w:sz w:val="21"/>
                      <w:szCs w:val="21"/>
                      <w:lang w:val="en-US" w:eastAsia="zh-CN"/>
                    </w:rPr>
                    <w:t>容积</w:t>
                  </w:r>
                  <w:r>
                    <w:rPr>
                      <w:rFonts w:hint="eastAsia" w:ascii="宋体" w:hAnsi="宋体" w:cs="宋体"/>
                      <w:color w:val="auto"/>
                      <w:sz w:val="21"/>
                      <w:szCs w:val="21"/>
                      <w:lang w:val="en-US" w:eastAsia="zh-CN"/>
                    </w:rPr>
                    <w:t>5m³，材质SS304</w:t>
                  </w:r>
                </w:p>
              </w:tc>
              <w:tc>
                <w:tcPr>
                  <w:tcW w:w="314" w:type="pct"/>
                  <w:vMerge w:val="continue"/>
                  <w:shd w:val="clear" w:color="auto" w:fill="auto"/>
                  <w:vAlign w:val="center"/>
                </w:tcPr>
                <w:p w14:paraId="380D134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0BB6416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384" w:type="pct"/>
                  <w:shd w:val="clear" w:color="auto" w:fill="auto"/>
                  <w:noWrap/>
                  <w:vAlign w:val="center"/>
                </w:tcPr>
                <w:p w14:paraId="48EB33F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576" w:type="pct"/>
                  <w:vMerge w:val="restart"/>
                  <w:shd w:val="clear" w:color="auto" w:fill="auto"/>
                  <w:noWrap/>
                  <w:vAlign w:val="center"/>
                </w:tcPr>
                <w:p w14:paraId="45DA60E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废水暂存</w:t>
                  </w:r>
                </w:p>
              </w:tc>
            </w:tr>
            <w:tr w14:paraId="53CFA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48E05FD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23</w:t>
                  </w:r>
                </w:p>
              </w:tc>
              <w:tc>
                <w:tcPr>
                  <w:tcW w:w="650" w:type="pct"/>
                  <w:shd w:val="clear" w:color="auto" w:fill="auto"/>
                  <w:noWrap/>
                  <w:vAlign w:val="center"/>
                </w:tcPr>
                <w:p w14:paraId="2C109C9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废水提升泵</w:t>
                  </w:r>
                </w:p>
              </w:tc>
              <w:tc>
                <w:tcPr>
                  <w:tcW w:w="786" w:type="pct"/>
                  <w:shd w:val="clear" w:color="auto" w:fill="auto"/>
                  <w:vAlign w:val="center"/>
                </w:tcPr>
                <w:p w14:paraId="7AD9276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38779FA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default" w:ascii="宋体" w:hAnsi="宋体" w:cs="宋体"/>
                      <w:color w:val="auto"/>
                      <w:sz w:val="21"/>
                      <w:szCs w:val="21"/>
                      <w:lang w:val="en-US" w:eastAsia="zh-CN"/>
                    </w:rPr>
                    <w:t>Q=15m</w:t>
                  </w:r>
                  <w:r>
                    <w:rPr>
                      <w:rFonts w:hint="eastAsia" w:ascii="宋体" w:hAnsi="宋体" w:cs="宋体"/>
                      <w:color w:val="auto"/>
                      <w:sz w:val="21"/>
                      <w:szCs w:val="21"/>
                      <w:lang w:val="en-US" w:eastAsia="zh-CN"/>
                    </w:rPr>
                    <w:t>³/h，H=30m，N=5.5KW，过流SS304，</w:t>
                  </w:r>
                </w:p>
              </w:tc>
              <w:tc>
                <w:tcPr>
                  <w:tcW w:w="314" w:type="pct"/>
                  <w:vMerge w:val="continue"/>
                  <w:shd w:val="clear" w:color="auto" w:fill="auto"/>
                  <w:vAlign w:val="center"/>
                </w:tcPr>
                <w:p w14:paraId="0428C96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2CDBFD3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2</w:t>
                  </w:r>
                </w:p>
              </w:tc>
              <w:tc>
                <w:tcPr>
                  <w:tcW w:w="384" w:type="pct"/>
                  <w:shd w:val="clear" w:color="auto" w:fill="auto"/>
                  <w:noWrap/>
                  <w:vAlign w:val="center"/>
                </w:tcPr>
                <w:p w14:paraId="061F99D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台</w:t>
                  </w:r>
                </w:p>
              </w:tc>
              <w:tc>
                <w:tcPr>
                  <w:tcW w:w="576" w:type="pct"/>
                  <w:vMerge w:val="continue"/>
                  <w:shd w:val="clear" w:color="auto" w:fill="auto"/>
                  <w:noWrap/>
                  <w:vAlign w:val="center"/>
                </w:tcPr>
                <w:p w14:paraId="52F2CBE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r>
            <w:tr w14:paraId="77EA1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6021E50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24</w:t>
                  </w:r>
                </w:p>
              </w:tc>
              <w:tc>
                <w:tcPr>
                  <w:tcW w:w="650" w:type="pct"/>
                  <w:shd w:val="clear" w:color="auto" w:fill="auto"/>
                  <w:noWrap/>
                  <w:vAlign w:val="center"/>
                </w:tcPr>
                <w:p w14:paraId="6D1867A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潜污泵</w:t>
                  </w:r>
                </w:p>
              </w:tc>
              <w:tc>
                <w:tcPr>
                  <w:tcW w:w="786" w:type="pct"/>
                  <w:shd w:val="clear" w:color="auto" w:fill="auto"/>
                  <w:vAlign w:val="center"/>
                </w:tcPr>
                <w:p w14:paraId="396CD53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P1108A-B</w:t>
                  </w:r>
                </w:p>
              </w:tc>
              <w:tc>
                <w:tcPr>
                  <w:tcW w:w="1481" w:type="pct"/>
                  <w:shd w:val="clear" w:color="auto" w:fill="auto"/>
                  <w:vAlign w:val="center"/>
                </w:tcPr>
                <w:p w14:paraId="39ABEB54">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H=</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m，N=</w:t>
                  </w:r>
                  <w:r>
                    <w:rPr>
                      <w:rFonts w:hint="eastAsia" w:ascii="宋体" w:hAnsi="宋体" w:eastAsia="宋体" w:cs="宋体"/>
                      <w:color w:val="auto"/>
                      <w:sz w:val="21"/>
                      <w:szCs w:val="21"/>
                      <w:lang w:val="en-US" w:eastAsia="zh-CN"/>
                    </w:rPr>
                    <w:t>2.2</w:t>
                  </w:r>
                  <w:r>
                    <w:rPr>
                      <w:rFonts w:hint="eastAsia" w:ascii="宋体" w:hAnsi="宋体" w:eastAsia="宋体" w:cs="宋体"/>
                      <w:color w:val="auto"/>
                      <w:sz w:val="21"/>
                      <w:szCs w:val="21"/>
                    </w:rPr>
                    <w:t>KW</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过流SS304，</w:t>
                  </w:r>
                </w:p>
              </w:tc>
              <w:tc>
                <w:tcPr>
                  <w:tcW w:w="314" w:type="pct"/>
                  <w:vMerge w:val="continue"/>
                  <w:shd w:val="clear" w:color="auto" w:fill="auto"/>
                  <w:vAlign w:val="center"/>
                </w:tcPr>
                <w:p w14:paraId="34DB8D5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130C2F1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1</w:t>
                  </w:r>
                </w:p>
              </w:tc>
              <w:tc>
                <w:tcPr>
                  <w:tcW w:w="384" w:type="pct"/>
                  <w:shd w:val="clear" w:color="auto" w:fill="auto"/>
                  <w:noWrap/>
                  <w:vAlign w:val="center"/>
                </w:tcPr>
                <w:p w14:paraId="167C5DC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台</w:t>
                  </w:r>
                </w:p>
              </w:tc>
              <w:tc>
                <w:tcPr>
                  <w:tcW w:w="576" w:type="pct"/>
                  <w:vMerge w:val="continue"/>
                  <w:shd w:val="clear" w:color="auto" w:fill="auto"/>
                  <w:noWrap/>
                  <w:vAlign w:val="center"/>
                </w:tcPr>
                <w:p w14:paraId="1C7086D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r>
            <w:tr w14:paraId="35800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0AFB71F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25</w:t>
                  </w:r>
                </w:p>
              </w:tc>
              <w:tc>
                <w:tcPr>
                  <w:tcW w:w="650" w:type="pct"/>
                  <w:shd w:val="clear" w:color="auto" w:fill="auto"/>
                  <w:noWrap/>
                  <w:vAlign w:val="center"/>
                </w:tcPr>
                <w:p w14:paraId="797A726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烘箱</w:t>
                  </w:r>
                </w:p>
              </w:tc>
              <w:tc>
                <w:tcPr>
                  <w:tcW w:w="786" w:type="pct"/>
                  <w:shd w:val="clear" w:color="auto" w:fill="auto"/>
                  <w:vAlign w:val="center"/>
                </w:tcPr>
                <w:p w14:paraId="3F87588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V1110</w:t>
                  </w:r>
                </w:p>
              </w:tc>
              <w:tc>
                <w:tcPr>
                  <w:tcW w:w="1481" w:type="pct"/>
                  <w:shd w:val="clear" w:color="auto" w:fill="auto"/>
                  <w:vAlign w:val="center"/>
                </w:tcPr>
                <w:p w14:paraId="469BC86B">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L3m*W1.5m*H1.7m，带蒸汽盘管、电动推杆，碳钢</w:t>
                  </w:r>
                </w:p>
              </w:tc>
              <w:tc>
                <w:tcPr>
                  <w:tcW w:w="314" w:type="pct"/>
                  <w:vMerge w:val="continue"/>
                  <w:shd w:val="clear" w:color="auto" w:fill="auto"/>
                  <w:vAlign w:val="center"/>
                </w:tcPr>
                <w:p w14:paraId="6C2797A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5DA7937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384" w:type="pct"/>
                  <w:shd w:val="clear" w:color="auto" w:fill="auto"/>
                  <w:noWrap/>
                  <w:vAlign w:val="center"/>
                </w:tcPr>
                <w:p w14:paraId="517A9B9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台</w:t>
                  </w:r>
                </w:p>
              </w:tc>
              <w:tc>
                <w:tcPr>
                  <w:tcW w:w="576" w:type="pct"/>
                  <w:vMerge w:val="restart"/>
                  <w:shd w:val="clear" w:color="auto" w:fill="auto"/>
                  <w:noWrap/>
                  <w:vAlign w:val="center"/>
                </w:tcPr>
                <w:p w14:paraId="3D89A75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凝固油脂</w:t>
                  </w:r>
                  <w:r>
                    <w:rPr>
                      <w:rFonts w:hint="eastAsia" w:ascii="宋体" w:hAnsi="宋体" w:cs="宋体"/>
                      <w:color w:val="auto"/>
                      <w:sz w:val="21"/>
                      <w:szCs w:val="21"/>
                      <w:lang w:val="en-US" w:eastAsia="zh-CN"/>
                    </w:rPr>
                    <w:t>（老油）</w:t>
                  </w:r>
                  <w:r>
                    <w:rPr>
                      <w:rFonts w:hint="eastAsia" w:ascii="宋体" w:hAnsi="宋体" w:eastAsia="宋体" w:cs="宋体"/>
                      <w:color w:val="auto"/>
                      <w:sz w:val="21"/>
                      <w:szCs w:val="21"/>
                      <w:lang w:val="en-US" w:eastAsia="zh-CN"/>
                    </w:rPr>
                    <w:t>加热卸料</w:t>
                  </w:r>
                </w:p>
              </w:tc>
            </w:tr>
            <w:tr w14:paraId="41943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4576052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26</w:t>
                  </w:r>
                </w:p>
              </w:tc>
              <w:tc>
                <w:tcPr>
                  <w:tcW w:w="650" w:type="pct"/>
                  <w:shd w:val="clear" w:color="auto" w:fill="auto"/>
                  <w:noWrap/>
                  <w:vAlign w:val="center"/>
                </w:tcPr>
                <w:p w14:paraId="198BE9A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老油卸料泵</w:t>
                  </w:r>
                </w:p>
              </w:tc>
              <w:tc>
                <w:tcPr>
                  <w:tcW w:w="786" w:type="pct"/>
                  <w:shd w:val="clear" w:color="auto" w:fill="auto"/>
                  <w:vAlign w:val="center"/>
                </w:tcPr>
                <w:p w14:paraId="14A185E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b/>
                      <w:bCs/>
                      <w:color w:val="auto"/>
                      <w:sz w:val="21"/>
                      <w:szCs w:val="21"/>
                      <w:lang w:val="en-US" w:eastAsia="zh-CN"/>
                    </w:rPr>
                  </w:pPr>
                  <w:r>
                    <w:rPr>
                      <w:rFonts w:hint="eastAsia" w:ascii="宋体" w:hAnsi="宋体" w:cs="宋体"/>
                      <w:color w:val="auto"/>
                      <w:sz w:val="21"/>
                      <w:szCs w:val="21"/>
                      <w:lang w:val="en-US" w:eastAsia="zh-CN"/>
                    </w:rPr>
                    <w:t>P1110</w:t>
                  </w:r>
                </w:p>
              </w:tc>
              <w:tc>
                <w:tcPr>
                  <w:tcW w:w="1481" w:type="pct"/>
                  <w:shd w:val="clear" w:color="auto" w:fill="auto"/>
                  <w:vAlign w:val="center"/>
                </w:tcPr>
                <w:p w14:paraId="3D0D0774">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H=15m，N=4KW，过流SS304</w:t>
                  </w:r>
                </w:p>
              </w:tc>
              <w:tc>
                <w:tcPr>
                  <w:tcW w:w="314" w:type="pct"/>
                  <w:vMerge w:val="continue"/>
                  <w:shd w:val="clear" w:color="auto" w:fill="auto"/>
                  <w:vAlign w:val="center"/>
                </w:tcPr>
                <w:p w14:paraId="0212E31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132B292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384" w:type="pct"/>
                  <w:shd w:val="clear" w:color="auto" w:fill="auto"/>
                  <w:noWrap/>
                  <w:vAlign w:val="center"/>
                </w:tcPr>
                <w:p w14:paraId="717DC97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台</w:t>
                  </w:r>
                </w:p>
              </w:tc>
              <w:tc>
                <w:tcPr>
                  <w:tcW w:w="576" w:type="pct"/>
                  <w:vMerge w:val="continue"/>
                  <w:shd w:val="clear" w:color="auto" w:fill="auto"/>
                  <w:noWrap/>
                  <w:vAlign w:val="center"/>
                </w:tcPr>
                <w:p w14:paraId="31F5A1A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r>
            <w:tr w14:paraId="60001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2407716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27</w:t>
                  </w:r>
                </w:p>
              </w:tc>
              <w:tc>
                <w:tcPr>
                  <w:tcW w:w="650" w:type="pct"/>
                  <w:shd w:val="clear" w:color="auto" w:fill="auto"/>
                  <w:noWrap/>
                  <w:vAlign w:val="center"/>
                </w:tcPr>
                <w:p w14:paraId="13A1FEB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热水箱（冷凝水箱）</w:t>
                  </w:r>
                </w:p>
              </w:tc>
              <w:tc>
                <w:tcPr>
                  <w:tcW w:w="786" w:type="pct"/>
                  <w:shd w:val="clear" w:color="auto" w:fill="auto"/>
                  <w:vAlign w:val="center"/>
                </w:tcPr>
                <w:p w14:paraId="037297C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V1108</w:t>
                  </w:r>
                </w:p>
              </w:tc>
              <w:tc>
                <w:tcPr>
                  <w:tcW w:w="1481" w:type="pct"/>
                  <w:shd w:val="clear" w:color="auto" w:fill="auto"/>
                  <w:vAlign w:val="center"/>
                </w:tcPr>
                <w:p w14:paraId="0EA6CF9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8立方，碳钢</w:t>
                  </w:r>
                </w:p>
              </w:tc>
              <w:tc>
                <w:tcPr>
                  <w:tcW w:w="314" w:type="pct"/>
                  <w:vMerge w:val="continue"/>
                  <w:shd w:val="clear" w:color="auto" w:fill="auto"/>
                  <w:vAlign w:val="center"/>
                </w:tcPr>
                <w:p w14:paraId="7DB368B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6B7508B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384" w:type="pct"/>
                  <w:shd w:val="clear" w:color="auto" w:fill="auto"/>
                  <w:noWrap/>
                  <w:vAlign w:val="center"/>
                </w:tcPr>
                <w:p w14:paraId="307C0D9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台</w:t>
                  </w:r>
                </w:p>
              </w:tc>
              <w:tc>
                <w:tcPr>
                  <w:tcW w:w="576" w:type="pct"/>
                  <w:vMerge w:val="restart"/>
                  <w:shd w:val="clear" w:color="auto" w:fill="auto"/>
                  <w:noWrap/>
                  <w:vAlign w:val="center"/>
                </w:tcPr>
                <w:p w14:paraId="258C483A">
                  <w:pPr>
                    <w:keepNext w:val="0"/>
                    <w:keepLines w:val="0"/>
                    <w:pageBreakBefore w:val="0"/>
                    <w:tabs>
                      <w:tab w:val="left" w:pos="207"/>
                    </w:tabs>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蒸汽冷凝水收集利用</w:t>
                  </w:r>
                </w:p>
              </w:tc>
            </w:tr>
            <w:tr w14:paraId="19021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1" w:type="pct"/>
                  <w:shd w:val="clear" w:color="auto" w:fill="auto"/>
                  <w:noWrap/>
                  <w:vAlign w:val="center"/>
                </w:tcPr>
                <w:p w14:paraId="49D7FC7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28</w:t>
                  </w:r>
                </w:p>
              </w:tc>
              <w:tc>
                <w:tcPr>
                  <w:tcW w:w="650" w:type="pct"/>
                  <w:shd w:val="clear" w:color="auto" w:fill="auto"/>
                  <w:noWrap/>
                  <w:vAlign w:val="center"/>
                </w:tcPr>
                <w:p w14:paraId="45AE221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热水泵</w:t>
                  </w:r>
                </w:p>
              </w:tc>
              <w:tc>
                <w:tcPr>
                  <w:tcW w:w="786" w:type="pct"/>
                  <w:shd w:val="clear" w:color="auto" w:fill="auto"/>
                  <w:vAlign w:val="center"/>
                </w:tcPr>
                <w:p w14:paraId="0E5F7D4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P1107</w:t>
                  </w:r>
                </w:p>
              </w:tc>
              <w:tc>
                <w:tcPr>
                  <w:tcW w:w="1481" w:type="pct"/>
                  <w:shd w:val="clear" w:color="auto" w:fill="auto"/>
                  <w:vAlign w:val="center"/>
                </w:tcPr>
                <w:p w14:paraId="55145A7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Q=10m³/h，H=20m，N=4KW，过流SS304</w:t>
                  </w:r>
                </w:p>
              </w:tc>
              <w:tc>
                <w:tcPr>
                  <w:tcW w:w="314" w:type="pct"/>
                  <w:vMerge w:val="continue"/>
                  <w:shd w:val="clear" w:color="auto" w:fill="auto"/>
                  <w:vAlign w:val="center"/>
                </w:tcPr>
                <w:p w14:paraId="1AA11F5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473C58D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384" w:type="pct"/>
                  <w:shd w:val="clear" w:color="auto" w:fill="auto"/>
                  <w:noWrap/>
                  <w:vAlign w:val="center"/>
                </w:tcPr>
                <w:p w14:paraId="0C8E2BE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台</w:t>
                  </w:r>
                </w:p>
              </w:tc>
              <w:tc>
                <w:tcPr>
                  <w:tcW w:w="576" w:type="pct"/>
                  <w:vMerge w:val="continue"/>
                  <w:shd w:val="clear" w:color="auto" w:fill="auto"/>
                  <w:noWrap/>
                  <w:vAlign w:val="center"/>
                </w:tcPr>
                <w:p w14:paraId="23902C7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r>
            <w:tr w14:paraId="2AF88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5BCADFD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二</w:t>
                  </w:r>
                </w:p>
              </w:tc>
              <w:tc>
                <w:tcPr>
                  <w:tcW w:w="4568" w:type="pct"/>
                  <w:gridSpan w:val="7"/>
                  <w:shd w:val="clear" w:color="auto" w:fill="auto"/>
                  <w:noWrap/>
                  <w:vAlign w:val="center"/>
                </w:tcPr>
                <w:p w14:paraId="4C28839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餐厨垃圾</w:t>
                  </w:r>
                  <w:r>
                    <w:rPr>
                      <w:rFonts w:hint="eastAsia" w:ascii="宋体" w:hAnsi="宋体" w:cs="宋体"/>
                      <w:color w:val="auto"/>
                      <w:sz w:val="21"/>
                      <w:szCs w:val="21"/>
                      <w:lang w:val="en-US" w:eastAsia="zh-CN"/>
                    </w:rPr>
                    <w:t>初加工</w:t>
                  </w:r>
                  <w:r>
                    <w:rPr>
                      <w:rFonts w:hint="eastAsia" w:ascii="宋体" w:hAnsi="宋体" w:eastAsia="宋体" w:cs="宋体"/>
                      <w:color w:val="auto"/>
                      <w:sz w:val="21"/>
                      <w:szCs w:val="21"/>
                      <w:lang w:val="en-US" w:eastAsia="zh-CN"/>
                    </w:rPr>
                    <w:t>设备清单</w:t>
                  </w:r>
                </w:p>
              </w:tc>
            </w:tr>
            <w:tr w14:paraId="69CBC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3B7D11C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650" w:type="pct"/>
                  <w:shd w:val="clear" w:color="auto" w:fill="auto"/>
                  <w:noWrap/>
                  <w:vAlign w:val="center"/>
                </w:tcPr>
                <w:p w14:paraId="22C0E20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接料斗</w:t>
                  </w:r>
                </w:p>
              </w:tc>
              <w:tc>
                <w:tcPr>
                  <w:tcW w:w="786" w:type="pct"/>
                  <w:shd w:val="clear" w:color="auto" w:fill="auto"/>
                  <w:vAlign w:val="center"/>
                </w:tcPr>
                <w:p w14:paraId="27C8B97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V2101</w:t>
                  </w:r>
                </w:p>
              </w:tc>
              <w:tc>
                <w:tcPr>
                  <w:tcW w:w="1481" w:type="pct"/>
                  <w:shd w:val="clear" w:color="auto" w:fill="auto"/>
                  <w:vAlign w:val="center"/>
                </w:tcPr>
                <w:p w14:paraId="7B33681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4.2m*3.2m*1.5m,SS304</w:t>
                  </w:r>
                </w:p>
              </w:tc>
              <w:tc>
                <w:tcPr>
                  <w:tcW w:w="314" w:type="pct"/>
                  <w:vMerge w:val="restart"/>
                  <w:shd w:val="clear" w:color="auto" w:fill="auto"/>
                  <w:vAlign w:val="center"/>
                </w:tcPr>
                <w:p w14:paraId="0BEC413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highlight w:val="none"/>
                      <w:lang w:val="en-US" w:eastAsia="zh-CN"/>
                    </w:rPr>
                    <w:t>厂房一</w:t>
                  </w:r>
                </w:p>
              </w:tc>
              <w:tc>
                <w:tcPr>
                  <w:tcW w:w="375" w:type="pct"/>
                  <w:shd w:val="clear" w:color="auto" w:fill="auto"/>
                  <w:noWrap/>
                  <w:vAlign w:val="center"/>
                </w:tcPr>
                <w:p w14:paraId="2F8ADF1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p>
              </w:tc>
              <w:tc>
                <w:tcPr>
                  <w:tcW w:w="384" w:type="pct"/>
                  <w:shd w:val="clear" w:color="auto" w:fill="auto"/>
                  <w:noWrap/>
                  <w:vAlign w:val="center"/>
                </w:tcPr>
                <w:p w14:paraId="00547EA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台</w:t>
                  </w:r>
                </w:p>
              </w:tc>
              <w:tc>
                <w:tcPr>
                  <w:tcW w:w="576" w:type="pct"/>
                  <w:vMerge w:val="restart"/>
                  <w:shd w:val="clear" w:color="auto" w:fill="auto"/>
                  <w:noWrap/>
                  <w:vAlign w:val="center"/>
                </w:tcPr>
                <w:p w14:paraId="7F3FE1E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接料</w:t>
                  </w:r>
                </w:p>
              </w:tc>
            </w:tr>
            <w:tr w14:paraId="62620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25689F0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650" w:type="pct"/>
                  <w:shd w:val="clear" w:color="auto" w:fill="auto"/>
                  <w:noWrap/>
                  <w:vAlign w:val="center"/>
                </w:tcPr>
                <w:p w14:paraId="3E2CB6C0">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eastAsia" w:ascii="宋体" w:hAnsi="宋体" w:eastAsia="宋体" w:cs="宋体"/>
                      <w:color w:val="auto"/>
                      <w:sz w:val="21"/>
                      <w:szCs w:val="21"/>
                    </w:rPr>
                  </w:pPr>
                  <w:r>
                    <w:rPr>
                      <w:rFonts w:hint="eastAsia"/>
                      <w:color w:val="auto"/>
                    </w:rPr>
                    <w:t>配套密封房</w:t>
                  </w:r>
                </w:p>
              </w:tc>
              <w:tc>
                <w:tcPr>
                  <w:tcW w:w="786" w:type="pct"/>
                  <w:shd w:val="clear" w:color="auto" w:fill="auto"/>
                  <w:vAlign w:val="center"/>
                </w:tcPr>
                <w:p w14:paraId="6C5E8513">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5BEDE64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rPr>
                  </w:pPr>
                  <w:r>
                    <w:rPr>
                      <w:rFonts w:hint="eastAsia" w:ascii="宋体" w:hAnsi="宋体" w:eastAsia="宋体" w:cs="宋体"/>
                      <w:color w:val="auto"/>
                      <w:sz w:val="21"/>
                      <w:szCs w:val="21"/>
                    </w:rPr>
                    <w:t>自动感应电动卷帘门，安全保护装置、透视窗</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密封房下部1.5m面板材质SS304</w:t>
                  </w:r>
                </w:p>
              </w:tc>
              <w:tc>
                <w:tcPr>
                  <w:tcW w:w="314" w:type="pct"/>
                  <w:vMerge w:val="continue"/>
                  <w:shd w:val="clear" w:color="auto" w:fill="auto"/>
                  <w:vAlign w:val="center"/>
                </w:tcPr>
                <w:p w14:paraId="00EF698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0BE89E7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p>
              </w:tc>
              <w:tc>
                <w:tcPr>
                  <w:tcW w:w="384" w:type="pct"/>
                  <w:shd w:val="clear" w:color="auto" w:fill="auto"/>
                  <w:noWrap/>
                  <w:vAlign w:val="center"/>
                </w:tcPr>
                <w:p w14:paraId="505D369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576" w:type="pct"/>
                  <w:vMerge w:val="continue"/>
                  <w:shd w:val="clear" w:color="auto" w:fill="auto"/>
                  <w:noWrap/>
                  <w:vAlign w:val="center"/>
                </w:tcPr>
                <w:p w14:paraId="57A24F9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r>
            <w:tr w14:paraId="173F4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31" w:type="pct"/>
                  <w:vMerge w:val="restart"/>
                  <w:shd w:val="clear" w:color="auto" w:fill="auto"/>
                  <w:noWrap/>
                  <w:vAlign w:val="center"/>
                </w:tcPr>
                <w:p w14:paraId="435377F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650" w:type="pct"/>
                  <w:vMerge w:val="restart"/>
                  <w:shd w:val="clear" w:color="auto" w:fill="auto"/>
                  <w:noWrap/>
                  <w:vAlign w:val="center"/>
                </w:tcPr>
                <w:p w14:paraId="722CF3F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撕碎机进料螺旋输送机</w:t>
                  </w:r>
                </w:p>
              </w:tc>
              <w:tc>
                <w:tcPr>
                  <w:tcW w:w="786" w:type="pct"/>
                  <w:shd w:val="clear" w:color="auto" w:fill="auto"/>
                  <w:vAlign w:val="center"/>
                </w:tcPr>
                <w:p w14:paraId="0BC5DA7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S2101A</w:t>
                  </w:r>
                </w:p>
              </w:tc>
              <w:tc>
                <w:tcPr>
                  <w:tcW w:w="1481" w:type="pct"/>
                  <w:shd w:val="clear" w:color="auto" w:fill="auto"/>
                  <w:vAlign w:val="center"/>
                </w:tcPr>
                <w:p w14:paraId="626A767A">
                  <w:pPr>
                    <w:keepNext w:val="0"/>
                    <w:keepLines w:val="0"/>
                    <w:widowControl/>
                    <w:suppressLineNumbers w:val="0"/>
                    <w:jc w:val="center"/>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无轴双螺旋输送</w:t>
                  </w:r>
                  <w:r>
                    <w:rPr>
                      <w:rFonts w:hint="default" w:ascii="Times New Roman" w:hAnsi="Times New Roman" w:eastAsia="宋体" w:cs="Times New Roman"/>
                      <w:i w:val="0"/>
                      <w:iCs w:val="0"/>
                      <w:color w:val="auto"/>
                      <w:kern w:val="0"/>
                      <w:sz w:val="21"/>
                      <w:szCs w:val="21"/>
                      <w:u w:val="none"/>
                      <w:lang w:val="en-US" w:eastAsia="zh-CN" w:bidi="ar"/>
                    </w:rPr>
                    <w:t>φ3</w:t>
                  </w:r>
                  <w:r>
                    <w:rPr>
                      <w:rFonts w:ascii="Calibri" w:hAnsi="Calibri" w:eastAsia="宋体" w:cs="Calibri"/>
                      <w:i w:val="0"/>
                      <w:iCs w:val="0"/>
                      <w:color w:val="auto"/>
                      <w:kern w:val="0"/>
                      <w:sz w:val="21"/>
                      <w:szCs w:val="21"/>
                      <w:u w:val="none"/>
                      <w:lang w:val="en-US" w:eastAsia="zh-CN" w:bidi="ar"/>
                    </w:rPr>
                    <w:t>00*2*9000mm</w:t>
                  </w:r>
                  <w:r>
                    <w:rPr>
                      <w:rFonts w:hint="eastAsia" w:ascii="宋体" w:hAnsi="宋体" w:eastAsia="宋体" w:cs="宋体"/>
                      <w:i w:val="0"/>
                      <w:iCs w:val="0"/>
                      <w:color w:val="auto"/>
                      <w:kern w:val="0"/>
                      <w:sz w:val="21"/>
                      <w:szCs w:val="21"/>
                      <w:u w:val="none"/>
                      <w:lang w:val="en-US" w:eastAsia="zh-CN" w:bidi="ar"/>
                    </w:rPr>
                    <w:t>，功率</w:t>
                  </w:r>
                  <w:r>
                    <w:rPr>
                      <w:rFonts w:ascii="Calibri" w:hAnsi="Calibri" w:eastAsia="宋体" w:cs="Calibri"/>
                      <w:i w:val="0"/>
                      <w:iCs w:val="0"/>
                      <w:color w:val="auto"/>
                      <w:kern w:val="0"/>
                      <w:sz w:val="21"/>
                      <w:szCs w:val="21"/>
                      <w:u w:val="none"/>
                      <w:lang w:val="en-US" w:eastAsia="zh-CN" w:bidi="ar"/>
                    </w:rPr>
                    <w:t>11KW*2</w:t>
                  </w:r>
                  <w:r>
                    <w:rPr>
                      <w:rFonts w:hint="eastAsia" w:ascii="宋体" w:hAnsi="宋体" w:eastAsia="宋体" w:cs="宋体"/>
                      <w:i w:val="0"/>
                      <w:iCs w:val="0"/>
                      <w:color w:val="auto"/>
                      <w:kern w:val="0"/>
                      <w:sz w:val="21"/>
                      <w:szCs w:val="21"/>
                      <w:u w:val="none"/>
                      <w:lang w:val="en-US" w:eastAsia="zh-CN" w:bidi="ar"/>
                    </w:rPr>
                    <w:t>，带沥水作用，孔径</w:t>
                  </w:r>
                  <w:r>
                    <w:rPr>
                      <w:rFonts w:ascii="Calibri" w:hAnsi="Calibri" w:eastAsia="宋体" w:cs="Calibri"/>
                      <w:i w:val="0"/>
                      <w:iCs w:val="0"/>
                      <w:color w:val="auto"/>
                      <w:kern w:val="0"/>
                      <w:sz w:val="21"/>
                      <w:szCs w:val="21"/>
                      <w:u w:val="none"/>
                      <w:lang w:val="en-US" w:eastAsia="zh-CN" w:bidi="ar"/>
                    </w:rPr>
                    <w:t>8mm</w:t>
                  </w:r>
                  <w:r>
                    <w:rPr>
                      <w:rFonts w:hint="eastAsia" w:ascii="宋体" w:hAnsi="宋体" w:eastAsia="宋体" w:cs="宋体"/>
                      <w:i w:val="0"/>
                      <w:iCs w:val="0"/>
                      <w:color w:val="auto"/>
                      <w:kern w:val="0"/>
                      <w:sz w:val="21"/>
                      <w:szCs w:val="21"/>
                      <w:u w:val="none"/>
                      <w:lang w:val="en-US" w:eastAsia="zh-CN" w:bidi="ar"/>
                    </w:rPr>
                    <w:t>，25°</w:t>
                  </w:r>
                </w:p>
              </w:tc>
              <w:tc>
                <w:tcPr>
                  <w:tcW w:w="314" w:type="pct"/>
                  <w:vMerge w:val="continue"/>
                  <w:shd w:val="clear" w:color="auto" w:fill="auto"/>
                  <w:vAlign w:val="center"/>
                </w:tcPr>
                <w:p w14:paraId="0EC8905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vMerge w:val="restart"/>
                  <w:shd w:val="clear" w:color="auto" w:fill="auto"/>
                  <w:noWrap/>
                  <w:vAlign w:val="center"/>
                </w:tcPr>
                <w:p w14:paraId="23DB455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384" w:type="pct"/>
                  <w:vMerge w:val="restart"/>
                  <w:shd w:val="clear" w:color="auto" w:fill="auto"/>
                  <w:noWrap/>
                  <w:vAlign w:val="center"/>
                </w:tcPr>
                <w:p w14:paraId="7BBCD9E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576" w:type="pct"/>
                  <w:vMerge w:val="restart"/>
                  <w:shd w:val="clear" w:color="auto" w:fill="auto"/>
                  <w:noWrap/>
                  <w:vAlign w:val="center"/>
                </w:tcPr>
                <w:p w14:paraId="085151A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螺旋输送</w:t>
                  </w:r>
                </w:p>
              </w:tc>
            </w:tr>
            <w:tr w14:paraId="0F03E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31" w:type="pct"/>
                  <w:vMerge w:val="continue"/>
                  <w:shd w:val="clear" w:color="auto" w:fill="auto"/>
                  <w:noWrap/>
                  <w:vAlign w:val="center"/>
                </w:tcPr>
                <w:p w14:paraId="7EF0827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c>
                <w:tcPr>
                  <w:tcW w:w="650" w:type="pct"/>
                  <w:vMerge w:val="continue"/>
                  <w:shd w:val="clear" w:color="auto" w:fill="auto"/>
                  <w:noWrap/>
                  <w:vAlign w:val="center"/>
                </w:tcPr>
                <w:p w14:paraId="4330925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p>
              </w:tc>
              <w:tc>
                <w:tcPr>
                  <w:tcW w:w="786" w:type="pct"/>
                  <w:shd w:val="clear" w:color="auto" w:fill="auto"/>
                  <w:vAlign w:val="center"/>
                </w:tcPr>
                <w:p w14:paraId="6DD282A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S2101B</w:t>
                  </w:r>
                </w:p>
              </w:tc>
              <w:tc>
                <w:tcPr>
                  <w:tcW w:w="1481" w:type="pct"/>
                  <w:shd w:val="clear" w:color="auto" w:fill="auto"/>
                  <w:vAlign w:val="center"/>
                </w:tcPr>
                <w:p w14:paraId="0E5A6ABE">
                  <w:pPr>
                    <w:keepNext w:val="0"/>
                    <w:keepLines w:val="0"/>
                    <w:widowControl/>
                    <w:suppressLineNumbers w:val="0"/>
                    <w:jc w:val="center"/>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无轴螺旋输送</w:t>
                  </w:r>
                  <w:r>
                    <w:rPr>
                      <w:rFonts w:hint="default" w:ascii="Times New Roman" w:hAnsi="Times New Roman" w:eastAsia="宋体" w:cs="Times New Roman"/>
                      <w:i w:val="0"/>
                      <w:iCs w:val="0"/>
                      <w:color w:val="auto"/>
                      <w:kern w:val="0"/>
                      <w:sz w:val="21"/>
                      <w:szCs w:val="21"/>
                      <w:u w:val="none"/>
                      <w:lang w:val="en-US" w:eastAsia="zh-CN" w:bidi="ar"/>
                    </w:rPr>
                    <w:t>φ</w:t>
                  </w:r>
                  <w:r>
                    <w:rPr>
                      <w:rFonts w:hint="eastAsia" w:ascii="宋体" w:hAnsi="宋体" w:eastAsia="宋体" w:cs="宋体"/>
                      <w:i w:val="0"/>
                      <w:iCs w:val="0"/>
                      <w:color w:val="auto"/>
                      <w:kern w:val="0"/>
                      <w:sz w:val="21"/>
                      <w:szCs w:val="21"/>
                      <w:u w:val="none"/>
                      <w:lang w:val="en-US" w:eastAsia="zh-CN" w:bidi="ar"/>
                    </w:rPr>
                    <w:t>4</w:t>
                  </w:r>
                  <w:r>
                    <w:rPr>
                      <w:rFonts w:ascii="Calibri" w:hAnsi="Calibri" w:eastAsia="宋体" w:cs="Calibri"/>
                      <w:i w:val="0"/>
                      <w:iCs w:val="0"/>
                      <w:color w:val="auto"/>
                      <w:kern w:val="0"/>
                      <w:sz w:val="21"/>
                      <w:szCs w:val="21"/>
                      <w:u w:val="none"/>
                      <w:lang w:val="en-US" w:eastAsia="zh-CN" w:bidi="ar"/>
                    </w:rPr>
                    <w:t>00*9000mm</w:t>
                  </w:r>
                  <w:r>
                    <w:rPr>
                      <w:rFonts w:hint="eastAsia" w:ascii="宋体" w:hAnsi="宋体" w:eastAsia="宋体" w:cs="宋体"/>
                      <w:i w:val="0"/>
                      <w:iCs w:val="0"/>
                      <w:color w:val="auto"/>
                      <w:kern w:val="0"/>
                      <w:sz w:val="21"/>
                      <w:szCs w:val="21"/>
                      <w:u w:val="none"/>
                      <w:lang w:val="en-US" w:eastAsia="zh-CN" w:bidi="ar"/>
                    </w:rPr>
                    <w:t>，功率</w:t>
                  </w:r>
                  <w:r>
                    <w:rPr>
                      <w:rFonts w:ascii="Calibri" w:hAnsi="Calibri" w:eastAsia="宋体" w:cs="Calibri"/>
                      <w:i w:val="0"/>
                      <w:iCs w:val="0"/>
                      <w:color w:val="auto"/>
                      <w:kern w:val="0"/>
                      <w:sz w:val="21"/>
                      <w:szCs w:val="21"/>
                      <w:u w:val="none"/>
                      <w:lang w:val="en-US" w:eastAsia="zh-CN" w:bidi="ar"/>
                    </w:rPr>
                    <w:t>11KW</w:t>
                  </w:r>
                  <w:r>
                    <w:rPr>
                      <w:rFonts w:hint="eastAsia" w:ascii="宋体" w:hAnsi="宋体" w:eastAsia="宋体" w:cs="宋体"/>
                      <w:i w:val="0"/>
                      <w:iCs w:val="0"/>
                      <w:color w:val="auto"/>
                      <w:kern w:val="0"/>
                      <w:sz w:val="21"/>
                      <w:szCs w:val="21"/>
                      <w:u w:val="none"/>
                      <w:lang w:val="en-US" w:eastAsia="zh-CN" w:bidi="ar"/>
                    </w:rPr>
                    <w:t>，带沥水作用，孔径</w:t>
                  </w:r>
                  <w:r>
                    <w:rPr>
                      <w:rFonts w:ascii="Calibri" w:hAnsi="Calibri" w:eastAsia="宋体" w:cs="Calibri"/>
                      <w:i w:val="0"/>
                      <w:iCs w:val="0"/>
                      <w:color w:val="auto"/>
                      <w:kern w:val="0"/>
                      <w:sz w:val="21"/>
                      <w:szCs w:val="21"/>
                      <w:u w:val="none"/>
                      <w:lang w:val="en-US" w:eastAsia="zh-CN" w:bidi="ar"/>
                    </w:rPr>
                    <w:t>8mm</w:t>
                  </w:r>
                  <w:r>
                    <w:rPr>
                      <w:rFonts w:hint="eastAsia" w:ascii="宋体" w:hAnsi="宋体" w:eastAsia="宋体" w:cs="宋体"/>
                      <w:i w:val="0"/>
                      <w:iCs w:val="0"/>
                      <w:color w:val="auto"/>
                      <w:kern w:val="0"/>
                      <w:sz w:val="21"/>
                      <w:szCs w:val="21"/>
                      <w:u w:val="none"/>
                      <w:lang w:val="en-US" w:eastAsia="zh-CN" w:bidi="ar"/>
                    </w:rPr>
                    <w:t>，25°</w:t>
                  </w:r>
                </w:p>
              </w:tc>
              <w:tc>
                <w:tcPr>
                  <w:tcW w:w="314" w:type="pct"/>
                  <w:vMerge w:val="continue"/>
                  <w:shd w:val="clear" w:color="auto" w:fill="auto"/>
                  <w:vAlign w:val="center"/>
                </w:tcPr>
                <w:p w14:paraId="2A782F4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vMerge w:val="continue"/>
                  <w:shd w:val="clear" w:color="auto" w:fill="auto"/>
                  <w:noWrap/>
                  <w:vAlign w:val="center"/>
                </w:tcPr>
                <w:p w14:paraId="1A8C898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c>
                <w:tcPr>
                  <w:tcW w:w="384" w:type="pct"/>
                  <w:vMerge w:val="continue"/>
                  <w:shd w:val="clear" w:color="auto" w:fill="auto"/>
                  <w:noWrap/>
                  <w:vAlign w:val="center"/>
                </w:tcPr>
                <w:p w14:paraId="45922FD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576" w:type="pct"/>
                  <w:vMerge w:val="continue"/>
                  <w:shd w:val="clear" w:color="auto" w:fill="auto"/>
                  <w:noWrap/>
                  <w:vAlign w:val="center"/>
                </w:tcPr>
                <w:p w14:paraId="7AE40E5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p>
              </w:tc>
            </w:tr>
            <w:tr w14:paraId="55C7D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2788BAF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4</w:t>
                  </w:r>
                </w:p>
              </w:tc>
              <w:tc>
                <w:tcPr>
                  <w:tcW w:w="650" w:type="pct"/>
                  <w:shd w:val="clear" w:color="auto" w:fill="auto"/>
                  <w:noWrap/>
                  <w:vAlign w:val="center"/>
                </w:tcPr>
                <w:p w14:paraId="29CA152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撕碎机</w:t>
                  </w:r>
                </w:p>
              </w:tc>
              <w:tc>
                <w:tcPr>
                  <w:tcW w:w="786" w:type="pct"/>
                  <w:shd w:val="clear" w:color="auto" w:fill="auto"/>
                  <w:vAlign w:val="center"/>
                </w:tcPr>
                <w:p w14:paraId="110F301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S2102</w:t>
                  </w:r>
                </w:p>
              </w:tc>
              <w:tc>
                <w:tcPr>
                  <w:tcW w:w="1481" w:type="pct"/>
                  <w:shd w:val="clear" w:color="auto" w:fill="auto"/>
                  <w:vAlign w:val="center"/>
                </w:tcPr>
                <w:p w14:paraId="3676173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出料粒度≤150mm，动刀直径≥315mm，动刀厚度≥20mm</w:t>
                  </w:r>
                </w:p>
              </w:tc>
              <w:tc>
                <w:tcPr>
                  <w:tcW w:w="314" w:type="pct"/>
                  <w:vMerge w:val="continue"/>
                  <w:shd w:val="clear" w:color="auto" w:fill="auto"/>
                  <w:vAlign w:val="center"/>
                </w:tcPr>
                <w:p w14:paraId="03F38E6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02C1FE0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384" w:type="pct"/>
                  <w:shd w:val="clear" w:color="auto" w:fill="auto"/>
                  <w:noWrap/>
                  <w:vAlign w:val="center"/>
                </w:tcPr>
                <w:p w14:paraId="1389A56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576" w:type="pct"/>
                  <w:shd w:val="clear" w:color="auto" w:fill="auto"/>
                  <w:noWrap/>
                  <w:vAlign w:val="center"/>
                </w:tcPr>
                <w:p w14:paraId="62173DD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破碎</w:t>
                  </w:r>
                </w:p>
              </w:tc>
            </w:tr>
            <w:tr w14:paraId="4D20A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462B1E9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5</w:t>
                  </w:r>
                </w:p>
              </w:tc>
              <w:tc>
                <w:tcPr>
                  <w:tcW w:w="650" w:type="pct"/>
                  <w:shd w:val="clear" w:color="auto" w:fill="auto"/>
                  <w:noWrap/>
                  <w:vAlign w:val="center"/>
                </w:tcPr>
                <w:p w14:paraId="402B91A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挤压机进料螺旋</w:t>
                  </w:r>
                </w:p>
              </w:tc>
              <w:tc>
                <w:tcPr>
                  <w:tcW w:w="786" w:type="pct"/>
                  <w:shd w:val="clear" w:color="auto" w:fill="auto"/>
                  <w:vAlign w:val="center"/>
                </w:tcPr>
                <w:p w14:paraId="6540D88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highlight w:val="none"/>
                      <w:lang w:val="en-US" w:eastAsia="zh-CN"/>
                    </w:rPr>
                    <w:t>S2103</w:t>
                  </w:r>
                </w:p>
              </w:tc>
              <w:tc>
                <w:tcPr>
                  <w:tcW w:w="1481" w:type="pct"/>
                  <w:shd w:val="clear" w:color="auto" w:fill="auto"/>
                  <w:vAlign w:val="center"/>
                </w:tcPr>
                <w:p w14:paraId="7BC1A9F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无轴双螺旋输送φ300*2*12500mm，功率11KW*2，带沥水作用，孔径8mm，20°</w:t>
                  </w:r>
                </w:p>
              </w:tc>
              <w:tc>
                <w:tcPr>
                  <w:tcW w:w="314" w:type="pct"/>
                  <w:vMerge w:val="continue"/>
                  <w:shd w:val="clear" w:color="auto" w:fill="auto"/>
                  <w:vAlign w:val="center"/>
                </w:tcPr>
                <w:p w14:paraId="7626953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76D19BA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384" w:type="pct"/>
                  <w:shd w:val="clear" w:color="auto" w:fill="auto"/>
                  <w:noWrap/>
                  <w:vAlign w:val="center"/>
                </w:tcPr>
                <w:p w14:paraId="7BDA080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台</w:t>
                  </w:r>
                </w:p>
              </w:tc>
              <w:tc>
                <w:tcPr>
                  <w:tcW w:w="576" w:type="pct"/>
                  <w:shd w:val="clear" w:color="auto" w:fill="auto"/>
                  <w:noWrap/>
                  <w:vAlign w:val="center"/>
                </w:tcPr>
                <w:p w14:paraId="65FCCB3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螺旋输送</w:t>
                  </w:r>
                </w:p>
              </w:tc>
            </w:tr>
            <w:tr w14:paraId="147DA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417A612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6</w:t>
                  </w:r>
                </w:p>
              </w:tc>
              <w:tc>
                <w:tcPr>
                  <w:tcW w:w="650" w:type="pct"/>
                  <w:shd w:val="clear" w:color="auto" w:fill="auto"/>
                  <w:noWrap/>
                  <w:vAlign w:val="center"/>
                </w:tcPr>
                <w:p w14:paraId="24F2940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挤压机</w:t>
                  </w:r>
                </w:p>
              </w:tc>
              <w:tc>
                <w:tcPr>
                  <w:tcW w:w="786" w:type="pct"/>
                  <w:shd w:val="clear" w:color="auto" w:fill="auto"/>
                  <w:vAlign w:val="center"/>
                </w:tcPr>
                <w:p w14:paraId="52B6AA0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highlight w:val="none"/>
                      <w:lang w:val="en-US" w:eastAsia="zh-CN"/>
                    </w:rPr>
                    <w:t>S2104</w:t>
                  </w:r>
                </w:p>
              </w:tc>
              <w:tc>
                <w:tcPr>
                  <w:tcW w:w="1481" w:type="pct"/>
                  <w:shd w:val="clear" w:color="auto" w:fill="auto"/>
                  <w:vAlign w:val="center"/>
                </w:tcPr>
                <w:p w14:paraId="55F2F81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30KV</w:t>
                  </w:r>
                </w:p>
              </w:tc>
              <w:tc>
                <w:tcPr>
                  <w:tcW w:w="314" w:type="pct"/>
                  <w:vMerge w:val="continue"/>
                  <w:shd w:val="clear" w:color="auto" w:fill="auto"/>
                  <w:vAlign w:val="center"/>
                </w:tcPr>
                <w:p w14:paraId="4047951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4E80891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384" w:type="pct"/>
                  <w:shd w:val="clear" w:color="auto" w:fill="auto"/>
                  <w:noWrap/>
                  <w:vAlign w:val="center"/>
                </w:tcPr>
                <w:p w14:paraId="1EE8260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576" w:type="pct"/>
                  <w:vMerge w:val="restart"/>
                  <w:shd w:val="clear" w:color="auto" w:fill="auto"/>
                  <w:noWrap/>
                  <w:vAlign w:val="center"/>
                </w:tcPr>
                <w:p w14:paraId="3215B37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挤压</w:t>
                  </w:r>
                </w:p>
              </w:tc>
            </w:tr>
            <w:tr w14:paraId="01F48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3C17B60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7</w:t>
                  </w:r>
                </w:p>
              </w:tc>
              <w:tc>
                <w:tcPr>
                  <w:tcW w:w="650" w:type="pct"/>
                  <w:shd w:val="clear" w:color="auto" w:fill="auto"/>
                  <w:noWrap/>
                  <w:vAlign w:val="center"/>
                </w:tcPr>
                <w:p w14:paraId="0FED6F2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挤压机</w:t>
                  </w:r>
                </w:p>
                <w:p w14:paraId="5B6A851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出渣螺旋</w:t>
                  </w:r>
                </w:p>
              </w:tc>
              <w:tc>
                <w:tcPr>
                  <w:tcW w:w="786" w:type="pct"/>
                  <w:shd w:val="clear" w:color="auto" w:fill="auto"/>
                  <w:vAlign w:val="center"/>
                </w:tcPr>
                <w:p w14:paraId="6C306AD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highlight w:val="none"/>
                      <w:lang w:val="en-US" w:eastAsia="zh-CN"/>
                    </w:rPr>
                    <w:t>S2105</w:t>
                  </w:r>
                </w:p>
              </w:tc>
              <w:tc>
                <w:tcPr>
                  <w:tcW w:w="1481" w:type="pct"/>
                  <w:shd w:val="clear" w:color="auto" w:fill="auto"/>
                  <w:vAlign w:val="center"/>
                </w:tcPr>
                <w:p w14:paraId="16A7C6B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Φ</w:t>
                  </w:r>
                  <w:r>
                    <w:rPr>
                      <w:rFonts w:hint="eastAsia" w:ascii="宋体" w:hAnsi="宋体" w:eastAsia="宋体" w:cs="宋体"/>
                      <w:color w:val="auto"/>
                      <w:sz w:val="21"/>
                      <w:szCs w:val="21"/>
                      <w:lang w:val="en-US" w:eastAsia="zh-CN"/>
                    </w:rPr>
                    <w:t>36</w:t>
                  </w:r>
                  <w:r>
                    <w:rPr>
                      <w:rFonts w:hint="eastAsia" w:ascii="宋体" w:hAnsi="宋体" w:eastAsia="宋体" w:cs="宋体"/>
                      <w:color w:val="auto"/>
                      <w:sz w:val="21"/>
                      <w:szCs w:val="21"/>
                    </w:rPr>
                    <w:t>0*2</w:t>
                  </w:r>
                  <w:r>
                    <w:rPr>
                      <w:rFonts w:hint="eastAsia" w:ascii="宋体" w:hAnsi="宋体" w:eastAsia="宋体" w:cs="宋体"/>
                      <w:color w:val="auto"/>
                      <w:sz w:val="21"/>
                      <w:szCs w:val="21"/>
                      <w:lang w:val="en-US" w:eastAsia="zh-CN"/>
                    </w:rPr>
                    <w:t>*9000mm</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rPr>
                    <w:t>功率</w:t>
                  </w:r>
                  <w:r>
                    <w:rPr>
                      <w:rFonts w:hint="eastAsia" w:ascii="宋体" w:hAnsi="宋体" w:eastAsia="宋体" w:cs="宋体"/>
                      <w:color w:val="auto"/>
                      <w:sz w:val="21"/>
                      <w:szCs w:val="21"/>
                      <w:lang w:val="en-US" w:eastAsia="zh-CN"/>
                    </w:rPr>
                    <w:t>7.5</w:t>
                  </w:r>
                  <w:r>
                    <w:rPr>
                      <w:rFonts w:hint="eastAsia" w:ascii="宋体" w:hAnsi="宋体" w:eastAsia="宋体" w:cs="宋体"/>
                      <w:color w:val="auto"/>
                      <w:sz w:val="21"/>
                      <w:szCs w:val="21"/>
                    </w:rPr>
                    <w:t>KW*2</w:t>
                  </w:r>
                </w:p>
              </w:tc>
              <w:tc>
                <w:tcPr>
                  <w:tcW w:w="314" w:type="pct"/>
                  <w:vMerge w:val="continue"/>
                  <w:shd w:val="clear" w:color="auto" w:fill="auto"/>
                  <w:vAlign w:val="center"/>
                </w:tcPr>
                <w:p w14:paraId="63DA18A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7EE1481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384" w:type="pct"/>
                  <w:shd w:val="clear" w:color="auto" w:fill="auto"/>
                  <w:noWrap/>
                  <w:vAlign w:val="center"/>
                </w:tcPr>
                <w:p w14:paraId="4112F56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576" w:type="pct"/>
                  <w:vMerge w:val="continue"/>
                  <w:shd w:val="clear" w:color="auto" w:fill="auto"/>
                  <w:noWrap/>
                  <w:vAlign w:val="center"/>
                </w:tcPr>
                <w:p w14:paraId="2FF0311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r>
            <w:tr w14:paraId="2CDF4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6401F19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w:t>
                  </w:r>
                </w:p>
              </w:tc>
              <w:tc>
                <w:tcPr>
                  <w:tcW w:w="650" w:type="pct"/>
                  <w:shd w:val="clear" w:color="auto" w:fill="auto"/>
                  <w:noWrap/>
                  <w:vAlign w:val="center"/>
                </w:tcPr>
                <w:p w14:paraId="349C7F4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浆液收集箱</w:t>
                  </w:r>
                </w:p>
              </w:tc>
              <w:tc>
                <w:tcPr>
                  <w:tcW w:w="786" w:type="pct"/>
                  <w:shd w:val="clear" w:color="auto" w:fill="auto"/>
                  <w:vAlign w:val="center"/>
                </w:tcPr>
                <w:p w14:paraId="77DBE13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V2103</w:t>
                  </w:r>
                </w:p>
              </w:tc>
              <w:tc>
                <w:tcPr>
                  <w:tcW w:w="1481" w:type="pct"/>
                  <w:shd w:val="clear" w:color="auto" w:fill="auto"/>
                  <w:vAlign w:val="center"/>
                </w:tcPr>
                <w:p w14:paraId="5E4AC20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3.5m*1.8m*2m,搅拌功率2.2KW*2，带蒸汽加热盘管</w:t>
                  </w:r>
                </w:p>
              </w:tc>
              <w:tc>
                <w:tcPr>
                  <w:tcW w:w="314" w:type="pct"/>
                  <w:vMerge w:val="continue"/>
                  <w:shd w:val="clear" w:color="auto" w:fill="auto"/>
                  <w:vAlign w:val="center"/>
                </w:tcPr>
                <w:p w14:paraId="0076BEC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highlight w:val="none"/>
                    </w:rPr>
                  </w:pPr>
                </w:p>
              </w:tc>
              <w:tc>
                <w:tcPr>
                  <w:tcW w:w="375" w:type="pct"/>
                  <w:shd w:val="clear" w:color="auto" w:fill="auto"/>
                  <w:noWrap/>
                  <w:vAlign w:val="center"/>
                </w:tcPr>
                <w:p w14:paraId="4876A71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384" w:type="pct"/>
                  <w:shd w:val="clear" w:color="auto" w:fill="auto"/>
                  <w:noWrap/>
                  <w:vAlign w:val="center"/>
                </w:tcPr>
                <w:p w14:paraId="2EDCEFE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台</w:t>
                  </w:r>
                </w:p>
              </w:tc>
              <w:tc>
                <w:tcPr>
                  <w:tcW w:w="576" w:type="pct"/>
                  <w:shd w:val="clear" w:color="auto" w:fill="auto"/>
                  <w:noWrap/>
                  <w:vAlign w:val="center"/>
                </w:tcPr>
                <w:p w14:paraId="4441391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浆液</w:t>
                  </w:r>
                </w:p>
              </w:tc>
            </w:tr>
            <w:tr w14:paraId="483E8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3F79CBE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w:t>
                  </w:r>
                </w:p>
              </w:tc>
              <w:tc>
                <w:tcPr>
                  <w:tcW w:w="650" w:type="pct"/>
                  <w:shd w:val="clear" w:color="auto" w:fill="auto"/>
                  <w:noWrap/>
                  <w:vAlign w:val="center"/>
                </w:tcPr>
                <w:p w14:paraId="53D8BAA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lang w:val="en-US" w:eastAsia="zh-CN"/>
                    </w:rPr>
                    <w:t>沥</w:t>
                  </w:r>
                  <w:r>
                    <w:rPr>
                      <w:rFonts w:hint="eastAsia" w:ascii="宋体" w:hAnsi="宋体" w:eastAsia="宋体" w:cs="宋体"/>
                      <w:color w:val="auto"/>
                      <w:sz w:val="21"/>
                      <w:szCs w:val="21"/>
                      <w:lang w:val="en-US" w:eastAsia="zh-CN"/>
                    </w:rPr>
                    <w:t>液</w:t>
                  </w:r>
                  <w:r>
                    <w:rPr>
                      <w:rFonts w:hint="eastAsia" w:ascii="宋体" w:hAnsi="宋体" w:cs="宋体"/>
                      <w:color w:val="auto"/>
                      <w:sz w:val="21"/>
                      <w:szCs w:val="21"/>
                      <w:lang w:val="en-US" w:eastAsia="zh-CN"/>
                    </w:rPr>
                    <w:t>池</w:t>
                  </w:r>
                </w:p>
              </w:tc>
              <w:tc>
                <w:tcPr>
                  <w:tcW w:w="786" w:type="pct"/>
                  <w:shd w:val="clear" w:color="auto" w:fill="auto"/>
                  <w:vAlign w:val="center"/>
                </w:tcPr>
                <w:p w14:paraId="75F329B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lang w:val="en-US" w:eastAsia="zh-CN"/>
                    </w:rPr>
                    <w:t>V2102</w:t>
                  </w:r>
                </w:p>
              </w:tc>
              <w:tc>
                <w:tcPr>
                  <w:tcW w:w="1481" w:type="pct"/>
                  <w:shd w:val="clear" w:color="auto" w:fill="auto"/>
                  <w:vAlign w:val="center"/>
                </w:tcPr>
                <w:p w14:paraId="28B7EF8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2m*2m*1m</w:t>
                  </w:r>
                </w:p>
              </w:tc>
              <w:tc>
                <w:tcPr>
                  <w:tcW w:w="314" w:type="pct"/>
                  <w:vMerge w:val="continue"/>
                  <w:shd w:val="clear" w:color="auto" w:fill="auto"/>
                  <w:vAlign w:val="center"/>
                </w:tcPr>
                <w:p w14:paraId="61040B1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highlight w:val="none"/>
                    </w:rPr>
                  </w:pPr>
                </w:p>
              </w:tc>
              <w:tc>
                <w:tcPr>
                  <w:tcW w:w="375" w:type="pct"/>
                  <w:shd w:val="clear" w:color="auto" w:fill="auto"/>
                  <w:noWrap/>
                  <w:vAlign w:val="center"/>
                </w:tcPr>
                <w:p w14:paraId="075505B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384" w:type="pct"/>
                  <w:shd w:val="clear" w:color="auto" w:fill="auto"/>
                  <w:noWrap/>
                  <w:vAlign w:val="center"/>
                </w:tcPr>
                <w:p w14:paraId="312AAE5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台</w:t>
                  </w:r>
                </w:p>
              </w:tc>
              <w:tc>
                <w:tcPr>
                  <w:tcW w:w="576" w:type="pct"/>
                  <w:shd w:val="clear" w:color="auto" w:fill="auto"/>
                  <w:noWrap/>
                  <w:vAlign w:val="center"/>
                </w:tcPr>
                <w:p w14:paraId="7A9140D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eastAsia="zh-CN"/>
                    </w:rPr>
                    <w:t>暂存</w:t>
                  </w:r>
                </w:p>
              </w:tc>
            </w:tr>
            <w:tr w14:paraId="0D5B6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1EE8093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10</w:t>
                  </w:r>
                </w:p>
              </w:tc>
              <w:tc>
                <w:tcPr>
                  <w:tcW w:w="650" w:type="pct"/>
                  <w:shd w:val="clear" w:color="auto" w:fill="auto"/>
                  <w:noWrap/>
                  <w:vAlign w:val="center"/>
                </w:tcPr>
                <w:p w14:paraId="31A2D0D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加热罐进料泵</w:t>
                  </w:r>
                </w:p>
              </w:tc>
              <w:tc>
                <w:tcPr>
                  <w:tcW w:w="786" w:type="pct"/>
                  <w:shd w:val="clear" w:color="auto" w:fill="auto"/>
                  <w:vAlign w:val="center"/>
                </w:tcPr>
                <w:p w14:paraId="602E41A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w:t>
                  </w:r>
                </w:p>
              </w:tc>
              <w:tc>
                <w:tcPr>
                  <w:tcW w:w="1481" w:type="pct"/>
                  <w:shd w:val="clear" w:color="auto" w:fill="auto"/>
                  <w:vAlign w:val="center"/>
                </w:tcPr>
                <w:p w14:paraId="5DB283B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H=</w:t>
                  </w:r>
                  <w:r>
                    <w:rPr>
                      <w:rFonts w:hint="eastAsia" w:ascii="宋体" w:hAnsi="宋体" w:eastAsia="宋体" w:cs="宋体"/>
                      <w:color w:val="auto"/>
                      <w:sz w:val="21"/>
                      <w:szCs w:val="21"/>
                      <w:lang w:val="en-US" w:eastAsia="zh-CN"/>
                    </w:rPr>
                    <w:t>15</w:t>
                  </w:r>
                  <w:r>
                    <w:rPr>
                      <w:rFonts w:hint="eastAsia" w:ascii="宋体" w:hAnsi="宋体" w:eastAsia="宋体" w:cs="宋体"/>
                      <w:color w:val="auto"/>
                      <w:sz w:val="21"/>
                      <w:szCs w:val="21"/>
                    </w:rPr>
                    <w:t>m，N=</w:t>
                  </w:r>
                  <w:r>
                    <w:rPr>
                      <w:rFonts w:hint="eastAsia" w:ascii="宋体" w:hAnsi="宋体" w:eastAsia="宋体" w:cs="宋体"/>
                      <w:color w:val="auto"/>
                      <w:sz w:val="21"/>
                      <w:szCs w:val="21"/>
                      <w:lang w:val="en-US" w:eastAsia="zh-CN"/>
                    </w:rPr>
                    <w:t>5.5</w:t>
                  </w:r>
                  <w:r>
                    <w:rPr>
                      <w:rFonts w:hint="eastAsia" w:ascii="宋体" w:hAnsi="宋体" w:eastAsia="宋体" w:cs="宋体"/>
                      <w:color w:val="auto"/>
                      <w:sz w:val="21"/>
                      <w:szCs w:val="21"/>
                    </w:rPr>
                    <w:t>KW</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过流SS304</w:t>
                  </w:r>
                </w:p>
              </w:tc>
              <w:tc>
                <w:tcPr>
                  <w:tcW w:w="314" w:type="pct"/>
                  <w:vMerge w:val="continue"/>
                  <w:shd w:val="clear" w:color="auto" w:fill="auto"/>
                  <w:vAlign w:val="center"/>
                </w:tcPr>
                <w:p w14:paraId="6462FB9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4ADB68D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p>
              </w:tc>
              <w:tc>
                <w:tcPr>
                  <w:tcW w:w="384" w:type="pct"/>
                  <w:shd w:val="clear" w:color="auto" w:fill="auto"/>
                  <w:noWrap/>
                  <w:vAlign w:val="center"/>
                </w:tcPr>
                <w:p w14:paraId="7B5EC84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576" w:type="pct"/>
                  <w:vMerge w:val="restart"/>
                  <w:shd w:val="clear" w:color="auto" w:fill="auto"/>
                  <w:noWrap/>
                  <w:vAlign w:val="center"/>
                </w:tcPr>
                <w:p w14:paraId="71508D2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加热</w:t>
                  </w:r>
                </w:p>
              </w:tc>
            </w:tr>
            <w:tr w14:paraId="324E4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2B445B3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11</w:t>
                  </w:r>
                </w:p>
              </w:tc>
              <w:tc>
                <w:tcPr>
                  <w:tcW w:w="650" w:type="pct"/>
                  <w:shd w:val="clear" w:color="auto" w:fill="auto"/>
                  <w:noWrap/>
                  <w:vAlign w:val="center"/>
                </w:tcPr>
                <w:p w14:paraId="3F037F8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加热罐</w:t>
                  </w:r>
                </w:p>
              </w:tc>
              <w:tc>
                <w:tcPr>
                  <w:tcW w:w="786" w:type="pct"/>
                  <w:shd w:val="clear" w:color="auto" w:fill="auto"/>
                  <w:vAlign w:val="center"/>
                </w:tcPr>
                <w:p w14:paraId="575F45B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V2104A-B</w:t>
                  </w:r>
                </w:p>
              </w:tc>
              <w:tc>
                <w:tcPr>
                  <w:tcW w:w="1481" w:type="pct"/>
                  <w:shd w:val="clear" w:color="auto" w:fill="auto"/>
                  <w:vAlign w:val="center"/>
                </w:tcPr>
                <w:p w14:paraId="603E5F0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容积25m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color w:val="auto"/>
                      <w:sz w:val="21"/>
                      <w:szCs w:val="21"/>
                      <w:lang w:val="en-US" w:eastAsia="zh-CN"/>
                    </w:rPr>
                    <w:t>，材质SS304，含搅拌机，视镜灯，</w:t>
                  </w:r>
                  <w:r>
                    <w:rPr>
                      <w:rFonts w:hint="eastAsia" w:ascii="宋体" w:hAnsi="宋体" w:cs="宋体"/>
                      <w:color w:val="auto"/>
                      <w:sz w:val="21"/>
                      <w:szCs w:val="21"/>
                      <w:lang w:val="en-US" w:eastAsia="zh-CN"/>
                    </w:rPr>
                    <w:t>消声器</w:t>
                  </w:r>
                  <w:r>
                    <w:rPr>
                      <w:rFonts w:hint="eastAsia" w:ascii="宋体" w:hAnsi="宋体" w:eastAsia="宋体" w:cs="宋体"/>
                      <w:color w:val="auto"/>
                      <w:sz w:val="21"/>
                      <w:szCs w:val="21"/>
                      <w:lang w:val="en-US" w:eastAsia="zh-CN"/>
                    </w:rPr>
                    <w:t>，蒸汽直喷+外盘管，搅拌功率7.5kw</w:t>
                  </w:r>
                </w:p>
              </w:tc>
              <w:tc>
                <w:tcPr>
                  <w:tcW w:w="314" w:type="pct"/>
                  <w:vMerge w:val="continue"/>
                  <w:shd w:val="clear" w:color="auto" w:fill="auto"/>
                  <w:vAlign w:val="center"/>
                </w:tcPr>
                <w:p w14:paraId="0EE9C05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noWrap/>
                  <w:vAlign w:val="center"/>
                </w:tcPr>
                <w:p w14:paraId="4F7B71D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p>
              </w:tc>
              <w:tc>
                <w:tcPr>
                  <w:tcW w:w="384" w:type="pct"/>
                  <w:shd w:val="clear" w:color="auto" w:fill="auto"/>
                  <w:noWrap/>
                  <w:vAlign w:val="center"/>
                </w:tcPr>
                <w:p w14:paraId="2FEAA7F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576" w:type="pct"/>
                  <w:vMerge w:val="continue"/>
                  <w:shd w:val="clear" w:color="auto" w:fill="auto"/>
                  <w:noWrap/>
                  <w:vAlign w:val="center"/>
                </w:tcPr>
                <w:p w14:paraId="7CBB318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p>
              </w:tc>
            </w:tr>
            <w:tr w14:paraId="09EF2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3A54AE2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12</w:t>
                  </w:r>
                </w:p>
              </w:tc>
              <w:tc>
                <w:tcPr>
                  <w:tcW w:w="650" w:type="pct"/>
                  <w:shd w:val="clear" w:color="auto" w:fill="auto"/>
                  <w:noWrap/>
                  <w:vAlign w:val="center"/>
                </w:tcPr>
                <w:p w14:paraId="59980D6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离心机进料泵</w:t>
                  </w:r>
                </w:p>
              </w:tc>
              <w:tc>
                <w:tcPr>
                  <w:tcW w:w="786" w:type="pct"/>
                  <w:shd w:val="clear" w:color="auto" w:fill="auto"/>
                  <w:vAlign w:val="center"/>
                </w:tcPr>
                <w:p w14:paraId="0CE991D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P2103</w:t>
                  </w:r>
                </w:p>
              </w:tc>
              <w:tc>
                <w:tcPr>
                  <w:tcW w:w="1481" w:type="pct"/>
                  <w:shd w:val="clear" w:color="auto" w:fill="auto"/>
                  <w:vAlign w:val="center"/>
                </w:tcPr>
                <w:p w14:paraId="1F47072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功率5.5kw，过流304，变频</w:t>
                  </w:r>
                </w:p>
              </w:tc>
              <w:tc>
                <w:tcPr>
                  <w:tcW w:w="314" w:type="pct"/>
                  <w:vMerge w:val="continue"/>
                  <w:shd w:val="clear" w:color="auto" w:fill="auto"/>
                  <w:vAlign w:val="center"/>
                </w:tcPr>
                <w:p w14:paraId="79745A1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c>
                <w:tcPr>
                  <w:tcW w:w="375" w:type="pct"/>
                  <w:shd w:val="clear" w:color="auto" w:fill="auto"/>
                  <w:noWrap/>
                  <w:vAlign w:val="center"/>
                </w:tcPr>
                <w:p w14:paraId="524E525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384" w:type="pct"/>
                  <w:shd w:val="clear" w:color="auto" w:fill="auto"/>
                  <w:noWrap/>
                  <w:vAlign w:val="center"/>
                </w:tcPr>
                <w:p w14:paraId="59D6E4A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576" w:type="pct"/>
                  <w:vMerge w:val="restart"/>
                  <w:shd w:val="clear" w:color="auto" w:fill="auto"/>
                  <w:noWrap/>
                  <w:vAlign w:val="center"/>
                </w:tcPr>
                <w:p w14:paraId="630996B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三相分离</w:t>
                  </w:r>
                </w:p>
              </w:tc>
            </w:tr>
            <w:tr w14:paraId="66A8A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67542BB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13</w:t>
                  </w:r>
                </w:p>
              </w:tc>
              <w:tc>
                <w:tcPr>
                  <w:tcW w:w="650" w:type="pct"/>
                  <w:shd w:val="clear" w:color="auto" w:fill="auto"/>
                  <w:noWrap/>
                  <w:vAlign w:val="center"/>
                </w:tcPr>
                <w:p w14:paraId="765C4C1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三相离心机</w:t>
                  </w:r>
                  <w:r>
                    <w:rPr>
                      <w:rFonts w:hint="eastAsia" w:ascii="宋体" w:hAnsi="宋体" w:cs="宋体"/>
                      <w:color w:val="auto"/>
                      <w:sz w:val="21"/>
                      <w:szCs w:val="21"/>
                      <w:lang w:val="en-US" w:eastAsia="zh-CN"/>
                    </w:rPr>
                    <w:t>（餐厨垃圾）</w:t>
                  </w:r>
                </w:p>
              </w:tc>
              <w:tc>
                <w:tcPr>
                  <w:tcW w:w="786" w:type="pct"/>
                  <w:shd w:val="clear" w:color="auto" w:fill="auto"/>
                  <w:vAlign w:val="center"/>
                </w:tcPr>
                <w:p w14:paraId="23FC1FD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S2109</w:t>
                  </w:r>
                </w:p>
              </w:tc>
              <w:tc>
                <w:tcPr>
                  <w:tcW w:w="1481" w:type="pct"/>
                  <w:shd w:val="clear" w:color="auto" w:fill="auto"/>
                  <w:vAlign w:val="center"/>
                </w:tcPr>
                <w:p w14:paraId="5A72610F">
                  <w:pPr>
                    <w:keepNext w:val="0"/>
                    <w:keepLines w:val="0"/>
                    <w:pageBreakBefore w:val="0"/>
                    <w:widowControl/>
                    <w:suppressLineNumbers w:val="0"/>
                    <w:kinsoku/>
                    <w:wordWrap/>
                    <w:overflowPunct/>
                    <w:topLinePunct w:val="0"/>
                    <w:autoSpaceDE/>
                    <w:autoSpaceDN/>
                    <w:bidi w:val="0"/>
                    <w:adjustRightInd/>
                    <w:snapToGrid/>
                    <w:ind w:left="0" w:leftChars="0" w:firstLine="0" w:firstLineChars="0"/>
                    <w:jc w:val="center"/>
                    <w:textAlignment w:val="center"/>
                    <w:rPr>
                      <w:rFonts w:hint="default"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转鼓及大小端盖双相2304，螺旋304，固相出料端焊接硬质合金片，排渣口喷涂硬质合金，主轴承SKF,分离因素2950，处理量</w:t>
                  </w:r>
                  <w:r>
                    <w:rPr>
                      <w:rFonts w:hint="eastAsia" w:ascii="宋体" w:hAnsi="宋体" w:cs="宋体"/>
                      <w:color w:val="auto"/>
                      <w:sz w:val="21"/>
                      <w:szCs w:val="21"/>
                      <w:lang w:val="en-US" w:eastAsia="zh-CN"/>
                    </w:rPr>
                    <w:t>1.25-1.5</w:t>
                  </w:r>
                  <w:r>
                    <w:rPr>
                      <w:rFonts w:hint="eastAsia" w:ascii="宋体" w:hAnsi="宋体" w:eastAsia="宋体" w:cs="宋体"/>
                      <w:color w:val="auto"/>
                      <w:sz w:val="21"/>
                      <w:szCs w:val="21"/>
                      <w:lang w:val="en-US" w:eastAsia="zh-CN"/>
                    </w:rPr>
                    <w:t>m³/h，总功率37kw，变频</w:t>
                  </w:r>
                </w:p>
              </w:tc>
              <w:tc>
                <w:tcPr>
                  <w:tcW w:w="314" w:type="pct"/>
                  <w:vMerge w:val="continue"/>
                  <w:shd w:val="clear" w:color="auto" w:fill="auto"/>
                  <w:vAlign w:val="center"/>
                </w:tcPr>
                <w:p w14:paraId="0D0A30A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c>
                <w:tcPr>
                  <w:tcW w:w="375" w:type="pct"/>
                  <w:shd w:val="clear" w:color="auto" w:fill="auto"/>
                  <w:noWrap/>
                  <w:vAlign w:val="center"/>
                </w:tcPr>
                <w:p w14:paraId="23EDC63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1</w:t>
                  </w:r>
                </w:p>
              </w:tc>
              <w:tc>
                <w:tcPr>
                  <w:tcW w:w="384" w:type="pct"/>
                  <w:shd w:val="clear" w:color="auto" w:fill="auto"/>
                  <w:noWrap/>
                  <w:vAlign w:val="center"/>
                </w:tcPr>
                <w:p w14:paraId="7C689F1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台</w:t>
                  </w:r>
                </w:p>
              </w:tc>
              <w:tc>
                <w:tcPr>
                  <w:tcW w:w="576" w:type="pct"/>
                  <w:vMerge w:val="continue"/>
                  <w:shd w:val="clear" w:color="auto" w:fill="auto"/>
                  <w:noWrap/>
                  <w:vAlign w:val="center"/>
                </w:tcPr>
                <w:p w14:paraId="0A530AD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r>
            <w:tr w14:paraId="0A709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438AC61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14</w:t>
                  </w:r>
                </w:p>
              </w:tc>
              <w:tc>
                <w:tcPr>
                  <w:tcW w:w="650" w:type="pct"/>
                  <w:shd w:val="clear" w:color="auto" w:fill="auto"/>
                  <w:noWrap/>
                  <w:vAlign w:val="center"/>
                </w:tcPr>
                <w:p w14:paraId="26DF3D7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沥液提升泵</w:t>
                  </w:r>
                </w:p>
              </w:tc>
              <w:tc>
                <w:tcPr>
                  <w:tcW w:w="786" w:type="pct"/>
                  <w:shd w:val="clear" w:color="auto" w:fill="auto"/>
                  <w:vAlign w:val="center"/>
                </w:tcPr>
                <w:p w14:paraId="03330C3E">
                  <w:pPr>
                    <w:keepNext w:val="0"/>
                    <w:keepLines w:val="0"/>
                    <w:widowControl/>
                    <w:suppressLineNumbers w:val="0"/>
                    <w:jc w:val="center"/>
                    <w:textAlignment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005EEFA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default" w:ascii="宋体" w:hAnsi="宋体" w:cs="宋体"/>
                      <w:color w:val="auto"/>
                      <w:sz w:val="21"/>
                      <w:szCs w:val="21"/>
                      <w:lang w:val="en-US" w:eastAsia="zh-CN"/>
                    </w:rPr>
                    <w:t>立式螺杆泵，流量</w:t>
                  </w:r>
                  <w:r>
                    <w:rPr>
                      <w:rFonts w:hint="eastAsia" w:ascii="宋体" w:hAnsi="宋体" w:cs="宋体"/>
                      <w:color w:val="auto"/>
                      <w:sz w:val="21"/>
                      <w:szCs w:val="21"/>
                      <w:lang w:val="en-US" w:eastAsia="zh-CN"/>
                    </w:rPr>
                    <w:t>15m3//h，0,3MPa，5.5KW</w:t>
                  </w:r>
                </w:p>
              </w:tc>
              <w:tc>
                <w:tcPr>
                  <w:tcW w:w="314" w:type="pct"/>
                  <w:vMerge w:val="continue"/>
                  <w:shd w:val="clear" w:color="auto" w:fill="auto"/>
                  <w:vAlign w:val="center"/>
                </w:tcPr>
                <w:p w14:paraId="1CAF97C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c>
                <w:tcPr>
                  <w:tcW w:w="375" w:type="pct"/>
                  <w:shd w:val="clear" w:color="auto" w:fill="auto"/>
                  <w:noWrap/>
                  <w:vAlign w:val="center"/>
                </w:tcPr>
                <w:p w14:paraId="59AA02A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384" w:type="pct"/>
                  <w:shd w:val="clear" w:color="auto" w:fill="auto"/>
                  <w:noWrap/>
                  <w:vAlign w:val="center"/>
                </w:tcPr>
                <w:p w14:paraId="496B06F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台</w:t>
                  </w:r>
                </w:p>
              </w:tc>
              <w:tc>
                <w:tcPr>
                  <w:tcW w:w="576" w:type="pct"/>
                  <w:vMerge w:val="restart"/>
                  <w:shd w:val="clear" w:color="auto" w:fill="auto"/>
                  <w:noWrap/>
                  <w:vAlign w:val="center"/>
                </w:tcPr>
                <w:p w14:paraId="0F15A8E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color w:val="auto"/>
                      <w:lang w:eastAsia="zh-CN"/>
                    </w:rPr>
                    <w:t>废水暂存</w:t>
                  </w:r>
                </w:p>
              </w:tc>
            </w:tr>
            <w:tr w14:paraId="60849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1DFB086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15</w:t>
                  </w:r>
                </w:p>
              </w:tc>
              <w:tc>
                <w:tcPr>
                  <w:tcW w:w="650" w:type="pct"/>
                  <w:shd w:val="clear" w:color="auto" w:fill="auto"/>
                  <w:noWrap/>
                  <w:vAlign w:val="center"/>
                </w:tcPr>
                <w:p w14:paraId="5F26B63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沥液池及搅拌</w:t>
                  </w:r>
                </w:p>
              </w:tc>
              <w:tc>
                <w:tcPr>
                  <w:tcW w:w="786" w:type="pct"/>
                  <w:shd w:val="clear" w:color="auto" w:fill="auto"/>
                  <w:vAlign w:val="center"/>
                </w:tcPr>
                <w:p w14:paraId="5C74C3F6">
                  <w:pPr>
                    <w:keepNext w:val="0"/>
                    <w:keepLines w:val="0"/>
                    <w:widowControl/>
                    <w:suppressLineNumbers w:val="0"/>
                    <w:jc w:val="center"/>
                    <w:textAlignment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38EB7CE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default" w:ascii="宋体" w:hAnsi="宋体" w:cs="宋体"/>
                      <w:color w:val="auto"/>
                      <w:sz w:val="21"/>
                      <w:szCs w:val="21"/>
                      <w:lang w:val="en-US" w:eastAsia="zh-CN"/>
                    </w:rPr>
                    <w:t>桨叶及搅拌轴</w:t>
                  </w:r>
                  <w:r>
                    <w:rPr>
                      <w:rFonts w:hint="eastAsia" w:ascii="宋体" w:hAnsi="宋体" w:cs="宋体"/>
                      <w:color w:val="auto"/>
                      <w:sz w:val="21"/>
                      <w:szCs w:val="21"/>
                      <w:lang w:val="en-US" w:eastAsia="zh-CN"/>
                    </w:rPr>
                    <w:t>SS304，4KW</w:t>
                  </w:r>
                </w:p>
              </w:tc>
              <w:tc>
                <w:tcPr>
                  <w:tcW w:w="314" w:type="pct"/>
                  <w:vMerge w:val="continue"/>
                  <w:shd w:val="clear" w:color="auto" w:fill="auto"/>
                  <w:vAlign w:val="center"/>
                </w:tcPr>
                <w:p w14:paraId="4E8DC68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c>
                <w:tcPr>
                  <w:tcW w:w="375" w:type="pct"/>
                  <w:shd w:val="clear" w:color="auto" w:fill="auto"/>
                  <w:noWrap/>
                  <w:vAlign w:val="center"/>
                </w:tcPr>
                <w:p w14:paraId="60DAE39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384" w:type="pct"/>
                  <w:shd w:val="clear" w:color="auto" w:fill="auto"/>
                  <w:noWrap/>
                  <w:vAlign w:val="center"/>
                </w:tcPr>
                <w:p w14:paraId="3950E04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台</w:t>
                  </w:r>
                </w:p>
              </w:tc>
              <w:tc>
                <w:tcPr>
                  <w:tcW w:w="576" w:type="pct"/>
                  <w:vMerge w:val="continue"/>
                  <w:shd w:val="clear" w:color="auto" w:fill="auto"/>
                  <w:noWrap/>
                  <w:vAlign w:val="center"/>
                </w:tcPr>
                <w:p w14:paraId="29C9723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r>
            <w:tr w14:paraId="03239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710C670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16</w:t>
                  </w:r>
                </w:p>
              </w:tc>
              <w:tc>
                <w:tcPr>
                  <w:tcW w:w="650" w:type="pct"/>
                  <w:shd w:val="clear" w:color="auto" w:fill="auto"/>
                  <w:noWrap/>
                  <w:vAlign w:val="center"/>
                </w:tcPr>
                <w:p w14:paraId="02E6CFD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移动式出渣箱</w:t>
                  </w:r>
                </w:p>
              </w:tc>
              <w:tc>
                <w:tcPr>
                  <w:tcW w:w="786" w:type="pct"/>
                  <w:shd w:val="clear" w:color="auto" w:fill="auto"/>
                  <w:vAlign w:val="center"/>
                </w:tcPr>
                <w:p w14:paraId="3A0BB260">
                  <w:pPr>
                    <w:keepNext w:val="0"/>
                    <w:keepLines w:val="0"/>
                    <w:widowControl/>
                    <w:suppressLineNumbers w:val="0"/>
                    <w:jc w:val="center"/>
                    <w:textAlignment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2506D88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3m³</w:t>
                  </w:r>
                </w:p>
              </w:tc>
              <w:tc>
                <w:tcPr>
                  <w:tcW w:w="314" w:type="pct"/>
                  <w:vMerge w:val="continue"/>
                  <w:shd w:val="clear" w:color="auto" w:fill="auto"/>
                  <w:vAlign w:val="center"/>
                </w:tcPr>
                <w:p w14:paraId="1485672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c>
                <w:tcPr>
                  <w:tcW w:w="375" w:type="pct"/>
                  <w:shd w:val="clear" w:color="auto" w:fill="auto"/>
                  <w:noWrap/>
                  <w:vAlign w:val="center"/>
                </w:tcPr>
                <w:p w14:paraId="5F0A9D7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384" w:type="pct"/>
                  <w:shd w:val="clear" w:color="auto" w:fill="auto"/>
                  <w:noWrap/>
                  <w:vAlign w:val="center"/>
                </w:tcPr>
                <w:p w14:paraId="4F0E478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台</w:t>
                  </w:r>
                </w:p>
              </w:tc>
              <w:tc>
                <w:tcPr>
                  <w:tcW w:w="576" w:type="pct"/>
                  <w:shd w:val="clear" w:color="auto" w:fill="auto"/>
                  <w:noWrap/>
                  <w:vAlign w:val="center"/>
                </w:tcPr>
                <w:p w14:paraId="2C80D3F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出渣</w:t>
                  </w:r>
                  <w:r>
                    <w:rPr>
                      <w:rFonts w:hint="eastAsia" w:ascii="宋体" w:hAnsi="宋体" w:cs="宋体"/>
                      <w:color w:val="auto"/>
                      <w:sz w:val="21"/>
                      <w:szCs w:val="21"/>
                      <w:lang w:val="en-US" w:eastAsia="zh-CN"/>
                    </w:rPr>
                    <w:t>/固渣暂存</w:t>
                  </w:r>
                </w:p>
              </w:tc>
            </w:tr>
            <w:tr w14:paraId="75A5B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noWrap/>
                  <w:vAlign w:val="center"/>
                </w:tcPr>
                <w:p w14:paraId="650B601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三</w:t>
                  </w:r>
                </w:p>
              </w:tc>
              <w:tc>
                <w:tcPr>
                  <w:tcW w:w="4568" w:type="pct"/>
                  <w:gridSpan w:val="7"/>
                  <w:shd w:val="clear" w:color="auto" w:fill="auto"/>
                  <w:noWrap/>
                  <w:vAlign w:val="center"/>
                </w:tcPr>
                <w:p w14:paraId="0E54417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辅助材料</w:t>
                  </w:r>
                </w:p>
              </w:tc>
            </w:tr>
            <w:tr w14:paraId="5C02E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3FBA1CB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650" w:type="pct"/>
                  <w:shd w:val="clear" w:color="auto" w:fill="auto"/>
                  <w:vAlign w:val="center"/>
                </w:tcPr>
                <w:p w14:paraId="792B592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电气自控</w:t>
                  </w:r>
                </w:p>
              </w:tc>
              <w:tc>
                <w:tcPr>
                  <w:tcW w:w="786" w:type="pct"/>
                  <w:shd w:val="clear" w:color="auto" w:fill="auto"/>
                  <w:vAlign w:val="center"/>
                </w:tcPr>
                <w:p w14:paraId="0D48BB4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w:t>
                  </w:r>
                </w:p>
              </w:tc>
              <w:tc>
                <w:tcPr>
                  <w:tcW w:w="1481" w:type="pct"/>
                  <w:shd w:val="clear" w:color="auto" w:fill="auto"/>
                  <w:vAlign w:val="center"/>
                </w:tcPr>
                <w:p w14:paraId="70A7D2D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c>
                <w:tcPr>
                  <w:tcW w:w="314" w:type="pct"/>
                  <w:shd w:val="clear" w:color="auto" w:fill="auto"/>
                  <w:vAlign w:val="center"/>
                </w:tcPr>
                <w:p w14:paraId="7CD42F0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c>
                <w:tcPr>
                  <w:tcW w:w="375" w:type="pct"/>
                  <w:shd w:val="clear" w:color="auto" w:fill="auto"/>
                  <w:vAlign w:val="center"/>
                </w:tcPr>
                <w:p w14:paraId="7BC1968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1</w:t>
                  </w:r>
                </w:p>
              </w:tc>
              <w:tc>
                <w:tcPr>
                  <w:tcW w:w="384" w:type="pct"/>
                  <w:shd w:val="clear" w:color="auto" w:fill="auto"/>
                  <w:vAlign w:val="center"/>
                </w:tcPr>
                <w:p w14:paraId="2268AE0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批</w:t>
                  </w:r>
                </w:p>
              </w:tc>
              <w:tc>
                <w:tcPr>
                  <w:tcW w:w="576" w:type="pct"/>
                  <w:shd w:val="clear" w:color="auto" w:fill="auto"/>
                  <w:vAlign w:val="center"/>
                </w:tcPr>
                <w:p w14:paraId="63A9836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r>
            <w:tr w14:paraId="05288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218EBDB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四</w:t>
                  </w:r>
                </w:p>
              </w:tc>
              <w:tc>
                <w:tcPr>
                  <w:tcW w:w="4568" w:type="pct"/>
                  <w:gridSpan w:val="7"/>
                  <w:shd w:val="clear" w:color="auto" w:fill="auto"/>
                  <w:vAlign w:val="center"/>
                </w:tcPr>
                <w:p w14:paraId="4F24A6A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罐区</w:t>
                  </w:r>
                </w:p>
              </w:tc>
            </w:tr>
            <w:tr w14:paraId="0EBAB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7BE2E77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650" w:type="pct"/>
                  <w:shd w:val="clear" w:color="auto" w:fill="auto"/>
                  <w:vAlign w:val="center"/>
                </w:tcPr>
                <w:p w14:paraId="65E379E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储罐</w:t>
                  </w:r>
                </w:p>
              </w:tc>
              <w:tc>
                <w:tcPr>
                  <w:tcW w:w="786" w:type="pct"/>
                  <w:shd w:val="clear" w:color="auto" w:fill="auto"/>
                  <w:vAlign w:val="center"/>
                </w:tcPr>
                <w:p w14:paraId="2DC98E8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7A377B1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7.5*7.5，SS304,带加热盘管</w:t>
                  </w:r>
                </w:p>
              </w:tc>
              <w:tc>
                <w:tcPr>
                  <w:tcW w:w="314" w:type="pct"/>
                  <w:vMerge w:val="restart"/>
                  <w:shd w:val="clear" w:color="auto" w:fill="auto"/>
                  <w:vAlign w:val="center"/>
                </w:tcPr>
                <w:p w14:paraId="0B1C42C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罐区</w:t>
                  </w:r>
                </w:p>
              </w:tc>
              <w:tc>
                <w:tcPr>
                  <w:tcW w:w="375" w:type="pct"/>
                  <w:shd w:val="clear" w:color="auto" w:fill="auto"/>
                  <w:vAlign w:val="center"/>
                </w:tcPr>
                <w:p w14:paraId="6E94CE9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w:t>
                  </w:r>
                </w:p>
              </w:tc>
              <w:tc>
                <w:tcPr>
                  <w:tcW w:w="384" w:type="pct"/>
                  <w:shd w:val="clear" w:color="auto" w:fill="auto"/>
                  <w:vAlign w:val="center"/>
                </w:tcPr>
                <w:p w14:paraId="11B794F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座</w:t>
                  </w:r>
                </w:p>
              </w:tc>
              <w:tc>
                <w:tcPr>
                  <w:tcW w:w="576" w:type="pct"/>
                  <w:shd w:val="clear" w:color="auto" w:fill="auto"/>
                  <w:vAlign w:val="center"/>
                </w:tcPr>
                <w:p w14:paraId="181C32A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r>
            <w:tr w14:paraId="1EAFB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3BF18AD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650" w:type="pct"/>
                  <w:shd w:val="clear" w:color="auto" w:fill="auto"/>
                  <w:vAlign w:val="center"/>
                </w:tcPr>
                <w:p w14:paraId="4D06D01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油泵</w:t>
                  </w:r>
                </w:p>
              </w:tc>
              <w:tc>
                <w:tcPr>
                  <w:tcW w:w="786" w:type="pct"/>
                  <w:shd w:val="clear" w:color="auto" w:fill="auto"/>
                  <w:vAlign w:val="center"/>
                </w:tcPr>
                <w:p w14:paraId="613E71B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4384FBC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YCB60/0.6-2,15kW</w:t>
                  </w:r>
                </w:p>
              </w:tc>
              <w:tc>
                <w:tcPr>
                  <w:tcW w:w="314" w:type="pct"/>
                  <w:vMerge w:val="continue"/>
                  <w:shd w:val="clear" w:color="auto" w:fill="auto"/>
                  <w:vAlign w:val="center"/>
                </w:tcPr>
                <w:p w14:paraId="2AFAA36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p>
              </w:tc>
              <w:tc>
                <w:tcPr>
                  <w:tcW w:w="375" w:type="pct"/>
                  <w:shd w:val="clear" w:color="auto" w:fill="auto"/>
                  <w:vAlign w:val="center"/>
                </w:tcPr>
                <w:p w14:paraId="44F5060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384" w:type="pct"/>
                  <w:shd w:val="clear" w:color="auto" w:fill="auto"/>
                  <w:vAlign w:val="center"/>
                </w:tcPr>
                <w:p w14:paraId="699BB16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台</w:t>
                  </w:r>
                </w:p>
              </w:tc>
              <w:tc>
                <w:tcPr>
                  <w:tcW w:w="576" w:type="pct"/>
                  <w:shd w:val="clear" w:color="auto" w:fill="auto"/>
                  <w:vAlign w:val="center"/>
                </w:tcPr>
                <w:p w14:paraId="175E78C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r>
            <w:tr w14:paraId="06C67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4309849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650" w:type="pct"/>
                  <w:shd w:val="clear" w:color="auto" w:fill="auto"/>
                  <w:vAlign w:val="center"/>
                </w:tcPr>
                <w:p w14:paraId="334C88B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鹤管</w:t>
                  </w:r>
                </w:p>
              </w:tc>
              <w:tc>
                <w:tcPr>
                  <w:tcW w:w="786" w:type="pct"/>
                  <w:shd w:val="clear" w:color="auto" w:fill="auto"/>
                  <w:vAlign w:val="center"/>
                </w:tcPr>
                <w:p w14:paraId="37DB610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50FF764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口径DN100,带蒸汽伴热管</w:t>
                  </w:r>
                </w:p>
              </w:tc>
              <w:tc>
                <w:tcPr>
                  <w:tcW w:w="314" w:type="pct"/>
                  <w:vMerge w:val="continue"/>
                  <w:shd w:val="clear" w:color="auto" w:fill="auto"/>
                  <w:vAlign w:val="center"/>
                </w:tcPr>
                <w:p w14:paraId="31FAF77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vAlign w:val="center"/>
                </w:tcPr>
                <w:p w14:paraId="2F4E2B1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384" w:type="pct"/>
                  <w:shd w:val="clear" w:color="auto" w:fill="auto"/>
                  <w:vAlign w:val="center"/>
                </w:tcPr>
                <w:p w14:paraId="291B8D7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台</w:t>
                  </w:r>
                </w:p>
              </w:tc>
              <w:tc>
                <w:tcPr>
                  <w:tcW w:w="576" w:type="pct"/>
                  <w:shd w:val="clear" w:color="auto" w:fill="auto"/>
                  <w:vAlign w:val="center"/>
                </w:tcPr>
                <w:p w14:paraId="291C81F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r>
            <w:tr w14:paraId="4B3E6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0002A4A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五</w:t>
                  </w:r>
                </w:p>
              </w:tc>
              <w:tc>
                <w:tcPr>
                  <w:tcW w:w="4568" w:type="pct"/>
                  <w:gridSpan w:val="7"/>
                  <w:shd w:val="clear" w:color="auto" w:fill="auto"/>
                  <w:vAlign w:val="center"/>
                </w:tcPr>
                <w:p w14:paraId="0E91E11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废水</w:t>
                  </w:r>
                </w:p>
              </w:tc>
            </w:tr>
            <w:tr w14:paraId="007F5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3271CB8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650" w:type="pct"/>
                  <w:shd w:val="clear" w:color="auto" w:fill="auto"/>
                  <w:vAlign w:val="center"/>
                </w:tcPr>
                <w:p w14:paraId="6372B59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管道</w:t>
                  </w:r>
                </w:p>
              </w:tc>
              <w:tc>
                <w:tcPr>
                  <w:tcW w:w="786" w:type="pct"/>
                  <w:shd w:val="clear" w:color="auto" w:fill="auto"/>
                  <w:vAlign w:val="center"/>
                </w:tcPr>
                <w:p w14:paraId="5658C86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0D99B54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c>
                <w:tcPr>
                  <w:tcW w:w="314" w:type="pct"/>
                  <w:vMerge w:val="restart"/>
                  <w:shd w:val="clear" w:color="auto" w:fill="auto"/>
                  <w:vAlign w:val="center"/>
                </w:tcPr>
                <w:p w14:paraId="2DF7B35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c>
                <w:tcPr>
                  <w:tcW w:w="375" w:type="pct"/>
                  <w:shd w:val="clear" w:color="auto" w:fill="auto"/>
                  <w:vAlign w:val="center"/>
                </w:tcPr>
                <w:p w14:paraId="5FDF095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p>
              </w:tc>
              <w:tc>
                <w:tcPr>
                  <w:tcW w:w="384" w:type="pct"/>
                  <w:shd w:val="clear" w:color="auto" w:fill="auto"/>
                  <w:vAlign w:val="center"/>
                </w:tcPr>
                <w:p w14:paraId="2E6DCC5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km</w:t>
                  </w:r>
                </w:p>
              </w:tc>
              <w:tc>
                <w:tcPr>
                  <w:tcW w:w="576" w:type="pct"/>
                  <w:shd w:val="clear" w:color="auto" w:fill="auto"/>
                  <w:vAlign w:val="center"/>
                </w:tcPr>
                <w:p w14:paraId="2038AB5F">
                  <w:pPr>
                    <w:keepNext w:val="0"/>
                    <w:keepLines w:val="0"/>
                    <w:pageBreakBefore w:val="0"/>
                    <w:kinsoku/>
                    <w:wordWrap/>
                    <w:overflowPunct/>
                    <w:topLinePunct w:val="0"/>
                    <w:autoSpaceDE/>
                    <w:autoSpaceDN/>
                    <w:bidi w:val="0"/>
                    <w:adjustRightInd/>
                    <w:snapToGrid/>
                    <w:spacing w:line="240" w:lineRule="auto"/>
                    <w:ind w:left="0" w:leftChars="0" w:firstLine="0" w:firstLineChars="0"/>
                    <w:jc w:val="both"/>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中器再生至中器环保</w:t>
                  </w:r>
                </w:p>
              </w:tc>
            </w:tr>
            <w:tr w14:paraId="53C94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48F7A76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650" w:type="pct"/>
                  <w:shd w:val="clear" w:color="auto" w:fill="auto"/>
                  <w:vAlign w:val="center"/>
                </w:tcPr>
                <w:p w14:paraId="5FF4E0E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污水输送泵</w:t>
                  </w:r>
                </w:p>
              </w:tc>
              <w:tc>
                <w:tcPr>
                  <w:tcW w:w="786" w:type="pct"/>
                  <w:shd w:val="clear" w:color="auto" w:fill="auto"/>
                  <w:vAlign w:val="center"/>
                </w:tcPr>
                <w:p w14:paraId="5EA0010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62EB5C1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Q=30m³/h.H=130m，N=37KW</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出口口径DN80</w:t>
                  </w:r>
                </w:p>
              </w:tc>
              <w:tc>
                <w:tcPr>
                  <w:tcW w:w="314" w:type="pct"/>
                  <w:vMerge w:val="continue"/>
                  <w:shd w:val="clear" w:color="auto" w:fill="auto"/>
                  <w:vAlign w:val="center"/>
                </w:tcPr>
                <w:p w14:paraId="57E2093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eastAsia="zh-CN"/>
                    </w:rPr>
                  </w:pPr>
                </w:p>
              </w:tc>
              <w:tc>
                <w:tcPr>
                  <w:tcW w:w="375" w:type="pct"/>
                  <w:shd w:val="clear" w:color="auto" w:fill="auto"/>
                  <w:vAlign w:val="center"/>
                </w:tcPr>
                <w:p w14:paraId="3079C21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384" w:type="pct"/>
                  <w:shd w:val="clear" w:color="auto" w:fill="auto"/>
                  <w:vAlign w:val="center"/>
                </w:tcPr>
                <w:p w14:paraId="506CDCA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个</w:t>
                  </w:r>
                </w:p>
              </w:tc>
              <w:tc>
                <w:tcPr>
                  <w:tcW w:w="576" w:type="pct"/>
                  <w:shd w:val="clear" w:color="auto" w:fill="auto"/>
                  <w:vAlign w:val="center"/>
                </w:tcPr>
                <w:p w14:paraId="4FC9B4E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r>
            <w:tr w14:paraId="7DAE7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6DF6951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六</w:t>
                  </w:r>
                </w:p>
              </w:tc>
              <w:tc>
                <w:tcPr>
                  <w:tcW w:w="4568" w:type="pct"/>
                  <w:gridSpan w:val="7"/>
                  <w:shd w:val="clear" w:color="auto" w:fill="auto"/>
                  <w:vAlign w:val="center"/>
                </w:tcPr>
                <w:p w14:paraId="729C7EE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废气处理</w:t>
                  </w:r>
                </w:p>
              </w:tc>
            </w:tr>
            <w:tr w14:paraId="13305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0ACDE60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650" w:type="pct"/>
                  <w:shd w:val="clear" w:color="auto" w:fill="auto"/>
                  <w:vAlign w:val="center"/>
                </w:tcPr>
                <w:p w14:paraId="72ED90C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静电油雾净化器</w:t>
                  </w:r>
                </w:p>
              </w:tc>
              <w:tc>
                <w:tcPr>
                  <w:tcW w:w="786" w:type="pct"/>
                  <w:shd w:val="clear" w:color="auto" w:fill="auto"/>
                  <w:vAlign w:val="center"/>
                </w:tcPr>
                <w:p w14:paraId="436A913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6BC1EC0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314" w:type="pct"/>
                  <w:vMerge w:val="restart"/>
                  <w:shd w:val="clear" w:color="auto" w:fill="auto"/>
                  <w:vAlign w:val="center"/>
                </w:tcPr>
                <w:p w14:paraId="7C6AAEA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c>
                <w:tcPr>
                  <w:tcW w:w="375" w:type="pct"/>
                  <w:shd w:val="clear" w:color="auto" w:fill="auto"/>
                  <w:vAlign w:val="center"/>
                </w:tcPr>
                <w:p w14:paraId="5129BF7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套</w:t>
                  </w:r>
                </w:p>
              </w:tc>
              <w:tc>
                <w:tcPr>
                  <w:tcW w:w="384" w:type="pct"/>
                  <w:shd w:val="clear" w:color="auto" w:fill="auto"/>
                  <w:vAlign w:val="center"/>
                </w:tcPr>
                <w:p w14:paraId="650C893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576" w:type="pct"/>
                  <w:shd w:val="clear" w:color="auto" w:fill="auto"/>
                  <w:vAlign w:val="center"/>
                </w:tcPr>
                <w:p w14:paraId="2FC2D14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r>
            <w:tr w14:paraId="17537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259AE25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2</w:t>
                  </w:r>
                </w:p>
              </w:tc>
              <w:tc>
                <w:tcPr>
                  <w:tcW w:w="650" w:type="pct"/>
                  <w:shd w:val="clear" w:color="auto" w:fill="auto"/>
                  <w:vAlign w:val="center"/>
                </w:tcPr>
                <w:p w14:paraId="1BD59EE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管壳式热交换器</w:t>
                  </w:r>
                </w:p>
              </w:tc>
              <w:tc>
                <w:tcPr>
                  <w:tcW w:w="786" w:type="pct"/>
                  <w:shd w:val="clear" w:color="auto" w:fill="auto"/>
                  <w:vAlign w:val="center"/>
                </w:tcPr>
                <w:p w14:paraId="0F1F156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58888F4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碳钢材质Φ325*2000 换热面积30m2</w:t>
                  </w:r>
                </w:p>
              </w:tc>
              <w:tc>
                <w:tcPr>
                  <w:tcW w:w="314" w:type="pct"/>
                  <w:vMerge w:val="continue"/>
                  <w:shd w:val="clear" w:color="auto" w:fill="auto"/>
                  <w:vAlign w:val="center"/>
                </w:tcPr>
                <w:p w14:paraId="3EA1B3A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c>
                <w:tcPr>
                  <w:tcW w:w="375" w:type="pct"/>
                  <w:shd w:val="clear" w:color="auto" w:fill="auto"/>
                  <w:vAlign w:val="center"/>
                </w:tcPr>
                <w:p w14:paraId="694445F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套</w:t>
                  </w:r>
                </w:p>
              </w:tc>
              <w:tc>
                <w:tcPr>
                  <w:tcW w:w="384" w:type="pct"/>
                  <w:shd w:val="clear" w:color="auto" w:fill="auto"/>
                  <w:vAlign w:val="center"/>
                </w:tcPr>
                <w:p w14:paraId="5FE04DF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576" w:type="pct"/>
                  <w:shd w:val="clear" w:color="auto" w:fill="auto"/>
                  <w:vAlign w:val="center"/>
                </w:tcPr>
                <w:p w14:paraId="442F409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r>
            <w:tr w14:paraId="3774F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5A3F7CE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3</w:t>
                  </w:r>
                </w:p>
              </w:tc>
              <w:tc>
                <w:tcPr>
                  <w:tcW w:w="650" w:type="pct"/>
                  <w:shd w:val="clear" w:color="auto" w:fill="auto"/>
                  <w:vAlign w:val="center"/>
                </w:tcPr>
                <w:p w14:paraId="08C08BD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冷却塔</w:t>
                  </w:r>
                </w:p>
              </w:tc>
              <w:tc>
                <w:tcPr>
                  <w:tcW w:w="786" w:type="pct"/>
                  <w:shd w:val="clear" w:color="auto" w:fill="auto"/>
                  <w:vAlign w:val="center"/>
                </w:tcPr>
                <w:p w14:paraId="14B8D42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01D4E38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循环量25t/h</w:t>
                  </w:r>
                </w:p>
              </w:tc>
              <w:tc>
                <w:tcPr>
                  <w:tcW w:w="314" w:type="pct"/>
                  <w:vMerge w:val="continue"/>
                  <w:shd w:val="clear" w:color="auto" w:fill="auto"/>
                  <w:vAlign w:val="center"/>
                </w:tcPr>
                <w:p w14:paraId="4F57A4E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p>
              </w:tc>
              <w:tc>
                <w:tcPr>
                  <w:tcW w:w="375" w:type="pct"/>
                  <w:shd w:val="clear" w:color="auto" w:fill="auto"/>
                  <w:vAlign w:val="center"/>
                </w:tcPr>
                <w:p w14:paraId="4EE035F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套</w:t>
                  </w:r>
                </w:p>
              </w:tc>
              <w:tc>
                <w:tcPr>
                  <w:tcW w:w="384" w:type="pct"/>
                  <w:shd w:val="clear" w:color="auto" w:fill="auto"/>
                  <w:vAlign w:val="center"/>
                </w:tcPr>
                <w:p w14:paraId="006B0FA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576" w:type="pct"/>
                  <w:shd w:val="clear" w:color="auto" w:fill="auto"/>
                  <w:vAlign w:val="center"/>
                </w:tcPr>
                <w:p w14:paraId="5D46F77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r>
            <w:tr w14:paraId="7134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3C78F52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4</w:t>
                  </w:r>
                </w:p>
              </w:tc>
              <w:tc>
                <w:tcPr>
                  <w:tcW w:w="650" w:type="pct"/>
                  <w:shd w:val="clear" w:color="auto" w:fill="auto"/>
                  <w:vAlign w:val="center"/>
                </w:tcPr>
                <w:p w14:paraId="722DF31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酸洗塔</w:t>
                  </w:r>
                </w:p>
              </w:tc>
              <w:tc>
                <w:tcPr>
                  <w:tcW w:w="786" w:type="pct"/>
                  <w:shd w:val="clear" w:color="auto" w:fill="auto"/>
                  <w:vAlign w:val="center"/>
                </w:tcPr>
                <w:p w14:paraId="0667935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032EF8F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双层喷淋，壁厚8mm，底板10mm</w:t>
                  </w:r>
                </w:p>
              </w:tc>
              <w:tc>
                <w:tcPr>
                  <w:tcW w:w="314" w:type="pct"/>
                  <w:vMerge w:val="continue"/>
                  <w:shd w:val="clear" w:color="auto" w:fill="auto"/>
                  <w:vAlign w:val="center"/>
                </w:tcPr>
                <w:p w14:paraId="47910FC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vAlign w:val="center"/>
                </w:tcPr>
                <w:p w14:paraId="6D1C96F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套</w:t>
                  </w:r>
                </w:p>
              </w:tc>
              <w:tc>
                <w:tcPr>
                  <w:tcW w:w="384" w:type="pct"/>
                  <w:shd w:val="clear" w:color="auto" w:fill="auto"/>
                  <w:vAlign w:val="center"/>
                </w:tcPr>
                <w:p w14:paraId="0E26D52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576" w:type="pct"/>
                  <w:shd w:val="clear" w:color="auto" w:fill="auto"/>
                  <w:vAlign w:val="center"/>
                </w:tcPr>
                <w:p w14:paraId="0BAA49F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r>
            <w:tr w14:paraId="15B88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28CFB98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5</w:t>
                  </w:r>
                </w:p>
              </w:tc>
              <w:tc>
                <w:tcPr>
                  <w:tcW w:w="650" w:type="pct"/>
                  <w:shd w:val="clear" w:color="auto" w:fill="auto"/>
                  <w:vAlign w:val="center"/>
                </w:tcPr>
                <w:p w14:paraId="28DB595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碱洗塔</w:t>
                  </w:r>
                </w:p>
              </w:tc>
              <w:tc>
                <w:tcPr>
                  <w:tcW w:w="786" w:type="pct"/>
                  <w:shd w:val="clear" w:color="auto" w:fill="auto"/>
                  <w:vAlign w:val="center"/>
                </w:tcPr>
                <w:p w14:paraId="6E62E27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06A7C7D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双层喷淋，壁厚8mm，底板10mm</w:t>
                  </w:r>
                </w:p>
              </w:tc>
              <w:tc>
                <w:tcPr>
                  <w:tcW w:w="314" w:type="pct"/>
                  <w:vMerge w:val="continue"/>
                  <w:shd w:val="clear" w:color="auto" w:fill="auto"/>
                  <w:vAlign w:val="center"/>
                </w:tcPr>
                <w:p w14:paraId="37E6066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vAlign w:val="center"/>
                </w:tcPr>
                <w:p w14:paraId="389FC99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套</w:t>
                  </w:r>
                </w:p>
              </w:tc>
              <w:tc>
                <w:tcPr>
                  <w:tcW w:w="384" w:type="pct"/>
                  <w:shd w:val="clear" w:color="auto" w:fill="auto"/>
                  <w:vAlign w:val="center"/>
                </w:tcPr>
                <w:p w14:paraId="4EE8854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576" w:type="pct"/>
                  <w:shd w:val="clear" w:color="auto" w:fill="auto"/>
                  <w:vAlign w:val="center"/>
                </w:tcPr>
                <w:p w14:paraId="7887A6A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r>
            <w:tr w14:paraId="31343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6CE2BCFF">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6</w:t>
                  </w:r>
                </w:p>
              </w:tc>
              <w:tc>
                <w:tcPr>
                  <w:tcW w:w="650" w:type="pct"/>
                  <w:shd w:val="clear" w:color="auto" w:fill="auto"/>
                  <w:vAlign w:val="center"/>
                </w:tcPr>
                <w:p w14:paraId="2D3281A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氧化塔</w:t>
                  </w:r>
                </w:p>
              </w:tc>
              <w:tc>
                <w:tcPr>
                  <w:tcW w:w="786" w:type="pct"/>
                  <w:shd w:val="clear" w:color="auto" w:fill="auto"/>
                  <w:vAlign w:val="center"/>
                </w:tcPr>
                <w:p w14:paraId="4C3C937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3B50BE4E">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双层喷淋，壁厚8mm，底板10mm</w:t>
                  </w:r>
                </w:p>
              </w:tc>
              <w:tc>
                <w:tcPr>
                  <w:tcW w:w="314" w:type="pct"/>
                  <w:vMerge w:val="continue"/>
                  <w:shd w:val="clear" w:color="auto" w:fill="auto"/>
                  <w:vAlign w:val="center"/>
                </w:tcPr>
                <w:p w14:paraId="37A5280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vAlign w:val="center"/>
                </w:tcPr>
                <w:p w14:paraId="37EE9D5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套</w:t>
                  </w:r>
                </w:p>
              </w:tc>
              <w:tc>
                <w:tcPr>
                  <w:tcW w:w="384" w:type="pct"/>
                  <w:shd w:val="clear" w:color="auto" w:fill="auto"/>
                  <w:vAlign w:val="center"/>
                </w:tcPr>
                <w:p w14:paraId="4AA45E2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1</w:t>
                  </w:r>
                </w:p>
              </w:tc>
              <w:tc>
                <w:tcPr>
                  <w:tcW w:w="576" w:type="pct"/>
                  <w:shd w:val="clear" w:color="auto" w:fill="auto"/>
                  <w:vAlign w:val="center"/>
                </w:tcPr>
                <w:p w14:paraId="44A061D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w:t>
                  </w:r>
                </w:p>
              </w:tc>
            </w:tr>
            <w:tr w14:paraId="6B11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1F87F1B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7</w:t>
                  </w:r>
                </w:p>
              </w:tc>
              <w:tc>
                <w:tcPr>
                  <w:tcW w:w="650" w:type="pct"/>
                  <w:shd w:val="clear" w:color="auto" w:fill="auto"/>
                  <w:vAlign w:val="center"/>
                </w:tcPr>
                <w:p w14:paraId="4F06AA1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干式过滤箱</w:t>
                  </w:r>
                </w:p>
              </w:tc>
              <w:tc>
                <w:tcPr>
                  <w:tcW w:w="786" w:type="pct"/>
                  <w:shd w:val="clear" w:color="000000" w:fill="auto"/>
                  <w:vAlign w:val="center"/>
                </w:tcPr>
                <w:p w14:paraId="5B2264F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000000" w:fill="auto"/>
                  <w:vAlign w:val="center"/>
                </w:tcPr>
                <w:p w14:paraId="09E9452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PPS材质 壳体壁厚12mm，底部壁厚12mm</w:t>
                  </w:r>
                </w:p>
              </w:tc>
              <w:tc>
                <w:tcPr>
                  <w:tcW w:w="314" w:type="pct"/>
                  <w:vMerge w:val="continue"/>
                  <w:shd w:val="clear" w:color="auto" w:fill="auto"/>
                  <w:vAlign w:val="center"/>
                </w:tcPr>
                <w:p w14:paraId="354D7B6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vAlign w:val="center"/>
                </w:tcPr>
                <w:p w14:paraId="3F70E2C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套</w:t>
                  </w:r>
                </w:p>
              </w:tc>
              <w:tc>
                <w:tcPr>
                  <w:tcW w:w="384" w:type="pct"/>
                  <w:shd w:val="clear" w:color="auto" w:fill="auto"/>
                  <w:vAlign w:val="center"/>
                </w:tcPr>
                <w:p w14:paraId="0163179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576" w:type="pct"/>
                  <w:shd w:val="clear" w:color="auto" w:fill="auto"/>
                  <w:vAlign w:val="center"/>
                </w:tcPr>
                <w:p w14:paraId="06CAE54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r>
            <w:tr w14:paraId="2E393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5BF023D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8</w:t>
                  </w:r>
                </w:p>
              </w:tc>
              <w:tc>
                <w:tcPr>
                  <w:tcW w:w="650" w:type="pct"/>
                  <w:shd w:val="clear" w:color="auto" w:fill="auto"/>
                  <w:vAlign w:val="center"/>
                </w:tcPr>
                <w:p w14:paraId="0E614F6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活性炭吸附箱</w:t>
                  </w:r>
                  <w:r>
                    <w:rPr>
                      <w:rFonts w:hint="eastAsia" w:ascii="宋体" w:hAnsi="宋体" w:cs="宋体"/>
                      <w:color w:val="auto"/>
                      <w:sz w:val="21"/>
                      <w:szCs w:val="21"/>
                      <w:lang w:val="en-US" w:eastAsia="zh-CN"/>
                    </w:rPr>
                    <w:t>（一级）</w:t>
                  </w:r>
                </w:p>
              </w:tc>
              <w:tc>
                <w:tcPr>
                  <w:tcW w:w="786" w:type="pct"/>
                  <w:shd w:val="clear" w:color="auto" w:fill="auto"/>
                  <w:vAlign w:val="center"/>
                </w:tcPr>
                <w:p w14:paraId="561A48B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4E7B3E2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314" w:type="pct"/>
                  <w:vMerge w:val="continue"/>
                  <w:shd w:val="clear" w:color="auto" w:fill="auto"/>
                  <w:vAlign w:val="center"/>
                </w:tcPr>
                <w:p w14:paraId="3ADDFD5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vAlign w:val="center"/>
                </w:tcPr>
                <w:p w14:paraId="4AF72C7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套</w:t>
                  </w:r>
                </w:p>
              </w:tc>
              <w:tc>
                <w:tcPr>
                  <w:tcW w:w="384" w:type="pct"/>
                  <w:shd w:val="clear" w:color="auto" w:fill="auto"/>
                  <w:vAlign w:val="center"/>
                </w:tcPr>
                <w:p w14:paraId="4AA9E87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576" w:type="pct"/>
                  <w:shd w:val="clear" w:color="auto" w:fill="auto"/>
                  <w:vAlign w:val="center"/>
                </w:tcPr>
                <w:p w14:paraId="3083553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r>
            <w:tr w14:paraId="583E4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714417D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9</w:t>
                  </w:r>
                </w:p>
              </w:tc>
              <w:tc>
                <w:tcPr>
                  <w:tcW w:w="650" w:type="pct"/>
                  <w:shd w:val="clear" w:color="auto" w:fill="auto"/>
                  <w:vAlign w:val="center"/>
                </w:tcPr>
                <w:p w14:paraId="1E1958A0">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喷淋系统</w:t>
                  </w:r>
                </w:p>
              </w:tc>
              <w:tc>
                <w:tcPr>
                  <w:tcW w:w="786" w:type="pct"/>
                  <w:shd w:val="clear" w:color="auto" w:fill="auto"/>
                  <w:vAlign w:val="center"/>
                </w:tcPr>
                <w:p w14:paraId="67F9DDA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w:t>
                  </w:r>
                </w:p>
              </w:tc>
              <w:tc>
                <w:tcPr>
                  <w:tcW w:w="1481" w:type="pct"/>
                  <w:shd w:val="clear" w:color="auto" w:fill="auto"/>
                  <w:vAlign w:val="center"/>
                </w:tcPr>
                <w:p w14:paraId="33B27601">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喷淋管路、喷嘴、流量计等</w:t>
                  </w:r>
                </w:p>
              </w:tc>
              <w:tc>
                <w:tcPr>
                  <w:tcW w:w="314" w:type="pct"/>
                  <w:vMerge w:val="continue"/>
                  <w:shd w:val="clear" w:color="auto" w:fill="auto"/>
                  <w:vAlign w:val="center"/>
                </w:tcPr>
                <w:p w14:paraId="02D4868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rPr>
                  </w:pPr>
                </w:p>
              </w:tc>
              <w:tc>
                <w:tcPr>
                  <w:tcW w:w="375" w:type="pct"/>
                  <w:shd w:val="clear" w:color="auto" w:fill="auto"/>
                  <w:vAlign w:val="center"/>
                </w:tcPr>
                <w:p w14:paraId="5682ACF2">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套</w:t>
                  </w:r>
                </w:p>
              </w:tc>
              <w:tc>
                <w:tcPr>
                  <w:tcW w:w="384" w:type="pct"/>
                  <w:shd w:val="clear" w:color="auto" w:fill="auto"/>
                  <w:vAlign w:val="center"/>
                </w:tcPr>
                <w:p w14:paraId="31D29F0A">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c>
                <w:tcPr>
                  <w:tcW w:w="576" w:type="pct"/>
                  <w:shd w:val="clear" w:color="auto" w:fill="auto"/>
                  <w:vAlign w:val="center"/>
                </w:tcPr>
                <w:p w14:paraId="07911CB7">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r>
            <w:tr w14:paraId="20F8B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shd w:val="clear" w:color="auto" w:fill="auto"/>
                  <w:vAlign w:val="center"/>
                </w:tcPr>
                <w:p w14:paraId="0172022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c>
                <w:tcPr>
                  <w:tcW w:w="650" w:type="pct"/>
                  <w:shd w:val="clear" w:color="auto" w:fill="auto"/>
                  <w:vAlign w:val="center"/>
                </w:tcPr>
                <w:p w14:paraId="5E759EBE">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加药系统</w:t>
                  </w:r>
                </w:p>
              </w:tc>
              <w:tc>
                <w:tcPr>
                  <w:tcW w:w="786" w:type="pct"/>
                  <w:shd w:val="clear" w:color="auto" w:fill="auto"/>
                  <w:vAlign w:val="center"/>
                </w:tcPr>
                <w:p w14:paraId="12A40CEE">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color w:val="auto"/>
                      <w:sz w:val="21"/>
                      <w:szCs w:val="21"/>
                      <w:lang w:val="en-US" w:eastAsia="zh-CN"/>
                    </w:rPr>
                    <w:t>-</w:t>
                  </w:r>
                </w:p>
              </w:tc>
              <w:tc>
                <w:tcPr>
                  <w:tcW w:w="1481" w:type="pct"/>
                  <w:shd w:val="clear" w:color="auto" w:fill="auto"/>
                  <w:vAlign w:val="center"/>
                </w:tcPr>
                <w:p w14:paraId="78930A49">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容积200L，计量泵：90L/h，搅拌机，低液位报警</w:t>
                  </w:r>
                </w:p>
              </w:tc>
              <w:tc>
                <w:tcPr>
                  <w:tcW w:w="314" w:type="pct"/>
                  <w:vMerge w:val="continue"/>
                  <w:shd w:val="clear" w:color="auto" w:fill="auto"/>
                  <w:vAlign w:val="center"/>
                </w:tcPr>
                <w:p w14:paraId="317357B3">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auto"/>
                      <w:kern w:val="2"/>
                      <w:sz w:val="21"/>
                      <w:szCs w:val="21"/>
                      <w:u w:val="none"/>
                      <w:lang w:val="en-US" w:eastAsia="zh-CN" w:bidi="ar-SA"/>
                    </w:rPr>
                  </w:pPr>
                </w:p>
              </w:tc>
              <w:tc>
                <w:tcPr>
                  <w:tcW w:w="375" w:type="pct"/>
                  <w:shd w:val="clear" w:color="auto" w:fill="auto"/>
                  <w:vAlign w:val="center"/>
                </w:tcPr>
                <w:p w14:paraId="175E00C9">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套</w:t>
                  </w:r>
                </w:p>
              </w:tc>
              <w:tc>
                <w:tcPr>
                  <w:tcW w:w="384" w:type="pct"/>
                  <w:shd w:val="clear" w:color="auto" w:fill="auto"/>
                  <w:vAlign w:val="center"/>
                </w:tcPr>
                <w:p w14:paraId="7C28258B">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576" w:type="pct"/>
                  <w:shd w:val="clear" w:color="auto" w:fill="auto"/>
                  <w:vAlign w:val="center"/>
                </w:tcPr>
                <w:p w14:paraId="285DF6DD">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p>
              </w:tc>
            </w:tr>
          </w:tbl>
          <w:p w14:paraId="4D1D6A3B">
            <w:pPr>
              <w:adjustRightInd w:val="0"/>
              <w:snapToGrid w:val="0"/>
              <w:spacing w:line="360" w:lineRule="auto"/>
              <w:rPr>
                <w:color w:val="auto"/>
                <w:sz w:val="24"/>
              </w:rPr>
            </w:pPr>
            <w:r>
              <w:rPr>
                <w:color w:val="auto"/>
                <w:sz w:val="24"/>
              </w:rPr>
              <w:t>7、劳动定员及工作制度</w:t>
            </w:r>
          </w:p>
          <w:p w14:paraId="5711FE69">
            <w:pPr>
              <w:adjustRightInd w:val="0"/>
              <w:snapToGrid w:val="0"/>
              <w:spacing w:line="360" w:lineRule="auto"/>
              <w:ind w:firstLine="480" w:firstLineChars="200"/>
              <w:rPr>
                <w:color w:val="auto"/>
                <w:sz w:val="24"/>
              </w:rPr>
            </w:pPr>
            <w:r>
              <w:rPr>
                <w:color w:val="auto"/>
                <w:sz w:val="24"/>
              </w:rPr>
              <w:t>本</w:t>
            </w:r>
            <w:r>
              <w:rPr>
                <w:rFonts w:hint="eastAsia"/>
                <w:color w:val="auto"/>
                <w:sz w:val="24"/>
                <w:lang w:eastAsia="zh-CN"/>
              </w:rPr>
              <w:t>次</w:t>
            </w:r>
            <w:r>
              <w:rPr>
                <w:color w:val="auto"/>
                <w:sz w:val="24"/>
              </w:rPr>
              <w:t>劳动定员</w:t>
            </w:r>
            <w:r>
              <w:rPr>
                <w:rFonts w:hint="eastAsia"/>
                <w:color w:val="auto"/>
                <w:sz w:val="24"/>
                <w:lang w:val="en-US" w:eastAsia="zh-CN"/>
              </w:rPr>
              <w:t>20</w:t>
            </w:r>
            <w:r>
              <w:rPr>
                <w:rFonts w:hint="eastAsia"/>
                <w:color w:val="auto"/>
                <w:sz w:val="24"/>
                <w:lang w:eastAsia="zh-CN"/>
              </w:rPr>
              <w:t>人</w:t>
            </w:r>
            <w:r>
              <w:rPr>
                <w:color w:val="auto"/>
                <w:sz w:val="24"/>
              </w:rPr>
              <w:t>，采用</w:t>
            </w:r>
            <w:r>
              <w:rPr>
                <w:rFonts w:hint="eastAsia"/>
                <w:color w:val="auto"/>
                <w:sz w:val="24"/>
                <w:lang w:eastAsia="zh-CN"/>
              </w:rPr>
              <w:t>一</w:t>
            </w:r>
            <w:r>
              <w:rPr>
                <w:color w:val="auto"/>
                <w:sz w:val="24"/>
              </w:rPr>
              <w:t>班8小时工作制，年工作</w:t>
            </w:r>
            <w:r>
              <w:rPr>
                <w:rFonts w:hint="eastAsia"/>
                <w:color w:val="auto"/>
                <w:sz w:val="24"/>
                <w:lang w:val="en-US" w:eastAsia="zh-CN"/>
              </w:rPr>
              <w:t>330</w:t>
            </w:r>
            <w:r>
              <w:rPr>
                <w:color w:val="auto"/>
                <w:sz w:val="24"/>
              </w:rPr>
              <w:t>天；</w:t>
            </w:r>
            <w:r>
              <w:rPr>
                <w:rFonts w:hint="eastAsia"/>
                <w:color w:val="auto"/>
                <w:sz w:val="24"/>
                <w:lang w:eastAsia="zh-CN"/>
              </w:rPr>
              <w:t>配套</w:t>
            </w:r>
            <w:r>
              <w:rPr>
                <w:color w:val="auto"/>
                <w:sz w:val="24"/>
              </w:rPr>
              <w:t>设置员工食堂。</w:t>
            </w:r>
          </w:p>
          <w:p w14:paraId="4B7A7EB7">
            <w:pPr>
              <w:adjustRightInd w:val="0"/>
              <w:snapToGrid w:val="0"/>
              <w:spacing w:line="360" w:lineRule="auto"/>
              <w:rPr>
                <w:color w:val="auto"/>
                <w:sz w:val="24"/>
              </w:rPr>
            </w:pPr>
            <w:r>
              <w:rPr>
                <w:color w:val="auto"/>
                <w:sz w:val="24"/>
              </w:rPr>
              <w:t>8、公用工程</w:t>
            </w:r>
          </w:p>
          <w:p w14:paraId="2E4838F6">
            <w:pPr>
              <w:widowControl/>
              <w:spacing w:line="360" w:lineRule="auto"/>
              <w:ind w:firstLine="480" w:firstLineChars="200"/>
              <w:rPr>
                <w:color w:val="auto"/>
                <w:sz w:val="24"/>
              </w:rPr>
            </w:pPr>
            <w:r>
              <w:rPr>
                <w:color w:val="auto"/>
                <w:sz w:val="24"/>
              </w:rPr>
              <w:t>本项目由</w:t>
            </w:r>
            <w:r>
              <w:rPr>
                <w:rFonts w:hint="eastAsia"/>
                <w:color w:val="auto"/>
                <w:sz w:val="24"/>
                <w:lang w:eastAsia="zh-CN"/>
              </w:rPr>
              <w:t>东至县市政</w:t>
            </w:r>
            <w:r>
              <w:rPr>
                <w:color w:val="auto"/>
                <w:sz w:val="24"/>
              </w:rPr>
              <w:t>供水管网统一供水，用水主要为生活用水</w:t>
            </w:r>
            <w:r>
              <w:rPr>
                <w:rFonts w:hint="eastAsia"/>
                <w:color w:val="auto"/>
                <w:sz w:val="24"/>
                <w:lang w:eastAsia="zh-CN"/>
              </w:rPr>
              <w:t>、车辆、地面和设备冲洗用水、</w:t>
            </w:r>
            <w:r>
              <w:rPr>
                <w:rFonts w:hint="eastAsia"/>
                <w:strike w:val="0"/>
                <w:dstrike w:val="0"/>
                <w:color w:val="auto"/>
                <w:sz w:val="24"/>
                <w:lang w:eastAsia="zh-CN"/>
              </w:rPr>
              <w:t>和</w:t>
            </w:r>
            <w:r>
              <w:rPr>
                <w:rFonts w:hint="eastAsia"/>
                <w:color w:val="auto"/>
                <w:sz w:val="24"/>
                <w:lang w:eastAsia="zh-CN"/>
              </w:rPr>
              <w:t>喷淋用水、循环冷却用水</w:t>
            </w:r>
            <w:r>
              <w:rPr>
                <w:color w:val="auto"/>
                <w:sz w:val="24"/>
              </w:rPr>
              <w:t>。</w:t>
            </w:r>
          </w:p>
          <w:p w14:paraId="762B9751">
            <w:pPr>
              <w:widowControl/>
              <w:spacing w:line="360" w:lineRule="auto"/>
              <w:ind w:firstLine="480" w:firstLineChars="200"/>
              <w:rPr>
                <w:color w:val="auto"/>
                <w:kern w:val="0"/>
                <w:sz w:val="24"/>
                <w:lang w:bidi="ar"/>
              </w:rPr>
            </w:pPr>
            <w:r>
              <w:rPr>
                <w:color w:val="auto"/>
                <w:sz w:val="24"/>
              </w:rPr>
              <w:t>（</w:t>
            </w:r>
            <w:r>
              <w:rPr>
                <w:rFonts w:hint="eastAsia"/>
                <w:color w:val="auto"/>
                <w:sz w:val="24"/>
                <w:lang w:val="en-US" w:eastAsia="zh-CN"/>
              </w:rPr>
              <w:t>1</w:t>
            </w:r>
            <w:r>
              <w:rPr>
                <w:color w:val="auto"/>
                <w:sz w:val="24"/>
              </w:rPr>
              <w:t>）</w:t>
            </w:r>
            <w:r>
              <w:rPr>
                <w:color w:val="auto"/>
                <w:kern w:val="0"/>
                <w:sz w:val="24"/>
                <w:lang w:bidi="ar"/>
              </w:rPr>
              <w:t>生活</w:t>
            </w:r>
            <w:r>
              <w:rPr>
                <w:rFonts w:hint="eastAsia"/>
                <w:color w:val="auto"/>
                <w:kern w:val="0"/>
                <w:sz w:val="24"/>
                <w:lang w:eastAsia="zh-CN" w:bidi="ar"/>
              </w:rPr>
              <w:t>办公</w:t>
            </w:r>
          </w:p>
          <w:p w14:paraId="2EFDEAB4">
            <w:pPr>
              <w:widowControl/>
              <w:spacing w:line="360" w:lineRule="auto"/>
              <w:ind w:firstLine="480" w:firstLineChars="200"/>
              <w:rPr>
                <w:color w:val="auto"/>
                <w:kern w:val="0"/>
                <w:sz w:val="24"/>
                <w:lang w:val="zh-CN" w:bidi="ar"/>
              </w:rPr>
            </w:pPr>
            <w:r>
              <w:rPr>
                <w:color w:val="auto"/>
                <w:kern w:val="0"/>
                <w:sz w:val="24"/>
                <w:lang w:bidi="ar"/>
              </w:rPr>
              <w:t>本项目</w:t>
            </w:r>
            <w:r>
              <w:rPr>
                <w:rFonts w:hint="eastAsia"/>
                <w:color w:val="auto"/>
                <w:kern w:val="0"/>
                <w:sz w:val="24"/>
                <w:lang w:bidi="ar"/>
              </w:rPr>
              <w:t>新增</w:t>
            </w:r>
            <w:r>
              <w:rPr>
                <w:color w:val="auto"/>
                <w:kern w:val="0"/>
                <w:sz w:val="24"/>
                <w:lang w:bidi="ar"/>
              </w:rPr>
              <w:t>员工</w:t>
            </w:r>
            <w:r>
              <w:rPr>
                <w:rFonts w:hint="eastAsia"/>
                <w:color w:val="auto"/>
                <w:kern w:val="0"/>
                <w:sz w:val="24"/>
                <w:highlight w:val="none"/>
                <w:lang w:val="en-US" w:eastAsia="zh-CN" w:bidi="ar"/>
              </w:rPr>
              <w:t>20</w:t>
            </w:r>
            <w:r>
              <w:rPr>
                <w:color w:val="auto"/>
                <w:kern w:val="0"/>
                <w:sz w:val="24"/>
                <w:highlight w:val="none"/>
                <w:lang w:bidi="ar"/>
              </w:rPr>
              <w:t>人，年工作时间</w:t>
            </w:r>
            <w:r>
              <w:rPr>
                <w:rFonts w:hint="eastAsia"/>
                <w:color w:val="auto"/>
                <w:kern w:val="0"/>
                <w:sz w:val="24"/>
                <w:highlight w:val="none"/>
                <w:lang w:val="en-US" w:eastAsia="zh-CN" w:bidi="ar"/>
              </w:rPr>
              <w:t>330</w:t>
            </w:r>
            <w:r>
              <w:rPr>
                <w:color w:val="auto"/>
                <w:kern w:val="0"/>
                <w:sz w:val="24"/>
                <w:highlight w:val="none"/>
                <w:lang w:bidi="ar"/>
              </w:rPr>
              <w:t>天。根据《安徽省行业用水定额》（DB34/T679-20</w:t>
            </w:r>
            <w:r>
              <w:rPr>
                <w:rFonts w:hint="eastAsia"/>
                <w:color w:val="auto"/>
                <w:kern w:val="0"/>
                <w:sz w:val="24"/>
                <w:highlight w:val="none"/>
                <w:lang w:val="en-US" w:eastAsia="zh-CN" w:bidi="ar"/>
              </w:rPr>
              <w:t>25</w:t>
            </w:r>
            <w:r>
              <w:rPr>
                <w:color w:val="auto"/>
                <w:kern w:val="0"/>
                <w:sz w:val="24"/>
                <w:highlight w:val="none"/>
                <w:lang w:bidi="ar"/>
              </w:rPr>
              <w:t>），</w:t>
            </w:r>
            <w:r>
              <w:rPr>
                <w:rFonts w:hint="eastAsia"/>
                <w:color w:val="auto"/>
                <w:kern w:val="0"/>
                <w:sz w:val="24"/>
                <w:highlight w:val="none"/>
                <w:lang w:eastAsia="zh-CN" w:bidi="ar"/>
              </w:rPr>
              <w:t>拥有独立的综合办公楼，其中企事业单位</w:t>
            </w:r>
            <w:r>
              <w:rPr>
                <w:color w:val="auto"/>
                <w:kern w:val="0"/>
                <w:sz w:val="24"/>
                <w:highlight w:val="none"/>
                <w:lang w:bidi="ar"/>
              </w:rPr>
              <w:t>生活</w:t>
            </w:r>
            <w:r>
              <w:rPr>
                <w:color w:val="auto"/>
                <w:kern w:val="0"/>
                <w:sz w:val="24"/>
                <w:highlight w:val="none"/>
                <w:lang w:val="zh-CN" w:bidi="ar"/>
              </w:rPr>
              <w:t>用水以</w:t>
            </w:r>
            <w:r>
              <w:rPr>
                <w:rFonts w:hint="eastAsia"/>
                <w:color w:val="auto"/>
                <w:kern w:val="0"/>
                <w:sz w:val="24"/>
                <w:highlight w:val="none"/>
                <w:lang w:val="en-US" w:eastAsia="zh-CN" w:bidi="ar"/>
              </w:rPr>
              <w:t>15m³/a 人，</w:t>
            </w:r>
            <w:r>
              <w:rPr>
                <w:color w:val="auto"/>
                <w:kern w:val="0"/>
                <w:sz w:val="24"/>
                <w:highlight w:val="none"/>
                <w:lang w:bidi="ar"/>
              </w:rPr>
              <w:t>则</w:t>
            </w:r>
            <w:r>
              <w:rPr>
                <w:rFonts w:hint="eastAsia"/>
                <w:color w:val="auto"/>
                <w:kern w:val="0"/>
                <w:sz w:val="24"/>
                <w:highlight w:val="none"/>
                <w:lang w:val="zh-CN" w:bidi="ar"/>
              </w:rPr>
              <w:t>生活办公</w:t>
            </w:r>
            <w:r>
              <w:rPr>
                <w:color w:val="auto"/>
                <w:kern w:val="0"/>
                <w:sz w:val="24"/>
                <w:highlight w:val="none"/>
                <w:lang w:val="zh-CN" w:bidi="ar"/>
              </w:rPr>
              <w:t>用水为</w:t>
            </w:r>
            <w:r>
              <w:rPr>
                <w:rFonts w:hint="eastAsia"/>
                <w:color w:val="auto"/>
                <w:kern w:val="0"/>
                <w:sz w:val="24"/>
                <w:highlight w:val="none"/>
                <w:lang w:val="en-US" w:eastAsia="zh-CN" w:bidi="ar"/>
              </w:rPr>
              <w:t>0.91</w:t>
            </w:r>
            <w:r>
              <w:rPr>
                <w:color w:val="auto"/>
                <w:kern w:val="0"/>
                <w:sz w:val="24"/>
                <w:highlight w:val="none"/>
                <w:lang w:bidi="ar"/>
              </w:rPr>
              <w:t>m</w:t>
            </w:r>
            <w:r>
              <w:rPr>
                <w:color w:val="auto"/>
                <w:kern w:val="0"/>
                <w:sz w:val="24"/>
                <w:highlight w:val="none"/>
                <w:vertAlign w:val="superscript"/>
                <w:lang w:bidi="ar"/>
              </w:rPr>
              <w:t>3</w:t>
            </w:r>
            <w:r>
              <w:rPr>
                <w:color w:val="auto"/>
                <w:kern w:val="0"/>
                <w:sz w:val="24"/>
                <w:highlight w:val="none"/>
                <w:lang w:val="zh-CN" w:bidi="ar"/>
              </w:rPr>
              <w:t>/</w:t>
            </w:r>
            <w:r>
              <w:rPr>
                <w:color w:val="auto"/>
                <w:kern w:val="0"/>
                <w:sz w:val="24"/>
                <w:highlight w:val="none"/>
                <w:lang w:bidi="ar"/>
              </w:rPr>
              <w:t>d（</w:t>
            </w:r>
            <w:r>
              <w:rPr>
                <w:rFonts w:hint="eastAsia"/>
                <w:strike w:val="0"/>
                <w:dstrike w:val="0"/>
                <w:color w:val="auto"/>
                <w:kern w:val="0"/>
                <w:sz w:val="24"/>
                <w:highlight w:val="none"/>
                <w:lang w:val="en-US" w:eastAsia="zh-CN" w:bidi="ar"/>
              </w:rPr>
              <w:t>300</w:t>
            </w:r>
            <w:r>
              <w:rPr>
                <w:color w:val="auto"/>
                <w:kern w:val="0"/>
                <w:sz w:val="24"/>
                <w:highlight w:val="none"/>
                <w:lang w:bidi="ar"/>
              </w:rPr>
              <w:t>m</w:t>
            </w:r>
            <w:r>
              <w:rPr>
                <w:color w:val="auto"/>
                <w:kern w:val="0"/>
                <w:sz w:val="24"/>
                <w:highlight w:val="none"/>
                <w:vertAlign w:val="superscript"/>
                <w:lang w:bidi="ar"/>
              </w:rPr>
              <w:t>3</w:t>
            </w:r>
            <w:r>
              <w:rPr>
                <w:color w:val="auto"/>
                <w:kern w:val="0"/>
                <w:sz w:val="24"/>
                <w:highlight w:val="none"/>
                <w:lang w:val="zh-CN" w:bidi="ar"/>
              </w:rPr>
              <w:t>/a</w:t>
            </w:r>
            <w:r>
              <w:rPr>
                <w:color w:val="auto"/>
                <w:kern w:val="0"/>
                <w:sz w:val="24"/>
                <w:highlight w:val="none"/>
                <w:lang w:bidi="ar"/>
              </w:rPr>
              <w:t>）</w:t>
            </w:r>
            <w:r>
              <w:rPr>
                <w:color w:val="auto"/>
                <w:kern w:val="0"/>
                <w:sz w:val="24"/>
                <w:highlight w:val="none"/>
                <w:lang w:val="zh-CN" w:bidi="ar"/>
              </w:rPr>
              <w:t>；</w:t>
            </w:r>
            <w:r>
              <w:rPr>
                <w:color w:val="auto"/>
                <w:kern w:val="0"/>
                <w:sz w:val="24"/>
                <w:highlight w:val="none"/>
                <w:lang w:bidi="ar"/>
              </w:rPr>
              <w:t>生活</w:t>
            </w:r>
            <w:r>
              <w:rPr>
                <w:color w:val="auto"/>
                <w:kern w:val="0"/>
                <w:sz w:val="24"/>
                <w:highlight w:val="none"/>
                <w:lang w:val="zh-CN" w:bidi="ar"/>
              </w:rPr>
              <w:t>污水产污系数以0.8计，则生活污水产生量为</w:t>
            </w:r>
            <w:r>
              <w:rPr>
                <w:rFonts w:hint="eastAsia"/>
                <w:strike w:val="0"/>
                <w:dstrike w:val="0"/>
                <w:color w:val="auto"/>
                <w:kern w:val="0"/>
                <w:sz w:val="24"/>
                <w:highlight w:val="none"/>
                <w:lang w:val="en-US" w:eastAsia="zh-CN" w:bidi="ar"/>
              </w:rPr>
              <w:t>0.73</w:t>
            </w:r>
            <w:r>
              <w:rPr>
                <w:color w:val="auto"/>
                <w:kern w:val="0"/>
                <w:sz w:val="24"/>
                <w:highlight w:val="none"/>
                <w:lang w:bidi="ar"/>
              </w:rPr>
              <w:t>m</w:t>
            </w:r>
            <w:r>
              <w:rPr>
                <w:color w:val="auto"/>
                <w:kern w:val="0"/>
                <w:sz w:val="24"/>
                <w:highlight w:val="none"/>
                <w:vertAlign w:val="superscript"/>
                <w:lang w:bidi="ar"/>
              </w:rPr>
              <w:t>3</w:t>
            </w:r>
            <w:r>
              <w:rPr>
                <w:color w:val="auto"/>
                <w:kern w:val="0"/>
                <w:sz w:val="24"/>
                <w:highlight w:val="none"/>
                <w:lang w:val="zh-CN" w:bidi="ar"/>
              </w:rPr>
              <w:t>/</w:t>
            </w:r>
            <w:r>
              <w:rPr>
                <w:color w:val="auto"/>
                <w:kern w:val="0"/>
                <w:sz w:val="24"/>
                <w:highlight w:val="none"/>
                <w:lang w:bidi="ar"/>
              </w:rPr>
              <w:t>d（</w:t>
            </w:r>
            <w:r>
              <w:rPr>
                <w:rFonts w:hint="eastAsia"/>
                <w:color w:val="auto"/>
                <w:kern w:val="0"/>
                <w:sz w:val="24"/>
                <w:highlight w:val="none"/>
                <w:lang w:val="en-US" w:eastAsia="zh-CN" w:bidi="ar"/>
              </w:rPr>
              <w:t>240</w:t>
            </w:r>
            <w:r>
              <w:rPr>
                <w:color w:val="auto"/>
                <w:kern w:val="0"/>
                <w:sz w:val="24"/>
                <w:highlight w:val="none"/>
                <w:lang w:bidi="ar"/>
              </w:rPr>
              <w:t>m</w:t>
            </w:r>
            <w:r>
              <w:rPr>
                <w:color w:val="auto"/>
                <w:kern w:val="0"/>
                <w:sz w:val="24"/>
                <w:highlight w:val="none"/>
                <w:vertAlign w:val="superscript"/>
                <w:lang w:bidi="ar"/>
              </w:rPr>
              <w:t>3</w:t>
            </w:r>
            <w:r>
              <w:rPr>
                <w:color w:val="auto"/>
                <w:kern w:val="0"/>
                <w:sz w:val="24"/>
                <w:highlight w:val="none"/>
                <w:lang w:val="zh-CN" w:bidi="ar"/>
              </w:rPr>
              <w:t>/a</w:t>
            </w:r>
            <w:r>
              <w:rPr>
                <w:color w:val="auto"/>
                <w:kern w:val="0"/>
                <w:sz w:val="24"/>
                <w:highlight w:val="none"/>
                <w:lang w:bidi="ar"/>
              </w:rPr>
              <w:t>）</w:t>
            </w:r>
            <w:r>
              <w:rPr>
                <w:color w:val="auto"/>
                <w:kern w:val="0"/>
                <w:sz w:val="24"/>
                <w:lang w:val="zh-CN" w:bidi="ar"/>
              </w:rPr>
              <w:t>。</w:t>
            </w:r>
          </w:p>
          <w:p w14:paraId="10775A94">
            <w:pPr>
              <w:widowControl/>
              <w:spacing w:line="360" w:lineRule="auto"/>
              <w:ind w:firstLine="480" w:firstLineChars="200"/>
              <w:rPr>
                <w:rFonts w:hint="eastAsia"/>
                <w:color w:val="auto"/>
                <w:kern w:val="0"/>
                <w:sz w:val="24"/>
                <w:lang w:val="en-US" w:eastAsia="zh-CN" w:bidi="ar"/>
              </w:rPr>
            </w:pPr>
            <w:r>
              <w:rPr>
                <w:rFonts w:hint="eastAsia"/>
                <w:color w:val="auto"/>
                <w:kern w:val="0"/>
                <w:sz w:val="24"/>
                <w:lang w:val="zh-CN" w:bidi="ar"/>
              </w:rPr>
              <w:t>（</w:t>
            </w:r>
            <w:r>
              <w:rPr>
                <w:rFonts w:hint="eastAsia"/>
                <w:color w:val="auto"/>
                <w:kern w:val="0"/>
                <w:sz w:val="24"/>
                <w:lang w:val="en-US" w:eastAsia="zh-CN" w:bidi="ar"/>
              </w:rPr>
              <w:t>2</w:t>
            </w:r>
            <w:r>
              <w:rPr>
                <w:rFonts w:hint="eastAsia"/>
                <w:color w:val="auto"/>
                <w:kern w:val="0"/>
                <w:sz w:val="24"/>
                <w:lang w:val="zh-CN" w:bidi="ar"/>
              </w:rPr>
              <w:t>）</w:t>
            </w:r>
            <w:r>
              <w:rPr>
                <w:rFonts w:hint="eastAsia"/>
                <w:color w:val="auto"/>
                <w:kern w:val="0"/>
                <w:sz w:val="24"/>
                <w:lang w:val="en-US" w:eastAsia="zh-CN" w:bidi="ar"/>
              </w:rPr>
              <w:t>喷淋</w:t>
            </w:r>
          </w:p>
          <w:p w14:paraId="136B44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val="en-US" w:eastAsia="zh-CN"/>
              </w:rPr>
            </w:pPr>
            <w:r>
              <w:rPr>
                <w:rFonts w:hint="eastAsia"/>
                <w:color w:val="auto"/>
                <w:sz w:val="24"/>
                <w:szCs w:val="32"/>
                <w:lang w:val="en-US" w:eastAsia="zh-CN"/>
              </w:rPr>
              <w:t>项目设置2套喷淋系统，每套系统有2个塔，每个喷淋塔设置一个5m³的水箱，每15天进行一次更换。则喷淋用水量为10t/次，220t/a，0.67t/d，喷淋废水取用水量的80%，则产生喷淋废水为174.9t/a，0.53t/d。</w:t>
            </w:r>
          </w:p>
          <w:p w14:paraId="57ED4062">
            <w:pPr>
              <w:pStyle w:val="90"/>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color w:val="auto"/>
                <w:sz w:val="24"/>
                <w:szCs w:val="24"/>
                <w:lang w:val="en-US" w:eastAsia="zh-CN"/>
              </w:rPr>
            </w:pPr>
            <w:r>
              <w:rPr>
                <w:rFonts w:hint="eastAsia"/>
                <w:color w:val="auto"/>
                <w:kern w:val="0"/>
                <w:sz w:val="24"/>
                <w:lang w:val="en-US" w:eastAsia="zh-CN" w:bidi="ar"/>
              </w:rPr>
              <w:t>（3）</w:t>
            </w:r>
            <w:r>
              <w:rPr>
                <w:rFonts w:hint="eastAsia" w:ascii="宋体" w:hAnsi="宋体"/>
                <w:color w:val="auto"/>
                <w:sz w:val="24"/>
                <w:szCs w:val="24"/>
                <w:lang w:val="en-US" w:eastAsia="zh-CN"/>
              </w:rPr>
              <w:t>车辆冲洗</w:t>
            </w:r>
          </w:p>
          <w:p w14:paraId="218B851E">
            <w:pPr>
              <w:pStyle w:val="90"/>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本项目车辆驶入车间内卸料间进行卸料，随后进行冲洗。具体形式为：对接料口及车尾出料口采用高压水枪冲洗，冲洗干净后，对地面进行冲洗，确保车轮及地面无餐厨垃圾残留后，车辆驶出。</w:t>
            </w:r>
            <w:r>
              <w:rPr>
                <w:rFonts w:hint="default" w:ascii="Times New Roman" w:hAnsi="Times New Roman" w:eastAsia="宋体" w:cs="Times New Roman"/>
                <w:color w:val="auto"/>
                <w:sz w:val="24"/>
                <w:szCs w:val="24"/>
              </w:rPr>
              <w:t>参照《建筑给排水设计规范》（GB50015-20</w:t>
            </w:r>
            <w:r>
              <w:rPr>
                <w:rFonts w:hint="default" w:ascii="Times New Roman" w:hAnsi="Times New Roman" w:eastAsia="宋体" w:cs="Times New Roman"/>
                <w:color w:val="auto"/>
                <w:sz w:val="24"/>
                <w:szCs w:val="24"/>
                <w:lang w:val="en-US" w:eastAsia="zh-CN"/>
              </w:rPr>
              <w:t>19</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w:t>
            </w:r>
            <w:r>
              <w:rPr>
                <w:rFonts w:hint="default" w:ascii="Times New Roman" w:hAnsi="Times New Roman" w:cs="Times New Roman"/>
                <w:color w:val="auto"/>
                <w:sz w:val="24"/>
                <w:szCs w:val="24"/>
                <w:lang w:val="en-US" w:eastAsia="zh-CN"/>
              </w:rPr>
              <w:t>住房和城乡建设部关于发布国家标准《建筑给水排水与节水通用规范》的公告</w:t>
            </w:r>
            <w:r>
              <w:rPr>
                <w:rFonts w:hint="default"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lang w:eastAsia="zh-CN"/>
              </w:rPr>
              <w:t>载重汽车</w:t>
            </w:r>
            <w:r>
              <w:rPr>
                <w:rFonts w:hint="default" w:ascii="Times New Roman" w:hAnsi="Times New Roman" w:eastAsia="宋体" w:cs="Times New Roman"/>
                <w:color w:val="auto"/>
                <w:sz w:val="24"/>
                <w:szCs w:val="24"/>
              </w:rPr>
              <w:t>每次冲洗用水量按</w:t>
            </w:r>
            <w:r>
              <w:rPr>
                <w:rFonts w:hint="default" w:ascii="Times New Roman" w:hAnsi="Times New Roman" w:eastAsia="宋体" w:cs="Times New Roman"/>
                <w:color w:val="auto"/>
                <w:sz w:val="24"/>
                <w:szCs w:val="24"/>
                <w:lang w:val="en-US" w:eastAsia="zh-CN"/>
              </w:rPr>
              <w:t>12</w:t>
            </w:r>
            <w:r>
              <w:rPr>
                <w:rFonts w:hint="default" w:ascii="Times New Roman" w:hAnsi="Times New Roman" w:eastAsia="宋体" w:cs="Times New Roman"/>
                <w:color w:val="auto"/>
                <w:sz w:val="24"/>
                <w:szCs w:val="24"/>
              </w:rPr>
              <w:t>0L/辆▪次计。建设项目设计年处理</w:t>
            </w:r>
            <w:r>
              <w:rPr>
                <w:rFonts w:hint="eastAsia" w:cs="Times New Roman"/>
                <w:color w:val="auto"/>
                <w:sz w:val="24"/>
                <w:szCs w:val="24"/>
                <w:lang w:val="en-US" w:eastAsia="zh-CN"/>
              </w:rPr>
              <w:t>15000</w:t>
            </w:r>
            <w:r>
              <w:rPr>
                <w:rFonts w:hint="default" w:ascii="Times New Roman" w:hAnsi="Times New Roman" w:eastAsia="宋体" w:cs="Times New Roman"/>
                <w:color w:val="auto"/>
                <w:sz w:val="24"/>
                <w:szCs w:val="24"/>
              </w:rPr>
              <w:t>吨餐厨废弃物，采用3-5 吨餐厨垃圾收运车收运，每车装载量按4吨估算，运输次数约为</w:t>
            </w:r>
            <w:r>
              <w:rPr>
                <w:rFonts w:hint="eastAsia" w:cs="Times New Roman"/>
                <w:color w:val="auto"/>
                <w:sz w:val="24"/>
                <w:szCs w:val="24"/>
                <w:lang w:val="en-US" w:eastAsia="zh-CN"/>
              </w:rPr>
              <w:t>3750</w:t>
            </w:r>
            <w:r>
              <w:rPr>
                <w:rFonts w:hint="default" w:ascii="Times New Roman" w:hAnsi="Times New Roman" w:eastAsia="宋体" w:cs="Times New Roman"/>
                <w:color w:val="auto"/>
                <w:sz w:val="24"/>
                <w:szCs w:val="24"/>
              </w:rPr>
              <w:t>次/年，每天运输次数</w:t>
            </w:r>
            <w:r>
              <w:rPr>
                <w:rFonts w:hint="eastAsia" w:cs="Times New Roman"/>
                <w:color w:val="auto"/>
                <w:sz w:val="24"/>
                <w:szCs w:val="24"/>
                <w:lang w:val="en-US" w:eastAsia="zh-CN"/>
              </w:rPr>
              <w:t>约12</w:t>
            </w:r>
            <w:r>
              <w:rPr>
                <w:rFonts w:hint="default" w:ascii="Times New Roman" w:hAnsi="Times New Roman" w:eastAsia="宋体" w:cs="Times New Roman"/>
                <w:color w:val="auto"/>
                <w:sz w:val="24"/>
                <w:szCs w:val="24"/>
              </w:rPr>
              <w:t>次。则本项目实施后车辆冲洗用水量约为</w:t>
            </w:r>
            <w:r>
              <w:rPr>
                <w:rFonts w:hint="eastAsia" w:cs="Times New Roman"/>
                <w:color w:val="auto"/>
                <w:sz w:val="24"/>
                <w:szCs w:val="24"/>
                <w:lang w:val="en-US" w:eastAsia="zh-CN"/>
              </w:rPr>
              <w:t>1.44</w:t>
            </w:r>
            <w:r>
              <w:rPr>
                <w:rFonts w:hint="default" w:ascii="Times New Roman" w:hAnsi="Times New Roman" w:eastAsia="宋体" w:cs="Times New Roman"/>
                <w:color w:val="auto"/>
                <w:sz w:val="24"/>
                <w:szCs w:val="24"/>
              </w:rPr>
              <w:t>t/d，即</w:t>
            </w:r>
            <w:r>
              <w:rPr>
                <w:rFonts w:hint="eastAsia" w:cs="Times New Roman"/>
                <w:color w:val="auto"/>
                <w:sz w:val="24"/>
                <w:szCs w:val="24"/>
                <w:lang w:val="en-US" w:eastAsia="zh-CN"/>
              </w:rPr>
              <w:t>475.2</w:t>
            </w:r>
            <w:r>
              <w:rPr>
                <w:rFonts w:hint="default" w:ascii="Times New Roman" w:hAnsi="Times New Roman" w:eastAsia="宋体" w:cs="Times New Roman"/>
                <w:color w:val="auto"/>
                <w:sz w:val="24"/>
                <w:szCs w:val="24"/>
              </w:rPr>
              <w:t>t/a。冲洗废水产生量取用水量的</w:t>
            </w:r>
            <w:r>
              <w:rPr>
                <w:rFonts w:hint="eastAsia" w:cs="Times New Roman"/>
                <w:color w:val="auto"/>
                <w:sz w:val="24"/>
                <w:szCs w:val="24"/>
                <w:lang w:val="en-US" w:eastAsia="zh-CN"/>
              </w:rPr>
              <w:t>8</w:t>
            </w:r>
            <w:r>
              <w:rPr>
                <w:rFonts w:hint="default" w:ascii="Times New Roman" w:hAnsi="Times New Roman" w:eastAsia="宋体" w:cs="Times New Roman"/>
                <w:color w:val="auto"/>
                <w:sz w:val="24"/>
                <w:szCs w:val="24"/>
              </w:rPr>
              <w:t>0%，则运输车辆冲洗废水量约为</w:t>
            </w:r>
            <w:r>
              <w:rPr>
                <w:rFonts w:hint="eastAsia" w:cs="Times New Roman"/>
                <w:color w:val="auto"/>
                <w:sz w:val="24"/>
                <w:szCs w:val="24"/>
                <w:lang w:val="en-US" w:eastAsia="zh-CN"/>
              </w:rPr>
              <w:t>1.15</w:t>
            </w:r>
            <w:r>
              <w:rPr>
                <w:rFonts w:hint="default" w:ascii="Times New Roman" w:hAnsi="Times New Roman" w:eastAsia="宋体" w:cs="Times New Roman"/>
                <w:color w:val="auto"/>
                <w:sz w:val="24"/>
                <w:szCs w:val="24"/>
              </w:rPr>
              <w:t xml:space="preserve">t/d，即 </w:t>
            </w:r>
            <w:r>
              <w:rPr>
                <w:rFonts w:hint="eastAsia" w:cs="Times New Roman"/>
                <w:color w:val="auto"/>
                <w:sz w:val="24"/>
                <w:szCs w:val="24"/>
                <w:lang w:val="en-US" w:eastAsia="zh-CN"/>
              </w:rPr>
              <w:t>379.5</w:t>
            </w:r>
            <w:r>
              <w:rPr>
                <w:rFonts w:hint="default" w:ascii="Times New Roman" w:hAnsi="Times New Roman" w:eastAsia="宋体" w:cs="Times New Roman"/>
                <w:color w:val="auto"/>
                <w:sz w:val="24"/>
                <w:szCs w:val="24"/>
              </w:rPr>
              <w:t xml:space="preserve">t/a （全年工作日按 </w:t>
            </w:r>
            <w:r>
              <w:rPr>
                <w:rFonts w:hint="eastAsia" w:cs="Times New Roman"/>
                <w:color w:val="auto"/>
                <w:sz w:val="24"/>
                <w:szCs w:val="24"/>
                <w:lang w:val="en-US" w:eastAsia="zh-CN"/>
              </w:rPr>
              <w:t>330</w:t>
            </w:r>
            <w:r>
              <w:rPr>
                <w:rFonts w:hint="default" w:ascii="Times New Roman" w:hAnsi="Times New Roman" w:eastAsia="宋体" w:cs="Times New Roman"/>
                <w:color w:val="auto"/>
                <w:sz w:val="24"/>
                <w:szCs w:val="24"/>
              </w:rPr>
              <w:t xml:space="preserve"> 天计）</w:t>
            </w:r>
            <w:r>
              <w:rPr>
                <w:rFonts w:hint="default" w:ascii="Times New Roman" w:hAnsi="Times New Roman" w:eastAsia="宋体" w:cs="Times New Roman"/>
                <w:color w:val="auto"/>
                <w:sz w:val="24"/>
                <w:szCs w:val="24"/>
                <w:lang w:eastAsia="zh-CN"/>
              </w:rPr>
              <w:t>。</w:t>
            </w:r>
          </w:p>
          <w:p w14:paraId="23E73871">
            <w:pPr>
              <w:pStyle w:val="90"/>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cs="Times New Roman"/>
                <w:color w:val="auto"/>
                <w:sz w:val="24"/>
                <w:szCs w:val="24"/>
                <w:lang w:eastAsia="zh-CN"/>
              </w:rPr>
            </w:pPr>
            <w:r>
              <w:rPr>
                <w:rFonts w:hint="eastAsia" w:cs="Times New Roman"/>
                <w:color w:val="auto"/>
                <w:sz w:val="24"/>
                <w:szCs w:val="24"/>
                <w:lang w:eastAsia="zh-CN"/>
              </w:rPr>
              <w:t>（</w:t>
            </w:r>
            <w:r>
              <w:rPr>
                <w:rFonts w:hint="eastAsia" w:cs="Times New Roman"/>
                <w:color w:val="auto"/>
                <w:sz w:val="24"/>
                <w:szCs w:val="24"/>
                <w:lang w:val="en-US" w:eastAsia="zh-CN"/>
              </w:rPr>
              <w:t>4</w:t>
            </w:r>
            <w:r>
              <w:rPr>
                <w:rFonts w:hint="eastAsia" w:cs="Times New Roman"/>
                <w:color w:val="auto"/>
                <w:sz w:val="24"/>
                <w:szCs w:val="24"/>
                <w:lang w:eastAsia="zh-CN"/>
              </w:rPr>
              <w:t>）地面冲洗</w:t>
            </w:r>
          </w:p>
          <w:p w14:paraId="4050637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s="Times New Roman"/>
                <w:color w:val="auto"/>
                <w:sz w:val="24"/>
                <w:szCs w:val="32"/>
                <w:lang w:eastAsia="zh-CN"/>
              </w:rPr>
            </w:pPr>
            <w:r>
              <w:rPr>
                <w:rFonts w:hint="eastAsia" w:cs="Times New Roman"/>
                <w:color w:val="auto"/>
                <w:sz w:val="24"/>
                <w:szCs w:val="32"/>
                <w:lang w:eastAsia="zh-CN"/>
              </w:rPr>
              <w:t>车间地面冲洗主要涉及卸料间地面，利用高压清洗机冲洗，污水通过地沟排到预处理车间沥液池。建设项目生产车间地面冲洗频次约为 1 次/天。参考《建筑给排水设计规范》（GB50015-20</w:t>
            </w:r>
            <w:r>
              <w:rPr>
                <w:rFonts w:hint="eastAsia" w:cs="Times New Roman"/>
                <w:color w:val="auto"/>
                <w:sz w:val="24"/>
                <w:szCs w:val="32"/>
                <w:lang w:val="en-US" w:eastAsia="zh-CN"/>
              </w:rPr>
              <w:t>19</w:t>
            </w:r>
            <w:r>
              <w:rPr>
                <w:rFonts w:hint="eastAsia" w:cs="Times New Roman"/>
                <w:color w:val="auto"/>
                <w:sz w:val="24"/>
                <w:szCs w:val="32"/>
                <w:lang w:eastAsia="zh-CN"/>
              </w:rPr>
              <w:t>）及</w:t>
            </w:r>
            <w:r>
              <w:rPr>
                <w:rFonts w:hint="eastAsia" w:cs="Times New Roman"/>
                <w:color w:val="auto"/>
                <w:sz w:val="24"/>
                <w:szCs w:val="32"/>
                <w:lang w:val="en-US" w:eastAsia="zh-CN"/>
              </w:rPr>
              <w:t>同类项目的经验数据</w:t>
            </w:r>
            <w:r>
              <w:rPr>
                <w:rFonts w:hint="eastAsia" w:cs="Times New Roman"/>
                <w:color w:val="auto"/>
                <w:sz w:val="24"/>
                <w:szCs w:val="32"/>
                <w:lang w:eastAsia="zh-CN"/>
              </w:rPr>
              <w:t>地面冲洗用水系数约为 2L/m2▪次。卸料间、出渣间占地面积为</w:t>
            </w:r>
            <w:r>
              <w:rPr>
                <w:rFonts w:hint="eastAsia" w:cs="Times New Roman"/>
                <w:color w:val="auto"/>
                <w:sz w:val="24"/>
                <w:szCs w:val="32"/>
                <w:lang w:val="en-US" w:eastAsia="zh-CN"/>
              </w:rPr>
              <w:t>420（50*4+60+110+50）平方米，则建设项目地面冲洗用水量约为0.84t/d，277.2t/a。地面冲洗废水</w:t>
            </w:r>
            <w:r>
              <w:rPr>
                <w:rFonts w:hint="eastAsia" w:cs="Times New Roman"/>
                <w:color w:val="auto"/>
                <w:sz w:val="24"/>
                <w:szCs w:val="32"/>
              </w:rPr>
              <w:t>产生量取用水量的</w:t>
            </w:r>
            <w:r>
              <w:rPr>
                <w:rFonts w:hint="eastAsia" w:cs="Times New Roman"/>
                <w:color w:val="auto"/>
                <w:sz w:val="24"/>
                <w:szCs w:val="32"/>
                <w:lang w:val="en-US" w:eastAsia="zh-CN"/>
              </w:rPr>
              <w:t>8</w:t>
            </w:r>
            <w:r>
              <w:rPr>
                <w:rFonts w:hint="eastAsia" w:cs="Times New Roman"/>
                <w:color w:val="auto"/>
                <w:sz w:val="24"/>
                <w:szCs w:val="32"/>
              </w:rPr>
              <w:t>0%。经核算，则地面冲洗废水量约为</w:t>
            </w:r>
            <w:r>
              <w:rPr>
                <w:rFonts w:hint="eastAsia" w:cs="Times New Roman"/>
                <w:color w:val="auto"/>
                <w:sz w:val="24"/>
                <w:szCs w:val="32"/>
                <w:lang w:val="en-US" w:eastAsia="zh-CN"/>
              </w:rPr>
              <w:t>0.67</w:t>
            </w:r>
            <w:r>
              <w:rPr>
                <w:rFonts w:hint="eastAsia" w:cs="Times New Roman"/>
                <w:color w:val="auto"/>
                <w:sz w:val="24"/>
                <w:szCs w:val="32"/>
              </w:rPr>
              <w:t>t/d，即</w:t>
            </w:r>
            <w:r>
              <w:rPr>
                <w:rFonts w:hint="eastAsia" w:cs="Times New Roman"/>
                <w:color w:val="auto"/>
                <w:sz w:val="24"/>
                <w:szCs w:val="32"/>
                <w:lang w:val="en-US" w:eastAsia="zh-CN"/>
              </w:rPr>
              <w:t>221.1</w:t>
            </w:r>
            <w:r>
              <w:rPr>
                <w:rFonts w:hint="eastAsia" w:cs="Times New Roman"/>
                <w:color w:val="auto"/>
                <w:sz w:val="24"/>
                <w:szCs w:val="32"/>
              </w:rPr>
              <w:t>t/a（全年工作日按</w:t>
            </w:r>
            <w:r>
              <w:rPr>
                <w:rFonts w:hint="eastAsia" w:cs="Times New Roman"/>
                <w:color w:val="auto"/>
                <w:sz w:val="24"/>
                <w:szCs w:val="32"/>
                <w:lang w:val="en-US" w:eastAsia="zh-CN"/>
              </w:rPr>
              <w:t>330</w:t>
            </w:r>
            <w:r>
              <w:rPr>
                <w:rFonts w:hint="eastAsia" w:cs="Times New Roman"/>
                <w:color w:val="auto"/>
                <w:sz w:val="24"/>
                <w:szCs w:val="32"/>
              </w:rPr>
              <w:t xml:space="preserve"> 天计</w:t>
            </w:r>
            <w:r>
              <w:rPr>
                <w:rFonts w:hint="eastAsia" w:cs="Times New Roman"/>
                <w:color w:val="auto"/>
                <w:sz w:val="24"/>
                <w:szCs w:val="32"/>
                <w:lang w:eastAsia="zh-CN"/>
              </w:rPr>
              <w:t>）。</w:t>
            </w:r>
          </w:p>
          <w:p w14:paraId="11C09380">
            <w:pPr>
              <w:pStyle w:val="90"/>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cs="Times New Roman"/>
                <w:color w:val="auto"/>
                <w:sz w:val="24"/>
                <w:szCs w:val="24"/>
                <w:lang w:eastAsia="zh-CN"/>
              </w:rPr>
            </w:pPr>
            <w:r>
              <w:rPr>
                <w:rFonts w:hint="eastAsia" w:cs="Times New Roman"/>
                <w:color w:val="auto"/>
                <w:sz w:val="24"/>
                <w:szCs w:val="24"/>
                <w:lang w:eastAsia="zh-CN"/>
              </w:rPr>
              <w:t>（</w:t>
            </w:r>
            <w:r>
              <w:rPr>
                <w:rFonts w:hint="eastAsia" w:cs="Times New Roman"/>
                <w:color w:val="auto"/>
                <w:sz w:val="24"/>
                <w:szCs w:val="24"/>
                <w:lang w:val="en-US" w:eastAsia="zh-CN"/>
              </w:rPr>
              <w:t>5</w:t>
            </w:r>
            <w:r>
              <w:rPr>
                <w:rFonts w:hint="eastAsia" w:cs="Times New Roman"/>
                <w:color w:val="auto"/>
                <w:sz w:val="24"/>
                <w:szCs w:val="24"/>
                <w:lang w:eastAsia="zh-CN"/>
              </w:rPr>
              <w:t>）设备冲洗</w:t>
            </w:r>
          </w:p>
          <w:p w14:paraId="0023B4F1">
            <w:pPr>
              <w:pStyle w:val="14"/>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eastAsia" w:cs="Times New Roman"/>
                <w:color w:val="auto"/>
                <w:sz w:val="24"/>
                <w:szCs w:val="32"/>
                <w:lang w:val="en-US" w:eastAsia="zh-CN"/>
              </w:rPr>
            </w:pPr>
            <w:r>
              <w:rPr>
                <w:rFonts w:hint="eastAsia" w:cs="Times New Roman"/>
                <w:color w:val="auto"/>
                <w:sz w:val="24"/>
                <w:szCs w:val="32"/>
                <w:lang w:eastAsia="zh-CN"/>
              </w:rPr>
              <w:t>本项目利用蒸汽对沉降加热釜进行间接加热，随后蒸汽的冷凝水对生产设备进行冲洗，设备冲洗后的水含有餐厨废弃物，因此随着餐厨废弃物进入到生产中去。设备冲洗废水产生量为</w:t>
            </w:r>
            <w:r>
              <w:rPr>
                <w:rFonts w:hint="eastAsia" w:cs="Times New Roman"/>
                <w:color w:val="auto"/>
                <w:sz w:val="24"/>
                <w:szCs w:val="32"/>
                <w:lang w:val="en-US" w:eastAsia="zh-CN"/>
              </w:rPr>
              <w:t>2.685t/d，886.2t/a。</w:t>
            </w:r>
          </w:p>
          <w:p w14:paraId="3AD5B6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 w:val="24"/>
                <w:szCs w:val="32"/>
                <w:lang w:val="en-US" w:eastAsia="zh-CN"/>
              </w:rPr>
            </w:pPr>
            <w:r>
              <w:rPr>
                <w:rFonts w:hint="eastAsia" w:cs="Times New Roman"/>
                <w:color w:val="auto"/>
                <w:sz w:val="24"/>
                <w:szCs w:val="32"/>
                <w:lang w:val="en-US" w:eastAsia="zh-CN"/>
              </w:rPr>
              <w:t>（6）初期雨水</w:t>
            </w:r>
          </w:p>
          <w:p w14:paraId="27BCA458">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color w:val="auto"/>
                <w:lang w:val="en-US" w:eastAsia="zh-CN"/>
              </w:rPr>
            </w:pPr>
            <w:r>
              <w:rPr>
                <w:rFonts w:hint="default"/>
                <w:color w:val="auto"/>
                <w:lang w:val="en-US" w:eastAsia="zh-CN"/>
              </w:rPr>
              <w:t>根据《关于发布池州市暴雨强度公示的通告》发布的设计暴雨强度公式:</w:t>
            </w:r>
          </w:p>
          <w:p w14:paraId="02A27572">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color w:val="auto"/>
                <w:lang w:val="en-US" w:eastAsia="zh-CN"/>
              </w:rPr>
            </w:pPr>
            <w:r>
              <w:rPr>
                <w:rFonts w:hint="eastAsia"/>
                <w:color w:val="auto"/>
                <w:lang w:val="en-US" w:eastAsia="zh-CN"/>
              </w:rPr>
              <w:t>q</w:t>
            </w:r>
            <w:r>
              <w:rPr>
                <w:rFonts w:hint="default"/>
                <w:color w:val="auto"/>
                <w:lang w:val="en-US" w:eastAsia="zh-CN"/>
              </w:rPr>
              <w:t>=</w:t>
            </w:r>
            <w:r>
              <w:rPr>
                <w:rFonts w:hint="eastAsia"/>
                <w:color w:val="auto"/>
                <w:lang w:val="en-US" w:eastAsia="zh-CN"/>
              </w:rPr>
              <w:t>【</w:t>
            </w:r>
            <w:r>
              <w:rPr>
                <w:rFonts w:hint="default"/>
                <w:color w:val="auto"/>
                <w:lang w:val="en-US" w:eastAsia="zh-CN"/>
              </w:rPr>
              <w:t>783</w:t>
            </w:r>
            <w:r>
              <w:rPr>
                <w:rFonts w:hint="eastAsia"/>
                <w:color w:val="auto"/>
                <w:lang w:val="en-US" w:eastAsia="zh-CN"/>
              </w:rPr>
              <w:t>.</w:t>
            </w:r>
            <w:r>
              <w:rPr>
                <w:rFonts w:hint="default"/>
                <w:color w:val="auto"/>
                <w:lang w:val="en-US" w:eastAsia="zh-CN"/>
              </w:rPr>
              <w:t>524(1+0.581</w:t>
            </w:r>
            <w:r>
              <w:rPr>
                <w:rFonts w:hint="eastAsia"/>
                <w:color w:val="auto"/>
                <w:lang w:val="en-US" w:eastAsia="zh-CN"/>
              </w:rPr>
              <w:t>L</w:t>
            </w:r>
            <w:r>
              <w:rPr>
                <w:rFonts w:hint="default"/>
                <w:color w:val="auto"/>
                <w:lang w:val="en-US" w:eastAsia="zh-CN"/>
              </w:rPr>
              <w:t>gP)</w:t>
            </w:r>
            <w:r>
              <w:rPr>
                <w:rFonts w:hint="eastAsia"/>
                <w:color w:val="auto"/>
                <w:lang w:val="en-US" w:eastAsia="zh-CN"/>
              </w:rPr>
              <w:t>】</w:t>
            </w:r>
            <w:r>
              <w:rPr>
                <w:rFonts w:hint="default"/>
                <w:color w:val="auto"/>
                <w:lang w:val="en-US" w:eastAsia="zh-CN"/>
              </w:rPr>
              <w:t>/(t+1.82)</w:t>
            </w:r>
            <w:r>
              <w:rPr>
                <w:rFonts w:hint="default"/>
                <w:color w:val="auto"/>
                <w:vertAlign w:val="superscript"/>
                <w:lang w:val="en-US" w:eastAsia="zh-CN"/>
              </w:rPr>
              <w:t>0</w:t>
            </w:r>
            <w:r>
              <w:rPr>
                <w:rFonts w:hint="eastAsia"/>
                <w:color w:val="auto"/>
                <w:vertAlign w:val="superscript"/>
                <w:lang w:val="en-US" w:eastAsia="zh-CN"/>
              </w:rPr>
              <w:t>.</w:t>
            </w:r>
            <w:r>
              <w:rPr>
                <w:rFonts w:hint="default"/>
                <w:color w:val="auto"/>
                <w:vertAlign w:val="superscript"/>
                <w:lang w:val="en-US" w:eastAsia="zh-CN"/>
              </w:rPr>
              <w:t>461</w:t>
            </w:r>
          </w:p>
          <w:p w14:paraId="7857E002">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color w:val="auto"/>
                <w:lang w:val="en-US" w:eastAsia="zh-CN"/>
              </w:rPr>
            </w:pPr>
            <w:r>
              <w:rPr>
                <w:rFonts w:hint="default"/>
                <w:color w:val="auto"/>
                <w:lang w:val="en-US" w:eastAsia="zh-CN"/>
              </w:rPr>
              <w:t>式中:q--设计暴雨强度，L/s·ha</w:t>
            </w:r>
            <w:r>
              <w:rPr>
                <w:rFonts w:hint="eastAsia"/>
                <w:color w:val="auto"/>
                <w:lang w:val="en-US" w:eastAsia="zh-CN"/>
              </w:rPr>
              <w:t>；</w:t>
            </w:r>
          </w:p>
          <w:p w14:paraId="21EBA319">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color w:val="auto"/>
                <w:lang w:val="en-US" w:eastAsia="zh-CN"/>
              </w:rPr>
            </w:pPr>
            <w:r>
              <w:rPr>
                <w:rFonts w:hint="default"/>
                <w:color w:val="auto"/>
                <w:lang w:val="en-US" w:eastAsia="zh-CN"/>
              </w:rPr>
              <w:t>P--设计暴雨重现期，a，取2</w:t>
            </w:r>
            <w:r>
              <w:rPr>
                <w:rFonts w:hint="eastAsia"/>
                <w:color w:val="auto"/>
                <w:lang w:val="en-US" w:eastAsia="zh-CN"/>
              </w:rPr>
              <w:t>；</w:t>
            </w:r>
          </w:p>
          <w:p w14:paraId="26C850C5">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color w:val="auto"/>
                <w:lang w:val="en-US" w:eastAsia="zh-CN"/>
              </w:rPr>
            </w:pPr>
            <w:r>
              <w:rPr>
                <w:rFonts w:hint="eastAsia"/>
                <w:color w:val="auto"/>
                <w:lang w:val="en-US" w:eastAsia="zh-CN"/>
              </w:rPr>
              <w:t>t</w:t>
            </w:r>
            <w:r>
              <w:rPr>
                <w:rFonts w:hint="default"/>
                <w:color w:val="auto"/>
                <w:lang w:val="en-US" w:eastAsia="zh-CN"/>
              </w:rPr>
              <w:t>-降雨历时，min，取15min</w:t>
            </w:r>
            <w:r>
              <w:rPr>
                <w:rFonts w:hint="eastAsia"/>
                <w:color w:val="auto"/>
                <w:lang w:val="en-US" w:eastAsia="zh-CN"/>
              </w:rPr>
              <w:t>。</w:t>
            </w:r>
          </w:p>
          <w:p w14:paraId="55D146CB">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color w:val="auto"/>
                <w:lang w:val="en-US" w:eastAsia="zh-CN"/>
              </w:rPr>
            </w:pPr>
            <w:r>
              <w:rPr>
                <w:rFonts w:hint="default"/>
                <w:color w:val="auto"/>
                <w:lang w:val="en-US" w:eastAsia="zh-CN"/>
              </w:rPr>
              <w:t>初期雨水排放量按下式公式进行计算:</w:t>
            </w:r>
          </w:p>
          <w:p w14:paraId="3D486333">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color w:val="auto"/>
                <w:lang w:val="en-US" w:eastAsia="zh-CN"/>
              </w:rPr>
            </w:pPr>
            <w:r>
              <w:rPr>
                <w:rFonts w:hint="default"/>
                <w:color w:val="auto"/>
                <w:lang w:val="en-US" w:eastAsia="zh-CN"/>
              </w:rPr>
              <w:t>Q=qFΨT</w:t>
            </w:r>
          </w:p>
          <w:p w14:paraId="5C9171FA">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color w:val="auto"/>
                <w:lang w:val="en-US" w:eastAsia="zh-CN"/>
              </w:rPr>
            </w:pPr>
            <w:r>
              <w:rPr>
                <w:rFonts w:hint="eastAsia"/>
                <w:color w:val="auto"/>
                <w:lang w:val="en-US" w:eastAsia="zh-CN"/>
              </w:rPr>
              <w:t>Q</w:t>
            </w:r>
            <w:r>
              <w:rPr>
                <w:rFonts w:hint="default"/>
                <w:color w:val="auto"/>
                <w:lang w:val="en-US" w:eastAsia="zh-CN"/>
              </w:rPr>
              <w:t>--初期雨水排放量;</w:t>
            </w:r>
          </w:p>
          <w:p w14:paraId="20915855">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color w:val="auto"/>
                <w:lang w:val="en-US" w:eastAsia="zh-CN"/>
              </w:rPr>
            </w:pPr>
            <w:r>
              <w:rPr>
                <w:rFonts w:hint="eastAsia"/>
                <w:color w:val="auto"/>
                <w:lang w:val="en-US" w:eastAsia="zh-CN"/>
              </w:rPr>
              <w:t>q</w:t>
            </w:r>
            <w:r>
              <w:rPr>
                <w:rFonts w:hint="default"/>
                <w:color w:val="auto"/>
                <w:lang w:val="en-US" w:eastAsia="zh-CN"/>
              </w:rPr>
              <w:t>-设计暴雨强度，L/s·ha，由上式计算得q为</w:t>
            </w:r>
            <w:r>
              <w:rPr>
                <w:rFonts w:hint="eastAsia"/>
                <w:color w:val="auto"/>
                <w:lang w:val="en-US" w:eastAsia="zh-CN"/>
              </w:rPr>
              <w:t>250.58</w:t>
            </w:r>
            <w:r>
              <w:rPr>
                <w:rFonts w:hint="default"/>
                <w:color w:val="auto"/>
                <w:lang w:val="en-US" w:eastAsia="zh-CN"/>
              </w:rPr>
              <w:t>L/s·ha</w:t>
            </w:r>
            <w:r>
              <w:rPr>
                <w:rFonts w:hint="eastAsia"/>
                <w:color w:val="auto"/>
                <w:lang w:val="en-US" w:eastAsia="zh-CN"/>
              </w:rPr>
              <w:t>；</w:t>
            </w:r>
          </w:p>
          <w:p w14:paraId="7482E985">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color w:val="auto"/>
                <w:lang w:val="en-US" w:eastAsia="zh-CN"/>
              </w:rPr>
            </w:pPr>
            <w:r>
              <w:rPr>
                <w:rFonts w:hint="default"/>
                <w:color w:val="auto"/>
                <w:lang w:val="en-US" w:eastAsia="zh-CN"/>
              </w:rPr>
              <w:t>F--汇水面积，公顷，本项目汇水面积约为</w:t>
            </w:r>
            <w:r>
              <w:rPr>
                <w:rFonts w:hint="eastAsia"/>
                <w:color w:val="auto"/>
                <w:lang w:val="en-US" w:eastAsia="zh-CN"/>
              </w:rPr>
              <w:t>0.54</w:t>
            </w:r>
            <w:r>
              <w:rPr>
                <w:rFonts w:hint="default"/>
                <w:color w:val="auto"/>
                <w:lang w:val="en-US" w:eastAsia="zh-CN"/>
              </w:rPr>
              <w:t>公顷</w:t>
            </w:r>
            <w:r>
              <w:rPr>
                <w:rFonts w:hint="eastAsia"/>
                <w:color w:val="auto"/>
                <w:lang w:val="en-US" w:eastAsia="zh-CN"/>
              </w:rPr>
              <w:t>；</w:t>
            </w:r>
          </w:p>
          <w:p w14:paraId="4D846CAE">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color w:val="auto"/>
                <w:lang w:val="en-US" w:eastAsia="zh-CN"/>
              </w:rPr>
            </w:pPr>
            <w:r>
              <w:rPr>
                <w:rFonts w:hint="default"/>
                <w:color w:val="auto"/>
                <w:lang w:val="en-US" w:eastAsia="zh-CN"/>
              </w:rPr>
              <w:t>Ψ--为径流系数，取0.8</w:t>
            </w:r>
            <w:r>
              <w:rPr>
                <w:rFonts w:hint="eastAsia"/>
                <w:color w:val="auto"/>
                <w:lang w:val="en-US" w:eastAsia="zh-CN"/>
              </w:rPr>
              <w:t>；</w:t>
            </w:r>
          </w:p>
          <w:p w14:paraId="25DC7205">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color w:val="auto"/>
                <w:lang w:val="en-US" w:eastAsia="zh-CN"/>
              </w:rPr>
            </w:pPr>
            <w:r>
              <w:rPr>
                <w:rFonts w:hint="default"/>
                <w:color w:val="auto"/>
                <w:lang w:val="en-US" w:eastAsia="zh-CN"/>
              </w:rPr>
              <w:t>T--为收水时间，取15min</w:t>
            </w:r>
            <w:r>
              <w:rPr>
                <w:rFonts w:hint="eastAsia"/>
                <w:color w:val="auto"/>
                <w:lang w:val="en-US" w:eastAsia="zh-CN"/>
              </w:rPr>
              <w:t>；</w:t>
            </w:r>
          </w:p>
          <w:p w14:paraId="415D1015">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color w:val="auto"/>
                <w:lang w:val="en-US" w:eastAsia="zh-CN"/>
              </w:rPr>
            </w:pPr>
            <w:r>
              <w:rPr>
                <w:rFonts w:hint="default"/>
                <w:color w:val="auto"/>
                <w:lang w:val="en-US" w:eastAsia="zh-CN"/>
              </w:rPr>
              <w:t>计算得本项目初期雨水量为</w:t>
            </w:r>
            <w:r>
              <w:rPr>
                <w:rFonts w:hint="eastAsia"/>
                <w:color w:val="auto"/>
                <w:lang w:val="en-US" w:eastAsia="zh-CN"/>
              </w:rPr>
              <w:t>97.425</w:t>
            </w:r>
            <w:r>
              <w:rPr>
                <w:rFonts w:hint="default"/>
                <w:color w:val="auto"/>
                <w:lang w:val="en-US" w:eastAsia="zh-CN"/>
              </w:rPr>
              <w:t>m</w:t>
            </w:r>
            <w:r>
              <w:rPr>
                <w:rFonts w:hint="eastAsia"/>
                <w:color w:val="auto"/>
                <w:vertAlign w:val="superscript"/>
                <w:lang w:val="en-US" w:eastAsia="zh-CN"/>
              </w:rPr>
              <w:t>3</w:t>
            </w:r>
            <w:r>
              <w:rPr>
                <w:rFonts w:hint="default"/>
                <w:color w:val="auto"/>
                <w:lang w:val="en-US" w:eastAsia="zh-CN"/>
              </w:rPr>
              <w:t>/次，考虑到东至县年平均降雨日为139.7天，但降雨量分布及其不均，不均匀系数约0.25，按年均暴雨次数35次计，本项目初期雨水年收集量约</w:t>
            </w:r>
            <w:r>
              <w:rPr>
                <w:rFonts w:hint="eastAsia"/>
                <w:color w:val="auto"/>
                <w:lang w:val="en-US" w:eastAsia="zh-CN"/>
              </w:rPr>
              <w:t>3409.875</w:t>
            </w:r>
            <w:r>
              <w:rPr>
                <w:rFonts w:hint="default"/>
                <w:color w:val="auto"/>
                <w:lang w:val="en-US" w:eastAsia="zh-CN"/>
              </w:rPr>
              <w:t>m</w:t>
            </w:r>
            <w:r>
              <w:rPr>
                <w:rFonts w:hint="eastAsia"/>
                <w:color w:val="auto"/>
                <w:vertAlign w:val="superscript"/>
                <w:lang w:val="en-US" w:eastAsia="zh-CN"/>
              </w:rPr>
              <w:t>3</w:t>
            </w:r>
            <w:r>
              <w:rPr>
                <w:rFonts w:hint="eastAsia"/>
                <w:color w:val="auto"/>
                <w:lang w:val="en-US" w:eastAsia="zh-CN"/>
              </w:rPr>
              <w:t>/</w:t>
            </w:r>
            <w:r>
              <w:rPr>
                <w:rFonts w:hint="default"/>
                <w:color w:val="auto"/>
                <w:lang w:val="en-US" w:eastAsia="zh-CN"/>
              </w:rPr>
              <w:t>a，按本项目工作日折算约为</w:t>
            </w:r>
            <w:r>
              <w:rPr>
                <w:rFonts w:hint="eastAsia"/>
                <w:color w:val="auto"/>
                <w:lang w:val="en-US" w:eastAsia="zh-CN"/>
              </w:rPr>
              <w:t>10.33</w:t>
            </w:r>
            <w:r>
              <w:rPr>
                <w:rFonts w:hint="default"/>
                <w:color w:val="auto"/>
                <w:lang w:val="en-US" w:eastAsia="zh-CN"/>
              </w:rPr>
              <w:t>m</w:t>
            </w:r>
            <w:r>
              <w:rPr>
                <w:rFonts w:hint="eastAsia"/>
                <w:color w:val="auto"/>
                <w:vertAlign w:val="superscript"/>
                <w:lang w:val="en-US" w:eastAsia="zh-CN"/>
              </w:rPr>
              <w:t>3</w:t>
            </w:r>
            <w:r>
              <w:rPr>
                <w:rFonts w:hint="default"/>
                <w:color w:val="auto"/>
                <w:lang w:val="en-US" w:eastAsia="zh-CN"/>
              </w:rPr>
              <w:t>/d。初期雨水主要污染物COD:80mgL，SS</w:t>
            </w:r>
            <w:r>
              <w:rPr>
                <w:rFonts w:hint="eastAsia"/>
                <w:color w:val="auto"/>
                <w:lang w:val="en-US" w:eastAsia="zh-CN"/>
              </w:rPr>
              <w:t>：</w:t>
            </w:r>
            <w:r>
              <w:rPr>
                <w:rFonts w:hint="default"/>
                <w:color w:val="auto"/>
                <w:lang w:val="en-US" w:eastAsia="zh-CN"/>
              </w:rPr>
              <w:t>200mg。本次新建1座容积</w:t>
            </w:r>
            <w:r>
              <w:rPr>
                <w:rFonts w:hint="eastAsia"/>
                <w:color w:val="auto"/>
                <w:lang w:val="en-US" w:eastAsia="zh-CN"/>
              </w:rPr>
              <w:t>160</w:t>
            </w:r>
            <w:r>
              <w:rPr>
                <w:rFonts w:hint="default"/>
                <w:color w:val="auto"/>
                <w:lang w:val="en-US" w:eastAsia="zh-CN"/>
              </w:rPr>
              <w:t>m</w:t>
            </w:r>
            <w:r>
              <w:rPr>
                <w:rFonts w:hint="eastAsia"/>
                <w:color w:val="auto"/>
                <w:vertAlign w:val="superscript"/>
                <w:lang w:val="en-US" w:eastAsia="zh-CN"/>
              </w:rPr>
              <w:t>3</w:t>
            </w:r>
            <w:r>
              <w:rPr>
                <w:rFonts w:hint="eastAsia"/>
                <w:color w:val="auto"/>
                <w:vertAlign w:val="baseline"/>
                <w:lang w:val="en-US" w:eastAsia="zh-CN"/>
              </w:rPr>
              <w:t>（10*4*4m）</w:t>
            </w:r>
            <w:r>
              <w:rPr>
                <w:rFonts w:hint="default"/>
                <w:color w:val="auto"/>
                <w:lang w:val="en-US" w:eastAsia="zh-CN"/>
              </w:rPr>
              <w:t>的初期雨水池</w:t>
            </w:r>
            <w:r>
              <w:rPr>
                <w:rFonts w:hint="eastAsia"/>
                <w:color w:val="auto"/>
                <w:lang w:val="en-US" w:eastAsia="zh-CN"/>
              </w:rPr>
              <w:t>，</w:t>
            </w:r>
            <w:r>
              <w:rPr>
                <w:rFonts w:hint="default"/>
                <w:color w:val="auto"/>
                <w:lang w:val="en-US" w:eastAsia="zh-CN"/>
              </w:rPr>
              <w:t>可以满足初期雨水的收集。</w:t>
            </w:r>
          </w:p>
          <w:p w14:paraId="6EA67D6E">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cs="Times New Roman"/>
                <w:strike w:val="0"/>
                <w:dstrike w:val="0"/>
                <w:color w:val="auto"/>
                <w:sz w:val="24"/>
                <w:szCs w:val="32"/>
                <w:highlight w:val="none"/>
                <w:lang w:eastAsia="zh-CN"/>
              </w:rPr>
            </w:pPr>
            <w:r>
              <w:rPr>
                <w:rFonts w:hint="eastAsia" w:cs="Times New Roman"/>
                <w:strike w:val="0"/>
                <w:dstrike w:val="0"/>
                <w:color w:val="auto"/>
                <w:sz w:val="24"/>
                <w:szCs w:val="32"/>
                <w:highlight w:val="none"/>
                <w:lang w:eastAsia="zh-CN"/>
              </w:rPr>
              <w:t>（</w:t>
            </w:r>
            <w:r>
              <w:rPr>
                <w:rFonts w:hint="eastAsia" w:cs="Times New Roman"/>
                <w:strike w:val="0"/>
                <w:dstrike w:val="0"/>
                <w:color w:val="auto"/>
                <w:sz w:val="24"/>
                <w:szCs w:val="32"/>
                <w:highlight w:val="none"/>
                <w:lang w:val="en-US" w:eastAsia="zh-CN"/>
              </w:rPr>
              <w:t>7</w:t>
            </w:r>
            <w:r>
              <w:rPr>
                <w:rFonts w:hint="eastAsia" w:cs="Times New Roman"/>
                <w:strike w:val="0"/>
                <w:dstrike w:val="0"/>
                <w:color w:val="auto"/>
                <w:sz w:val="24"/>
                <w:szCs w:val="32"/>
                <w:highlight w:val="none"/>
                <w:lang w:eastAsia="zh-CN"/>
              </w:rPr>
              <w:t>）绿化</w:t>
            </w:r>
          </w:p>
          <w:p w14:paraId="5DD314BE">
            <w:pPr>
              <w:pStyle w:val="90"/>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lang w:val="en-US" w:eastAsia="zh-CN"/>
              </w:rPr>
            </w:pPr>
            <w:r>
              <w:rPr>
                <w:rFonts w:hint="eastAsia" w:cs="Times New Roman"/>
                <w:strike w:val="0"/>
                <w:dstrike w:val="0"/>
                <w:color w:val="auto"/>
                <w:sz w:val="24"/>
                <w:szCs w:val="24"/>
                <w:highlight w:val="none"/>
                <w:lang w:eastAsia="zh-CN"/>
              </w:rPr>
              <w:t>根据设计单位提供数据，厂区绿化面积为</w:t>
            </w:r>
            <w:r>
              <w:rPr>
                <w:rFonts w:hint="eastAsia" w:cs="Times New Roman"/>
                <w:strike w:val="0"/>
                <w:dstrike w:val="0"/>
                <w:color w:val="auto"/>
                <w:sz w:val="24"/>
                <w:szCs w:val="24"/>
                <w:highlight w:val="none"/>
                <w:lang w:val="en-US" w:eastAsia="zh-CN"/>
              </w:rPr>
              <w:t>1100平方米，</w:t>
            </w:r>
            <w:r>
              <w:rPr>
                <w:rFonts w:hint="default" w:ascii="Times New Roman" w:hAnsi="Times New Roman" w:eastAsia="宋体" w:cs="Times New Roman"/>
                <w:color w:val="auto"/>
                <w:sz w:val="24"/>
                <w:szCs w:val="24"/>
                <w:lang w:val="en-US" w:eastAsia="zh-CN"/>
              </w:rPr>
              <w:t>根据</w:t>
            </w:r>
            <w:r>
              <w:rPr>
                <w:rFonts w:hint="default" w:ascii="Times New Roman" w:hAnsi="Times New Roman" w:eastAsia="宋体" w:cs="Times New Roman"/>
                <w:color w:val="auto"/>
                <w:sz w:val="24"/>
                <w:szCs w:val="24"/>
              </w:rPr>
              <w:t>《建筑给排水设计规范》（GB50015-20</w:t>
            </w:r>
            <w:r>
              <w:rPr>
                <w:rFonts w:hint="default" w:ascii="Times New Roman" w:hAnsi="Times New Roman" w:eastAsia="宋体" w:cs="Times New Roman"/>
                <w:color w:val="auto"/>
                <w:sz w:val="24"/>
                <w:szCs w:val="24"/>
                <w:lang w:val="en-US" w:eastAsia="zh-CN"/>
              </w:rPr>
              <w:t>19</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w:t>
            </w:r>
            <w:r>
              <w:rPr>
                <w:rFonts w:hint="default" w:ascii="Times New Roman" w:hAnsi="Times New Roman" w:cs="Times New Roman"/>
                <w:color w:val="auto"/>
                <w:sz w:val="24"/>
                <w:szCs w:val="24"/>
                <w:lang w:val="en-US" w:eastAsia="zh-CN"/>
              </w:rPr>
              <w:t>住房和城乡建设部关于发布国家标准《建筑给水排水与节水通用规范》的公告，</w:t>
            </w:r>
            <w:r>
              <w:rPr>
                <w:rFonts w:hint="default" w:ascii="Times New Roman" w:hAnsi="Times New Roman" w:eastAsia="宋体" w:cs="Times New Roman"/>
                <w:color w:val="auto"/>
                <w:sz w:val="24"/>
                <w:szCs w:val="24"/>
                <w:lang w:val="en-US" w:eastAsia="zh-CN"/>
              </w:rPr>
              <w:t>绿化用水按每平米洒水1L-3L，本项目绿化用水按每平米洒水2L计，每三天浇灌一次，年浇灌</w:t>
            </w:r>
            <w:r>
              <w:rPr>
                <w:rFonts w:hint="eastAsia" w:cs="Times New Roman"/>
                <w:color w:val="auto"/>
                <w:sz w:val="24"/>
                <w:szCs w:val="24"/>
                <w:lang w:val="en-US" w:eastAsia="zh-CN"/>
              </w:rPr>
              <w:t>110</w:t>
            </w:r>
            <w:r>
              <w:rPr>
                <w:rFonts w:hint="default" w:ascii="Times New Roman" w:hAnsi="Times New Roman" w:eastAsia="宋体" w:cs="Times New Roman"/>
                <w:color w:val="auto"/>
                <w:sz w:val="24"/>
                <w:szCs w:val="24"/>
                <w:lang w:val="en-US" w:eastAsia="zh-CN"/>
              </w:rPr>
              <w:t>天，则全年共需绿化水量约为</w:t>
            </w:r>
            <w:r>
              <w:rPr>
                <w:rFonts w:hint="eastAsia" w:cs="Times New Roman"/>
                <w:color w:val="auto"/>
                <w:sz w:val="24"/>
                <w:szCs w:val="24"/>
                <w:lang w:val="en-US" w:eastAsia="zh-CN"/>
              </w:rPr>
              <w:t>242</w:t>
            </w:r>
            <w:r>
              <w:rPr>
                <w:rFonts w:hint="default" w:ascii="Times New Roman" w:hAnsi="Times New Roman" w:eastAsia="宋体" w:cs="Times New Roman"/>
                <w:color w:val="auto"/>
                <w:sz w:val="24"/>
                <w:szCs w:val="24"/>
                <w:lang w:val="en-US" w:eastAsia="zh-CN"/>
              </w:rPr>
              <w:t>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，即</w:t>
            </w:r>
            <w:r>
              <w:rPr>
                <w:rFonts w:hint="eastAsia" w:cs="Times New Roman"/>
                <w:color w:val="auto"/>
                <w:sz w:val="24"/>
                <w:szCs w:val="24"/>
                <w:lang w:val="en-US" w:eastAsia="zh-CN"/>
              </w:rPr>
              <w:t>0.733</w:t>
            </w:r>
            <w:r>
              <w:rPr>
                <w:rFonts w:hint="default" w:ascii="Times New Roman" w:hAnsi="Times New Roman" w:eastAsia="宋体" w:cs="Times New Roman"/>
                <w:color w:val="auto"/>
                <w:sz w:val="24"/>
                <w:szCs w:val="24"/>
                <w:lang w:val="en-US" w:eastAsia="zh-CN"/>
              </w:rPr>
              <w:t>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/d。</w:t>
            </w:r>
          </w:p>
          <w:p w14:paraId="08BD0980">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cs="Times New Roman"/>
                <w:strike w:val="0"/>
                <w:dstrike w:val="0"/>
                <w:color w:val="auto"/>
                <w:sz w:val="24"/>
                <w:szCs w:val="32"/>
                <w:highlight w:val="none"/>
                <w:lang w:eastAsia="zh-CN"/>
              </w:rPr>
            </w:pPr>
            <w:r>
              <w:rPr>
                <w:rFonts w:hint="eastAsia" w:cs="Times New Roman"/>
                <w:strike w:val="0"/>
                <w:dstrike w:val="0"/>
                <w:color w:val="auto"/>
                <w:sz w:val="24"/>
                <w:szCs w:val="32"/>
                <w:highlight w:val="none"/>
                <w:lang w:eastAsia="zh-CN"/>
              </w:rPr>
              <w:t>（</w:t>
            </w:r>
            <w:r>
              <w:rPr>
                <w:rFonts w:hint="eastAsia" w:cs="Times New Roman"/>
                <w:strike w:val="0"/>
                <w:dstrike w:val="0"/>
                <w:color w:val="auto"/>
                <w:sz w:val="24"/>
                <w:szCs w:val="32"/>
                <w:highlight w:val="none"/>
                <w:lang w:val="en-US" w:eastAsia="zh-CN"/>
              </w:rPr>
              <w:t>8</w:t>
            </w:r>
            <w:r>
              <w:rPr>
                <w:rFonts w:hint="eastAsia" w:cs="Times New Roman"/>
                <w:strike w:val="0"/>
                <w:dstrike w:val="0"/>
                <w:color w:val="auto"/>
                <w:sz w:val="24"/>
                <w:szCs w:val="32"/>
                <w:highlight w:val="none"/>
                <w:lang w:eastAsia="zh-CN"/>
              </w:rPr>
              <w:t>）三相分离</w:t>
            </w:r>
          </w:p>
          <w:p w14:paraId="04A8B9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strike w:val="0"/>
                <w:dstrike w:val="0"/>
                <w:color w:val="auto"/>
                <w:sz w:val="24"/>
                <w:szCs w:val="32"/>
                <w:highlight w:val="none"/>
                <w:lang w:val="en-US" w:eastAsia="zh-CN"/>
              </w:rPr>
            </w:pPr>
            <w:r>
              <w:rPr>
                <w:rFonts w:hint="eastAsia" w:cs="Times New Roman"/>
                <w:strike w:val="0"/>
                <w:dstrike w:val="0"/>
                <w:color w:val="auto"/>
                <w:sz w:val="24"/>
                <w:szCs w:val="32"/>
                <w:highlight w:val="none"/>
                <w:lang w:eastAsia="zh-CN"/>
              </w:rPr>
              <w:t>根据物料平衡表</w:t>
            </w:r>
            <w:r>
              <w:rPr>
                <w:rFonts w:hint="eastAsia" w:cs="Times New Roman"/>
                <w:strike w:val="0"/>
                <w:dstrike w:val="0"/>
                <w:color w:val="auto"/>
                <w:sz w:val="24"/>
                <w:szCs w:val="32"/>
                <w:highlight w:val="none"/>
                <w:lang w:val="en-US" w:eastAsia="zh-CN"/>
              </w:rPr>
              <w:t>2-11、表2-12，三相分离后的废水产生量为6179.177（4087.338+2091.839=6179.177）t/a，18.7t/d（其中包含车辆、设备和地面冲洗废水4.505t/d）。</w:t>
            </w:r>
          </w:p>
          <w:p w14:paraId="374208CC">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Times New Roman" w:hAnsi="Times New Roman" w:cs="Times New Roman"/>
                <w:strike w:val="0"/>
                <w:dstrike w:val="0"/>
                <w:color w:val="auto"/>
                <w:sz w:val="24"/>
                <w:szCs w:val="32"/>
                <w:highlight w:val="none"/>
                <w:lang w:val="en-US" w:eastAsia="zh-CN"/>
              </w:rPr>
            </w:pPr>
            <w:r>
              <w:rPr>
                <w:rFonts w:hint="eastAsia" w:ascii="Times New Roman" w:hAnsi="Times New Roman" w:cs="Times New Roman"/>
                <w:strike w:val="0"/>
                <w:dstrike w:val="0"/>
                <w:color w:val="auto"/>
                <w:sz w:val="24"/>
                <w:szCs w:val="32"/>
                <w:highlight w:val="none"/>
                <w:lang w:val="en-US" w:eastAsia="zh-CN"/>
              </w:rPr>
              <w:t>（9）循环冷却</w:t>
            </w:r>
          </w:p>
          <w:p w14:paraId="4A57A006">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default" w:ascii="Times New Roman" w:hAnsi="Times New Roman" w:eastAsia="宋体" w:cs="Times New Roman"/>
                <w:strike w:val="0"/>
                <w:dstrike w:val="0"/>
                <w:color w:val="auto"/>
                <w:kern w:val="0"/>
                <w:sz w:val="24"/>
                <w:szCs w:val="32"/>
                <w:highlight w:val="none"/>
                <w:lang w:val="en-US" w:eastAsia="zh-CN" w:bidi="ar-SA"/>
              </w:rPr>
            </w:pPr>
            <w:r>
              <w:rPr>
                <w:rFonts w:hint="default" w:ascii="Times New Roman" w:hAnsi="Times New Roman" w:eastAsia="宋体" w:cs="Times New Roman"/>
                <w:color w:val="auto"/>
                <w:sz w:val="24"/>
                <w:szCs w:val="24"/>
              </w:rPr>
              <w:t>本项目</w:t>
            </w:r>
            <w:r>
              <w:rPr>
                <w:rFonts w:hint="eastAsia" w:ascii="Times New Roman" w:hAnsi="Times New Roman" w:eastAsia="宋体" w:cs="Times New Roman"/>
                <w:color w:val="auto"/>
                <w:sz w:val="24"/>
                <w:szCs w:val="24"/>
                <w:lang w:eastAsia="zh-CN"/>
              </w:rPr>
              <w:t>管壳式交换器配备有</w:t>
            </w:r>
            <w:r>
              <w:rPr>
                <w:rFonts w:hint="default" w:ascii="Times New Roman" w:hAnsi="Times New Roman" w:eastAsia="宋体" w:cs="Times New Roman"/>
                <w:color w:val="auto"/>
                <w:sz w:val="24"/>
                <w:szCs w:val="24"/>
              </w:rPr>
              <w:t>有</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rPr>
              <w:t>套循环冷却</w:t>
            </w:r>
            <w:r>
              <w:rPr>
                <w:rFonts w:hint="eastAsia" w:ascii="Times New Roman" w:hAnsi="Times New Roman" w:eastAsia="宋体" w:cs="Times New Roman"/>
                <w:color w:val="auto"/>
                <w:sz w:val="24"/>
                <w:szCs w:val="24"/>
                <w:lang w:eastAsia="zh-CN"/>
              </w:rPr>
              <w:t>塔</w:t>
            </w:r>
            <w:r>
              <w:rPr>
                <w:rFonts w:hint="default"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循环水量为</w:t>
            </w:r>
            <w:r>
              <w:rPr>
                <w:rFonts w:hint="eastAsia" w:ascii="Times New Roman" w:hAnsi="Times New Roman" w:eastAsia="宋体" w:cs="Times New Roman"/>
                <w:color w:val="auto"/>
                <w:sz w:val="24"/>
                <w:szCs w:val="24"/>
                <w:lang w:val="en-US" w:eastAsia="zh-CN"/>
              </w:rPr>
              <w:t>25</w:t>
            </w:r>
            <w:r>
              <w:rPr>
                <w:rFonts w:hint="default" w:ascii="Times New Roman" w:hAnsi="Times New Roman" w:eastAsia="宋体" w:cs="Times New Roman"/>
                <w:color w:val="auto"/>
                <w:sz w:val="24"/>
                <w:szCs w:val="24"/>
                <w:lang w:val="en-US" w:eastAsia="zh-CN"/>
              </w:rPr>
              <w:t>t/h，</w:t>
            </w:r>
            <w:r>
              <w:rPr>
                <w:rFonts w:hint="eastAsia" w:ascii="Times New Roman" w:hAnsi="Times New Roman" w:eastAsia="宋体" w:cs="Times New Roman"/>
                <w:color w:val="auto"/>
                <w:sz w:val="24"/>
                <w:szCs w:val="24"/>
                <w:lang w:val="en-US" w:eastAsia="zh-CN"/>
              </w:rPr>
              <w:t>水箱</w:t>
            </w:r>
            <w:r>
              <w:rPr>
                <w:rFonts w:hint="default" w:ascii="Times New Roman" w:hAnsi="Times New Roman" w:eastAsia="宋体" w:cs="Times New Roman"/>
                <w:color w:val="auto"/>
                <w:sz w:val="24"/>
                <w:szCs w:val="24"/>
                <w:lang w:val="en-US" w:eastAsia="zh-CN"/>
              </w:rPr>
              <w:t>容积约为</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m³</w:t>
            </w:r>
            <w:r>
              <w:rPr>
                <w:rFonts w:hint="default"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eastAsia="zh-CN"/>
              </w:rPr>
              <w:t>对油雾净化器</w:t>
            </w:r>
            <w:r>
              <w:rPr>
                <w:rFonts w:hint="eastAsia" w:ascii="Times New Roman" w:hAnsi="Times New Roman" w:eastAsia="宋体" w:cs="Times New Roman"/>
                <w:color w:val="auto"/>
                <w:sz w:val="24"/>
                <w:szCs w:val="24"/>
                <w:lang w:val="en-US" w:eastAsia="zh-CN"/>
              </w:rPr>
              <w:t>处理后的废气进行降温处理</w:t>
            </w:r>
            <w:r>
              <w:rPr>
                <w:rFonts w:hint="default" w:ascii="Times New Roman" w:hAnsi="Times New Roman" w:eastAsia="宋体" w:cs="Times New Roman"/>
                <w:color w:val="auto"/>
                <w:sz w:val="24"/>
                <w:szCs w:val="24"/>
              </w:rPr>
              <w:t>，冷却方式为间接冷却</w:t>
            </w:r>
            <w:r>
              <w:rPr>
                <w:rFonts w:hint="default"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lang w:eastAsia="zh-CN"/>
              </w:rPr>
              <w:t>加热废气产生时间为</w:t>
            </w:r>
            <w:r>
              <w:rPr>
                <w:rFonts w:hint="eastAsia" w:ascii="Times New Roman" w:hAnsi="Times New Roman" w:eastAsia="宋体" w:cs="Times New Roman"/>
                <w:color w:val="auto"/>
                <w:sz w:val="24"/>
                <w:szCs w:val="24"/>
                <w:lang w:val="en-US" w:eastAsia="zh-CN"/>
              </w:rPr>
              <w:t>4h/d，因此</w:t>
            </w:r>
            <w:r>
              <w:rPr>
                <w:rFonts w:hint="default" w:ascii="Times New Roman" w:hAnsi="Times New Roman" w:eastAsia="宋体" w:cs="Times New Roman"/>
                <w:color w:val="auto"/>
                <w:sz w:val="24"/>
                <w:szCs w:val="24"/>
              </w:rPr>
              <w:t>运行时间为</w:t>
            </w:r>
            <w:r>
              <w:rPr>
                <w:rFonts w:hint="eastAsia" w:ascii="Times New Roman" w:hAnsi="Times New Roman" w:eastAsia="宋体" w:cs="Times New Roman"/>
                <w:color w:val="auto"/>
                <w:sz w:val="24"/>
                <w:szCs w:val="24"/>
                <w:lang w:val="en-US" w:eastAsia="zh-CN"/>
              </w:rPr>
              <w:t>4</w:t>
            </w:r>
            <w:r>
              <w:rPr>
                <w:rFonts w:hint="default" w:ascii="Times New Roman" w:hAnsi="Times New Roman" w:eastAsia="宋体" w:cs="Times New Roman"/>
                <w:color w:val="auto"/>
                <w:sz w:val="24"/>
                <w:szCs w:val="24"/>
                <w:lang w:val="en-US" w:eastAsia="zh-CN"/>
              </w:rPr>
              <w:t>h/d，</w:t>
            </w:r>
            <w:r>
              <w:rPr>
                <w:rFonts w:hint="eastAsia" w:ascii="Times New Roman" w:hAnsi="Times New Roman" w:eastAsia="宋体" w:cs="Times New Roman"/>
                <w:color w:val="auto"/>
                <w:sz w:val="24"/>
                <w:szCs w:val="24"/>
                <w:lang w:val="en-US" w:eastAsia="zh-CN"/>
              </w:rPr>
              <w:t>1320</w:t>
            </w:r>
            <w:r>
              <w:rPr>
                <w:rFonts w:hint="default" w:ascii="Times New Roman" w:hAnsi="Times New Roman" w:eastAsia="宋体" w:cs="Times New Roman"/>
                <w:color w:val="auto"/>
                <w:sz w:val="24"/>
                <w:szCs w:val="24"/>
              </w:rPr>
              <w:t>h</w:t>
            </w:r>
            <w:r>
              <w:rPr>
                <w:rFonts w:hint="default" w:ascii="Times New Roman" w:hAnsi="Times New Roman" w:eastAsia="宋体" w:cs="Times New Roman"/>
                <w:color w:val="auto"/>
                <w:sz w:val="24"/>
                <w:szCs w:val="24"/>
                <w:lang w:val="en-US" w:eastAsia="zh-CN"/>
              </w:rPr>
              <w:t>/a</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strike w:val="0"/>
                <w:dstrike w:val="0"/>
                <w:color w:val="auto"/>
                <w:kern w:val="0"/>
                <w:sz w:val="24"/>
                <w:szCs w:val="32"/>
                <w:highlight w:val="none"/>
                <w:lang w:val="en-US" w:eastAsia="zh-CN" w:bidi="ar-SA"/>
              </w:rPr>
              <w:t>由于损耗，需定期的向循环冷却系统中补充新鲜水，循环冷却系统的补水量约为循环量的1%（</w:t>
            </w:r>
            <w:r>
              <w:rPr>
                <w:rFonts w:hint="eastAsia" w:ascii="Times New Roman" w:hAnsi="Times New Roman" w:eastAsia="宋体" w:cs="Times New Roman"/>
                <w:strike w:val="0"/>
                <w:dstrike w:val="0"/>
                <w:color w:val="auto"/>
                <w:kern w:val="0"/>
                <w:sz w:val="24"/>
                <w:szCs w:val="32"/>
                <w:highlight w:val="none"/>
                <w:lang w:val="en-US" w:eastAsia="zh-CN" w:bidi="ar-SA"/>
              </w:rPr>
              <w:t>1</w:t>
            </w:r>
            <w:r>
              <w:rPr>
                <w:rFonts w:hint="default" w:ascii="Times New Roman" w:hAnsi="Times New Roman" w:eastAsia="宋体" w:cs="Times New Roman"/>
                <w:strike w:val="0"/>
                <w:dstrike w:val="0"/>
                <w:color w:val="auto"/>
                <w:kern w:val="0"/>
                <w:sz w:val="24"/>
                <w:szCs w:val="32"/>
                <w:highlight w:val="none"/>
                <w:lang w:val="en-US" w:eastAsia="zh-CN" w:bidi="ar-SA"/>
              </w:rPr>
              <w:t>t/d，</w:t>
            </w:r>
            <w:r>
              <w:rPr>
                <w:rFonts w:hint="eastAsia" w:ascii="Times New Roman" w:hAnsi="Times New Roman" w:eastAsia="宋体" w:cs="Times New Roman"/>
                <w:strike w:val="0"/>
                <w:dstrike w:val="0"/>
                <w:color w:val="auto"/>
                <w:kern w:val="0"/>
                <w:sz w:val="24"/>
                <w:szCs w:val="32"/>
                <w:highlight w:val="none"/>
                <w:lang w:val="en-US" w:eastAsia="zh-CN" w:bidi="ar-SA"/>
              </w:rPr>
              <w:t>330</w:t>
            </w:r>
            <w:r>
              <w:rPr>
                <w:rFonts w:hint="default" w:ascii="Times New Roman" w:hAnsi="Times New Roman" w:eastAsia="宋体" w:cs="Times New Roman"/>
                <w:strike w:val="0"/>
                <w:dstrike w:val="0"/>
                <w:color w:val="auto"/>
                <w:kern w:val="0"/>
                <w:sz w:val="24"/>
                <w:szCs w:val="32"/>
                <w:highlight w:val="none"/>
                <w:lang w:val="en-US" w:eastAsia="zh-CN" w:bidi="ar-SA"/>
              </w:rPr>
              <w:t>t/a）。循环冷却系统中的循环冷却水平均</w:t>
            </w:r>
            <w:r>
              <w:rPr>
                <w:rFonts w:hint="eastAsia" w:ascii="Times New Roman" w:hAnsi="Times New Roman" w:eastAsia="宋体" w:cs="Times New Roman"/>
                <w:strike w:val="0"/>
                <w:dstrike w:val="0"/>
                <w:color w:val="auto"/>
                <w:kern w:val="0"/>
                <w:sz w:val="24"/>
                <w:szCs w:val="32"/>
                <w:highlight w:val="none"/>
                <w:lang w:val="en-US" w:eastAsia="zh-CN" w:bidi="ar-SA"/>
              </w:rPr>
              <w:t>1</w:t>
            </w:r>
            <w:r>
              <w:rPr>
                <w:rFonts w:hint="default" w:ascii="Times New Roman" w:hAnsi="Times New Roman" w:eastAsia="宋体" w:cs="Times New Roman"/>
                <w:strike w:val="0"/>
                <w:dstrike w:val="0"/>
                <w:color w:val="auto"/>
                <w:kern w:val="0"/>
                <w:sz w:val="24"/>
                <w:szCs w:val="32"/>
                <w:highlight w:val="none"/>
                <w:lang w:val="en-US" w:eastAsia="zh-CN" w:bidi="ar-SA"/>
              </w:rPr>
              <w:t>个月更换一次，更换过程中会产生循环冷却废水。经核算，本项目循环冷却废水产生量约为</w:t>
            </w:r>
            <w:r>
              <w:rPr>
                <w:rFonts w:hint="eastAsia" w:ascii="Times New Roman" w:hAnsi="Times New Roman" w:eastAsia="宋体" w:cs="Times New Roman"/>
                <w:strike w:val="0"/>
                <w:dstrike w:val="0"/>
                <w:color w:val="auto"/>
                <w:kern w:val="0"/>
                <w:sz w:val="24"/>
                <w:szCs w:val="32"/>
                <w:highlight w:val="none"/>
                <w:lang w:val="en-US" w:eastAsia="zh-CN" w:bidi="ar-SA"/>
              </w:rPr>
              <w:t>12</w:t>
            </w:r>
            <w:r>
              <w:rPr>
                <w:rFonts w:hint="default" w:ascii="Times New Roman" w:hAnsi="Times New Roman" w:eastAsia="宋体" w:cs="Times New Roman"/>
                <w:strike w:val="0"/>
                <w:dstrike w:val="0"/>
                <w:color w:val="auto"/>
                <w:kern w:val="0"/>
                <w:sz w:val="24"/>
                <w:szCs w:val="32"/>
                <w:highlight w:val="none"/>
                <w:lang w:val="en-US" w:eastAsia="zh-CN" w:bidi="ar-SA"/>
              </w:rPr>
              <w:t>t/a（</w:t>
            </w:r>
            <w:r>
              <w:rPr>
                <w:rFonts w:hint="eastAsia" w:ascii="Times New Roman" w:hAnsi="Times New Roman" w:eastAsia="宋体" w:cs="Times New Roman"/>
                <w:strike w:val="0"/>
                <w:dstrike w:val="0"/>
                <w:color w:val="auto"/>
                <w:kern w:val="0"/>
                <w:sz w:val="24"/>
                <w:szCs w:val="32"/>
                <w:highlight w:val="none"/>
                <w:lang w:val="en-US" w:eastAsia="zh-CN" w:bidi="ar-SA"/>
              </w:rPr>
              <w:t>0.036</w:t>
            </w:r>
            <w:r>
              <w:rPr>
                <w:rFonts w:hint="default" w:ascii="Times New Roman" w:hAnsi="Times New Roman" w:eastAsia="宋体" w:cs="Times New Roman"/>
                <w:strike w:val="0"/>
                <w:dstrike w:val="0"/>
                <w:color w:val="auto"/>
                <w:kern w:val="0"/>
                <w:sz w:val="24"/>
                <w:szCs w:val="32"/>
                <w:highlight w:val="none"/>
                <w:lang w:val="en-US" w:eastAsia="zh-CN" w:bidi="ar-SA"/>
              </w:rPr>
              <w:t>t/d），循环冷却用水量约</w:t>
            </w:r>
            <w:r>
              <w:rPr>
                <w:rFonts w:hint="eastAsia" w:ascii="Times New Roman" w:hAnsi="Times New Roman" w:eastAsia="宋体" w:cs="Times New Roman"/>
                <w:strike w:val="0"/>
                <w:dstrike w:val="0"/>
                <w:color w:val="auto"/>
                <w:kern w:val="0"/>
                <w:sz w:val="24"/>
                <w:szCs w:val="32"/>
                <w:highlight w:val="none"/>
                <w:lang w:val="en-US" w:eastAsia="zh-CN" w:bidi="ar-SA"/>
              </w:rPr>
              <w:t>1.036</w:t>
            </w:r>
            <w:r>
              <w:rPr>
                <w:rFonts w:hint="default" w:ascii="Times New Roman" w:hAnsi="Times New Roman" w:eastAsia="宋体" w:cs="Times New Roman"/>
                <w:strike w:val="0"/>
                <w:dstrike w:val="0"/>
                <w:color w:val="auto"/>
                <w:kern w:val="0"/>
                <w:sz w:val="24"/>
                <w:szCs w:val="32"/>
                <w:highlight w:val="none"/>
                <w:lang w:val="en-US" w:eastAsia="zh-CN" w:bidi="ar-SA"/>
              </w:rPr>
              <w:t>t/a</w:t>
            </w:r>
            <w:r>
              <w:rPr>
                <w:rFonts w:hint="eastAsia" w:ascii="Times New Roman" w:hAnsi="Times New Roman" w:eastAsia="宋体" w:cs="Times New Roman"/>
                <w:strike w:val="0"/>
                <w:dstrike w:val="0"/>
                <w:color w:val="auto"/>
                <w:kern w:val="0"/>
                <w:sz w:val="24"/>
                <w:szCs w:val="32"/>
                <w:highlight w:val="none"/>
                <w:lang w:val="en-US" w:eastAsia="zh-CN" w:bidi="ar-SA"/>
              </w:rPr>
              <w:t>，342t/d</w:t>
            </w:r>
            <w:r>
              <w:rPr>
                <w:rFonts w:hint="default" w:ascii="Times New Roman" w:hAnsi="Times New Roman" w:eastAsia="宋体" w:cs="Times New Roman"/>
                <w:strike w:val="0"/>
                <w:dstrike w:val="0"/>
                <w:color w:val="auto"/>
                <w:kern w:val="0"/>
                <w:sz w:val="24"/>
                <w:szCs w:val="32"/>
                <w:highlight w:val="none"/>
                <w:lang w:val="en-US" w:eastAsia="zh-CN" w:bidi="ar-SA"/>
              </w:rPr>
              <w:t>（全年工作日按 3</w:t>
            </w:r>
            <w:r>
              <w:rPr>
                <w:rFonts w:hint="eastAsia" w:ascii="Times New Roman" w:hAnsi="Times New Roman" w:eastAsia="宋体" w:cs="Times New Roman"/>
                <w:strike w:val="0"/>
                <w:dstrike w:val="0"/>
                <w:color w:val="auto"/>
                <w:kern w:val="0"/>
                <w:sz w:val="24"/>
                <w:szCs w:val="32"/>
                <w:highlight w:val="none"/>
                <w:lang w:val="en-US" w:eastAsia="zh-CN" w:bidi="ar-SA"/>
              </w:rPr>
              <w:t>30</w:t>
            </w:r>
            <w:r>
              <w:rPr>
                <w:rFonts w:hint="default" w:ascii="Times New Roman" w:hAnsi="Times New Roman" w:eastAsia="宋体" w:cs="Times New Roman"/>
                <w:strike w:val="0"/>
                <w:dstrike w:val="0"/>
                <w:color w:val="auto"/>
                <w:kern w:val="0"/>
                <w:sz w:val="24"/>
                <w:szCs w:val="32"/>
                <w:highlight w:val="none"/>
                <w:lang w:val="en-US" w:eastAsia="zh-CN" w:bidi="ar-SA"/>
              </w:rPr>
              <w:t xml:space="preserve"> 天计）。</w:t>
            </w:r>
          </w:p>
          <w:p w14:paraId="34FE455C">
            <w:pPr>
              <w:spacing w:line="360" w:lineRule="auto"/>
              <w:ind w:firstLine="480" w:firstLineChars="200"/>
              <w:rPr>
                <w:rFonts w:hint="eastAsia" w:ascii="Times New Roman" w:hAnsi="Times New Roman" w:cs="Times New Roman"/>
                <w:strike w:val="0"/>
                <w:dstrike w:val="0"/>
                <w:color w:val="auto"/>
                <w:sz w:val="24"/>
                <w:szCs w:val="32"/>
                <w:highlight w:val="none"/>
                <w:lang w:eastAsia="zh-CN"/>
              </w:rPr>
            </w:pPr>
            <w:r>
              <w:rPr>
                <w:rFonts w:hint="eastAsia"/>
                <w:strike w:val="0"/>
                <w:dstrike w:val="0"/>
                <w:color w:val="auto"/>
                <w:kern w:val="0"/>
                <w:sz w:val="24"/>
                <w:highlight w:val="none"/>
              </w:rPr>
              <w:t>本项目用排水</w:t>
            </w:r>
            <w:r>
              <w:rPr>
                <w:rFonts w:hint="eastAsia" w:ascii="Times New Roman" w:hAnsi="Times New Roman" w:cs="Times New Roman"/>
                <w:strike w:val="0"/>
                <w:dstrike w:val="0"/>
                <w:color w:val="auto"/>
                <w:sz w:val="24"/>
                <w:szCs w:val="32"/>
                <w:highlight w:val="none"/>
                <w:lang w:eastAsia="zh-CN"/>
              </w:rPr>
              <w:t>情况见下表。</w:t>
            </w:r>
          </w:p>
          <w:p w14:paraId="5E505CFD">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eastAsia"/>
                <w:b/>
                <w:bCs/>
                <w:strike w:val="0"/>
                <w:dstrike w:val="0"/>
                <w:color w:val="auto"/>
                <w:kern w:val="0"/>
                <w:sz w:val="24"/>
                <w:highlight w:val="none"/>
                <w:lang w:val="en-US" w:eastAsia="zh-CN"/>
              </w:rPr>
            </w:pPr>
            <w:r>
              <w:rPr>
                <w:rFonts w:hint="eastAsia"/>
                <w:b/>
                <w:bCs/>
                <w:strike w:val="0"/>
                <w:dstrike w:val="0"/>
                <w:color w:val="auto"/>
                <w:kern w:val="0"/>
                <w:sz w:val="24"/>
                <w:highlight w:val="none"/>
                <w:lang w:eastAsia="zh-CN"/>
              </w:rPr>
              <w:t>表</w:t>
            </w:r>
            <w:r>
              <w:rPr>
                <w:rFonts w:hint="eastAsia"/>
                <w:b/>
                <w:bCs/>
                <w:strike w:val="0"/>
                <w:dstrike w:val="0"/>
                <w:color w:val="auto"/>
                <w:kern w:val="0"/>
                <w:sz w:val="24"/>
                <w:highlight w:val="none"/>
                <w:lang w:val="en-US" w:eastAsia="zh-CN"/>
              </w:rPr>
              <w:t>2-10项目用排水情况一览表</w:t>
            </w:r>
          </w:p>
          <w:tbl>
            <w:tblPr>
              <w:tblStyle w:val="28"/>
              <w:tblW w:w="4998" w:type="pct"/>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465"/>
              <w:gridCol w:w="1152"/>
              <w:gridCol w:w="1255"/>
              <w:gridCol w:w="927"/>
              <w:gridCol w:w="1174"/>
              <w:gridCol w:w="1199"/>
              <w:gridCol w:w="1352"/>
              <w:gridCol w:w="868"/>
            </w:tblGrid>
            <w:tr w14:paraId="48C7709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267" w:hRule="atLeast"/>
                <w:jc w:val="center"/>
              </w:trPr>
              <w:tc>
                <w:tcPr>
                  <w:tcW w:w="277" w:type="pct"/>
                  <w:vMerge w:val="restart"/>
                  <w:tcBorders>
                    <w:right w:val="single" w:color="000000" w:sz="4" w:space="0"/>
                  </w:tcBorders>
                  <w:noWrap w:val="0"/>
                  <w:vAlign w:val="center"/>
                </w:tcPr>
                <w:p w14:paraId="7E655243">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cs="Times New Roman"/>
                      <w:b/>
                      <w:bCs/>
                      <w:color w:val="auto"/>
                      <w:spacing w:val="0"/>
                      <w:kern w:val="2"/>
                      <w:sz w:val="21"/>
                      <w:szCs w:val="21"/>
                    </w:rPr>
                  </w:pPr>
                  <w:r>
                    <w:rPr>
                      <w:rFonts w:cs="Times New Roman"/>
                      <w:b/>
                      <w:bCs/>
                      <w:color w:val="auto"/>
                      <w:spacing w:val="0"/>
                      <w:kern w:val="2"/>
                      <w:sz w:val="21"/>
                      <w:szCs w:val="21"/>
                    </w:rPr>
                    <w:t>序号</w:t>
                  </w:r>
                </w:p>
              </w:tc>
              <w:tc>
                <w:tcPr>
                  <w:tcW w:w="686" w:type="pct"/>
                  <w:vMerge w:val="restart"/>
                  <w:tcBorders>
                    <w:left w:val="single" w:color="000000" w:sz="4" w:space="0"/>
                    <w:right w:val="single" w:color="000000" w:sz="4" w:space="0"/>
                  </w:tcBorders>
                  <w:noWrap w:val="0"/>
                  <w:vAlign w:val="center"/>
                </w:tcPr>
                <w:p w14:paraId="10E71909">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
                      <w:bCs/>
                      <w:color w:val="auto"/>
                      <w:spacing w:val="0"/>
                      <w:kern w:val="2"/>
                      <w:sz w:val="21"/>
                      <w:szCs w:val="21"/>
                      <w:lang w:val="en-US" w:eastAsia="zh-CN"/>
                    </w:rPr>
                  </w:pPr>
                  <w:r>
                    <w:rPr>
                      <w:rFonts w:hint="eastAsia"/>
                      <w:color w:val="auto"/>
                      <w:lang w:eastAsia="zh-CN"/>
                    </w:rPr>
                    <w:t>名称</w:t>
                  </w:r>
                </w:p>
              </w:tc>
              <w:tc>
                <w:tcPr>
                  <w:tcW w:w="1999" w:type="pct"/>
                  <w:gridSpan w:val="3"/>
                  <w:tcBorders>
                    <w:left w:val="single" w:color="000000" w:sz="4" w:space="0"/>
                    <w:bottom w:val="single" w:color="000000" w:sz="4" w:space="0"/>
                    <w:right w:val="single" w:color="auto" w:sz="4" w:space="0"/>
                  </w:tcBorders>
                  <w:noWrap w:val="0"/>
                  <w:vAlign w:val="center"/>
                </w:tcPr>
                <w:p w14:paraId="5238B9DA">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
                      <w:bCs/>
                      <w:color w:val="auto"/>
                      <w:spacing w:val="0"/>
                      <w:kern w:val="2"/>
                      <w:sz w:val="21"/>
                      <w:szCs w:val="21"/>
                      <w:lang w:val="en-US" w:eastAsia="zh-CN"/>
                    </w:rPr>
                  </w:pPr>
                  <w:r>
                    <w:rPr>
                      <w:rFonts w:hint="eastAsia" w:cs="Times New Roman"/>
                      <w:b/>
                      <w:bCs/>
                      <w:color w:val="auto"/>
                      <w:spacing w:val="0"/>
                      <w:kern w:val="2"/>
                      <w:sz w:val="21"/>
                      <w:szCs w:val="21"/>
                      <w:lang w:val="en-US" w:eastAsia="zh-CN"/>
                    </w:rPr>
                    <w:t>进水t/d</w:t>
                  </w:r>
                </w:p>
              </w:tc>
              <w:tc>
                <w:tcPr>
                  <w:tcW w:w="1519" w:type="pct"/>
                  <w:gridSpan w:val="2"/>
                  <w:tcBorders>
                    <w:left w:val="single" w:color="000000" w:sz="4" w:space="0"/>
                    <w:bottom w:val="single" w:color="000000" w:sz="4" w:space="0"/>
                  </w:tcBorders>
                  <w:noWrap w:val="0"/>
                  <w:vAlign w:val="center"/>
                </w:tcPr>
                <w:p w14:paraId="556F9669">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
                      <w:bCs/>
                      <w:color w:val="auto"/>
                      <w:spacing w:val="0"/>
                      <w:kern w:val="2"/>
                      <w:sz w:val="21"/>
                      <w:szCs w:val="21"/>
                      <w:lang w:val="en-US" w:eastAsia="zh-CN"/>
                    </w:rPr>
                  </w:pPr>
                  <w:r>
                    <w:rPr>
                      <w:rFonts w:hint="eastAsia" w:cs="Times New Roman"/>
                      <w:b/>
                      <w:bCs/>
                      <w:color w:val="auto"/>
                      <w:spacing w:val="0"/>
                      <w:kern w:val="2"/>
                      <w:sz w:val="21"/>
                      <w:szCs w:val="21"/>
                      <w:lang w:val="en-US" w:eastAsia="zh-CN"/>
                    </w:rPr>
                    <w:t>出水t/d</w:t>
                  </w:r>
                </w:p>
              </w:tc>
              <w:tc>
                <w:tcPr>
                  <w:tcW w:w="517" w:type="pct"/>
                  <w:vMerge w:val="restart"/>
                  <w:tcBorders>
                    <w:left w:val="single" w:color="000000" w:sz="4" w:space="0"/>
                  </w:tcBorders>
                  <w:noWrap w:val="0"/>
                  <w:vAlign w:val="center"/>
                </w:tcPr>
                <w:p w14:paraId="013CE542">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bCs/>
                      <w:color w:val="auto"/>
                      <w:spacing w:val="0"/>
                      <w:kern w:val="2"/>
                      <w:sz w:val="21"/>
                      <w:szCs w:val="21"/>
                      <w:lang w:val="en-US" w:eastAsia="zh-CN"/>
                    </w:rPr>
                  </w:pPr>
                  <w:r>
                    <w:rPr>
                      <w:rFonts w:hint="eastAsia" w:cs="Times New Roman"/>
                      <w:b/>
                      <w:bCs/>
                      <w:color w:val="auto"/>
                      <w:spacing w:val="0"/>
                      <w:kern w:val="2"/>
                      <w:sz w:val="21"/>
                      <w:szCs w:val="21"/>
                      <w:lang w:val="en-US" w:eastAsia="zh-CN"/>
                    </w:rPr>
                    <w:t>备注</w:t>
                  </w:r>
                </w:p>
              </w:tc>
            </w:tr>
            <w:tr w14:paraId="7D11227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267" w:hRule="atLeast"/>
                <w:jc w:val="center"/>
              </w:trPr>
              <w:tc>
                <w:tcPr>
                  <w:tcW w:w="277" w:type="pct"/>
                  <w:vMerge w:val="continue"/>
                  <w:tcBorders>
                    <w:bottom w:val="single" w:color="000000" w:sz="4" w:space="0"/>
                    <w:right w:val="single" w:color="000000" w:sz="4" w:space="0"/>
                  </w:tcBorders>
                  <w:noWrap w:val="0"/>
                  <w:vAlign w:val="center"/>
                </w:tcPr>
                <w:p w14:paraId="080EC356">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auto"/>
                    </w:rPr>
                  </w:pPr>
                </w:p>
              </w:tc>
              <w:tc>
                <w:tcPr>
                  <w:tcW w:w="686" w:type="pct"/>
                  <w:vMerge w:val="continue"/>
                  <w:tcBorders>
                    <w:left w:val="single" w:color="000000" w:sz="4" w:space="0"/>
                    <w:bottom w:val="single" w:color="000000" w:sz="4" w:space="0"/>
                    <w:right w:val="single" w:color="000000" w:sz="4" w:space="0"/>
                  </w:tcBorders>
                  <w:noWrap w:val="0"/>
                  <w:vAlign w:val="center"/>
                </w:tcPr>
                <w:p w14:paraId="3BABFCE0">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auto"/>
                    </w:rPr>
                  </w:pPr>
                </w:p>
              </w:tc>
              <w:tc>
                <w:tcPr>
                  <w:tcW w:w="747" w:type="pct"/>
                  <w:tcBorders>
                    <w:left w:val="single" w:color="000000" w:sz="4" w:space="0"/>
                    <w:bottom w:val="single" w:color="000000" w:sz="4" w:space="0"/>
                    <w:right w:val="single" w:color="auto" w:sz="4" w:space="0"/>
                  </w:tcBorders>
                  <w:noWrap w:val="0"/>
                  <w:vAlign w:val="center"/>
                </w:tcPr>
                <w:p w14:paraId="78B5CC3E">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cs="Times New Roman"/>
                      <w:b/>
                      <w:bCs/>
                      <w:color w:val="auto"/>
                      <w:spacing w:val="0"/>
                      <w:kern w:val="2"/>
                      <w:sz w:val="21"/>
                      <w:szCs w:val="21"/>
                      <w:lang w:val="en-US" w:eastAsia="zh-CN" w:bidi="ar-SA"/>
                    </w:rPr>
                  </w:pPr>
                  <w:r>
                    <w:rPr>
                      <w:rFonts w:cs="Times New Roman"/>
                      <w:b/>
                      <w:bCs/>
                      <w:color w:val="auto"/>
                      <w:spacing w:val="0"/>
                      <w:kern w:val="2"/>
                      <w:sz w:val="21"/>
                      <w:szCs w:val="21"/>
                    </w:rPr>
                    <w:t>新鲜水用水量</w:t>
                  </w:r>
                </w:p>
              </w:tc>
              <w:tc>
                <w:tcPr>
                  <w:tcW w:w="552" w:type="pct"/>
                  <w:tcBorders>
                    <w:left w:val="single" w:color="000000" w:sz="4" w:space="0"/>
                    <w:bottom w:val="single" w:color="000000" w:sz="4" w:space="0"/>
                    <w:right w:val="single" w:color="auto" w:sz="4" w:space="0"/>
                  </w:tcBorders>
                  <w:noWrap w:val="0"/>
                  <w:vAlign w:val="center"/>
                </w:tcPr>
                <w:p w14:paraId="0CB493BC">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
                      <w:bCs/>
                      <w:color w:val="auto"/>
                      <w:spacing w:val="0"/>
                      <w:kern w:val="2"/>
                      <w:sz w:val="21"/>
                      <w:szCs w:val="21"/>
                      <w:lang w:val="en-US" w:eastAsia="zh-CN" w:bidi="ar-SA"/>
                    </w:rPr>
                  </w:pPr>
                  <w:r>
                    <w:rPr>
                      <w:rFonts w:hint="eastAsia" w:cs="Times New Roman"/>
                      <w:b/>
                      <w:bCs/>
                      <w:color w:val="auto"/>
                      <w:spacing w:val="0"/>
                      <w:kern w:val="2"/>
                      <w:sz w:val="21"/>
                      <w:szCs w:val="21"/>
                      <w:lang w:eastAsia="zh-CN"/>
                    </w:rPr>
                    <w:t>其他用水</w:t>
                  </w:r>
                </w:p>
              </w:tc>
              <w:tc>
                <w:tcPr>
                  <w:tcW w:w="699" w:type="pct"/>
                  <w:tcBorders>
                    <w:left w:val="single" w:color="000000" w:sz="4" w:space="0"/>
                    <w:bottom w:val="single" w:color="000000" w:sz="4" w:space="0"/>
                    <w:right w:val="single" w:color="auto" w:sz="4" w:space="0"/>
                  </w:tcBorders>
                  <w:noWrap w:val="0"/>
                  <w:vAlign w:val="center"/>
                </w:tcPr>
                <w:p w14:paraId="3D071ED1">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cs="Times New Roman"/>
                      <w:b/>
                      <w:bCs/>
                      <w:color w:val="auto"/>
                      <w:spacing w:val="0"/>
                      <w:kern w:val="2"/>
                      <w:sz w:val="21"/>
                      <w:szCs w:val="21"/>
                      <w:lang w:val="en-US" w:eastAsia="zh-CN" w:bidi="ar-SA"/>
                    </w:rPr>
                  </w:pPr>
                  <w:r>
                    <w:rPr>
                      <w:rFonts w:cs="Times New Roman"/>
                      <w:b/>
                      <w:bCs/>
                      <w:color w:val="auto"/>
                      <w:spacing w:val="0"/>
                      <w:kern w:val="2"/>
                      <w:sz w:val="21"/>
                      <w:szCs w:val="21"/>
                    </w:rPr>
                    <w:t>原料自带</w:t>
                  </w:r>
                </w:p>
              </w:tc>
              <w:tc>
                <w:tcPr>
                  <w:tcW w:w="714" w:type="pct"/>
                  <w:tcBorders>
                    <w:left w:val="single" w:color="000000" w:sz="4" w:space="0"/>
                    <w:bottom w:val="single" w:color="000000" w:sz="4" w:space="0"/>
                    <w:right w:val="single" w:color="auto" w:sz="4" w:space="0"/>
                  </w:tcBorders>
                  <w:noWrap w:val="0"/>
                  <w:vAlign w:val="center"/>
                </w:tcPr>
                <w:p w14:paraId="1095F7CC">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cs="Times New Roman"/>
                      <w:b/>
                      <w:bCs/>
                      <w:color w:val="auto"/>
                      <w:spacing w:val="0"/>
                      <w:kern w:val="2"/>
                      <w:sz w:val="21"/>
                      <w:szCs w:val="21"/>
                      <w:lang w:val="en-US" w:eastAsia="zh-CN" w:bidi="ar-SA"/>
                    </w:rPr>
                  </w:pPr>
                  <w:r>
                    <w:rPr>
                      <w:rFonts w:cs="Times New Roman"/>
                      <w:b/>
                      <w:bCs/>
                      <w:color w:val="auto"/>
                      <w:spacing w:val="0"/>
                      <w:kern w:val="2"/>
                      <w:sz w:val="21"/>
                      <w:szCs w:val="21"/>
                    </w:rPr>
                    <w:t>损耗量</w:t>
                  </w:r>
                </w:p>
              </w:tc>
              <w:tc>
                <w:tcPr>
                  <w:tcW w:w="805" w:type="pct"/>
                  <w:tcBorders>
                    <w:left w:val="single" w:color="auto" w:sz="4" w:space="0"/>
                    <w:bottom w:val="single" w:color="000000" w:sz="4" w:space="0"/>
                  </w:tcBorders>
                  <w:noWrap w:val="0"/>
                  <w:vAlign w:val="center"/>
                </w:tcPr>
                <w:p w14:paraId="0218543A">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cs="Times New Roman"/>
                      <w:b/>
                      <w:bCs/>
                      <w:color w:val="auto"/>
                      <w:spacing w:val="0"/>
                      <w:kern w:val="2"/>
                      <w:sz w:val="21"/>
                      <w:szCs w:val="21"/>
                      <w:lang w:val="en-US" w:eastAsia="zh-CN" w:bidi="ar-SA"/>
                    </w:rPr>
                  </w:pPr>
                  <w:r>
                    <w:rPr>
                      <w:rFonts w:cs="Times New Roman"/>
                      <w:b/>
                      <w:bCs/>
                      <w:color w:val="auto"/>
                      <w:spacing w:val="0"/>
                      <w:kern w:val="2"/>
                      <w:sz w:val="21"/>
                      <w:szCs w:val="21"/>
                    </w:rPr>
                    <w:t>废水量</w:t>
                  </w:r>
                </w:p>
              </w:tc>
              <w:tc>
                <w:tcPr>
                  <w:tcW w:w="517" w:type="pct"/>
                  <w:vMerge w:val="continue"/>
                  <w:tcBorders>
                    <w:left w:val="single" w:color="000000" w:sz="4" w:space="0"/>
                    <w:bottom w:val="single" w:color="000000" w:sz="4" w:space="0"/>
                  </w:tcBorders>
                  <w:noWrap w:val="0"/>
                  <w:vAlign w:val="center"/>
                </w:tcPr>
                <w:p w14:paraId="5B5ED07E">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cs="Times New Roman"/>
                      <w:b/>
                      <w:bCs/>
                      <w:color w:val="auto"/>
                      <w:spacing w:val="0"/>
                      <w:kern w:val="2"/>
                      <w:sz w:val="21"/>
                      <w:szCs w:val="21"/>
                    </w:rPr>
                  </w:pPr>
                </w:p>
              </w:tc>
            </w:tr>
            <w:tr w14:paraId="4B8981A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277" w:type="pct"/>
                  <w:tcBorders>
                    <w:top w:val="single" w:color="000000" w:sz="4" w:space="0"/>
                    <w:bottom w:val="single" w:color="000000" w:sz="4" w:space="0"/>
                    <w:right w:val="single" w:color="000000" w:sz="4" w:space="0"/>
                  </w:tcBorders>
                  <w:noWrap w:val="0"/>
                  <w:vAlign w:val="center"/>
                </w:tcPr>
                <w:p w14:paraId="48DD89DE">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color w:val="auto"/>
                      <w:spacing w:val="0"/>
                      <w:kern w:val="2"/>
                      <w:sz w:val="21"/>
                      <w:szCs w:val="21"/>
                      <w:lang w:val="en-US" w:eastAsia="zh-CN"/>
                    </w:rPr>
                  </w:pPr>
                  <w:r>
                    <w:rPr>
                      <w:rFonts w:hint="eastAsia" w:cs="Times New Roman"/>
                      <w:color w:val="auto"/>
                      <w:spacing w:val="0"/>
                      <w:kern w:val="2"/>
                      <w:sz w:val="21"/>
                      <w:szCs w:val="21"/>
                      <w:lang w:val="en-US" w:eastAsia="zh-CN"/>
                    </w:rPr>
                    <w:t>1</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2BC0AD29">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cs="Times New Roman"/>
                      <w:bCs/>
                      <w:color w:val="auto"/>
                      <w:spacing w:val="0"/>
                      <w:kern w:val="2"/>
                      <w:sz w:val="21"/>
                      <w:szCs w:val="21"/>
                      <w:lang w:val="en-US" w:eastAsia="zh-CN"/>
                    </w:rPr>
                    <w:t>车辆冲洗用水</w:t>
                  </w:r>
                </w:p>
              </w:tc>
              <w:tc>
                <w:tcPr>
                  <w:tcW w:w="747" w:type="pct"/>
                  <w:tcBorders>
                    <w:top w:val="single" w:color="000000" w:sz="4" w:space="0"/>
                    <w:left w:val="single" w:color="000000" w:sz="4" w:space="0"/>
                    <w:bottom w:val="single" w:color="000000" w:sz="4" w:space="0"/>
                    <w:right w:val="single" w:color="auto" w:sz="4" w:space="0"/>
                  </w:tcBorders>
                  <w:noWrap w:val="0"/>
                  <w:vAlign w:val="center"/>
                </w:tcPr>
                <w:p w14:paraId="4C477BD4">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1.44</w:t>
                  </w:r>
                </w:p>
              </w:tc>
              <w:tc>
                <w:tcPr>
                  <w:tcW w:w="552" w:type="pct"/>
                  <w:tcBorders>
                    <w:top w:val="single" w:color="000000" w:sz="4" w:space="0"/>
                    <w:left w:val="single" w:color="000000" w:sz="4" w:space="0"/>
                    <w:bottom w:val="single" w:color="000000" w:sz="4" w:space="0"/>
                    <w:right w:val="single" w:color="auto" w:sz="4" w:space="0"/>
                  </w:tcBorders>
                  <w:noWrap w:val="0"/>
                  <w:vAlign w:val="center"/>
                </w:tcPr>
                <w:p w14:paraId="51C7F160">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699" w:type="pct"/>
                  <w:tcBorders>
                    <w:top w:val="single" w:color="000000" w:sz="4" w:space="0"/>
                    <w:left w:val="single" w:color="000000" w:sz="4" w:space="0"/>
                    <w:bottom w:val="single" w:color="000000" w:sz="4" w:space="0"/>
                    <w:right w:val="single" w:color="auto" w:sz="4" w:space="0"/>
                  </w:tcBorders>
                  <w:noWrap w:val="0"/>
                  <w:vAlign w:val="center"/>
                </w:tcPr>
                <w:p w14:paraId="26F897FD">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714" w:type="pct"/>
                  <w:tcBorders>
                    <w:top w:val="single" w:color="000000" w:sz="4" w:space="0"/>
                    <w:left w:val="single" w:color="000000" w:sz="4" w:space="0"/>
                    <w:bottom w:val="single" w:color="000000" w:sz="4" w:space="0"/>
                    <w:right w:val="single" w:color="auto" w:sz="4" w:space="0"/>
                  </w:tcBorders>
                  <w:noWrap w:val="0"/>
                  <w:vAlign w:val="center"/>
                </w:tcPr>
                <w:p w14:paraId="2999CB90">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0.29</w:t>
                  </w:r>
                </w:p>
              </w:tc>
              <w:tc>
                <w:tcPr>
                  <w:tcW w:w="805" w:type="pct"/>
                  <w:tcBorders>
                    <w:top w:val="single" w:color="000000" w:sz="4" w:space="0"/>
                    <w:left w:val="single" w:color="auto" w:sz="4" w:space="0"/>
                    <w:bottom w:val="single" w:color="000000" w:sz="4" w:space="0"/>
                  </w:tcBorders>
                  <w:noWrap w:val="0"/>
                  <w:vAlign w:val="center"/>
                </w:tcPr>
                <w:p w14:paraId="1B2AB149">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1.15</w:t>
                  </w:r>
                </w:p>
              </w:tc>
              <w:tc>
                <w:tcPr>
                  <w:tcW w:w="517" w:type="pct"/>
                  <w:vMerge w:val="restart"/>
                  <w:tcBorders>
                    <w:top w:val="single" w:color="000000" w:sz="4" w:space="0"/>
                    <w:left w:val="single" w:color="auto" w:sz="4" w:space="0"/>
                  </w:tcBorders>
                  <w:noWrap w:val="0"/>
                  <w:vAlign w:val="center"/>
                </w:tcPr>
                <w:p w14:paraId="6A951907">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废水进入到餐厨垃圾预处理系统</w:t>
                  </w:r>
                </w:p>
              </w:tc>
            </w:tr>
            <w:tr w14:paraId="343DB52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277" w:type="pct"/>
                  <w:tcBorders>
                    <w:top w:val="single" w:color="000000" w:sz="4" w:space="0"/>
                    <w:bottom w:val="single" w:color="000000" w:sz="4" w:space="0"/>
                    <w:right w:val="single" w:color="000000" w:sz="4" w:space="0"/>
                  </w:tcBorders>
                  <w:noWrap w:val="0"/>
                  <w:vAlign w:val="center"/>
                </w:tcPr>
                <w:p w14:paraId="762DBDA2">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cs="Times New Roman"/>
                      <w:color w:val="auto"/>
                      <w:spacing w:val="0"/>
                      <w:kern w:val="2"/>
                      <w:sz w:val="21"/>
                      <w:szCs w:val="21"/>
                    </w:rPr>
                  </w:pPr>
                  <w:r>
                    <w:rPr>
                      <w:rFonts w:cs="Times New Roman"/>
                      <w:color w:val="auto"/>
                      <w:spacing w:val="0"/>
                      <w:kern w:val="2"/>
                      <w:sz w:val="21"/>
                      <w:szCs w:val="21"/>
                    </w:rPr>
                    <w:t>2</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4139C7FE">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cs="Times New Roman"/>
                      <w:bCs/>
                      <w:color w:val="auto"/>
                      <w:spacing w:val="0"/>
                      <w:kern w:val="2"/>
                      <w:sz w:val="21"/>
                      <w:szCs w:val="21"/>
                    </w:rPr>
                  </w:pPr>
                  <w:r>
                    <w:rPr>
                      <w:rFonts w:cs="Times New Roman"/>
                      <w:bCs/>
                      <w:color w:val="auto"/>
                      <w:spacing w:val="0"/>
                      <w:kern w:val="2"/>
                      <w:sz w:val="21"/>
                      <w:szCs w:val="21"/>
                    </w:rPr>
                    <w:t>设备清洗用水</w:t>
                  </w:r>
                </w:p>
              </w:tc>
              <w:tc>
                <w:tcPr>
                  <w:tcW w:w="747" w:type="pct"/>
                  <w:tcBorders>
                    <w:top w:val="single" w:color="000000" w:sz="4" w:space="0"/>
                    <w:left w:val="single" w:color="000000" w:sz="4" w:space="0"/>
                    <w:bottom w:val="single" w:color="000000" w:sz="4" w:space="0"/>
                    <w:right w:val="single" w:color="auto" w:sz="4" w:space="0"/>
                  </w:tcBorders>
                  <w:noWrap w:val="0"/>
                  <w:vAlign w:val="center"/>
                </w:tcPr>
                <w:p w14:paraId="425A5B20">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552" w:type="pct"/>
                  <w:tcBorders>
                    <w:top w:val="single" w:color="000000" w:sz="4" w:space="0"/>
                    <w:left w:val="single" w:color="000000" w:sz="4" w:space="0"/>
                    <w:bottom w:val="single" w:color="000000" w:sz="4" w:space="0"/>
                    <w:right w:val="single" w:color="auto" w:sz="4" w:space="0"/>
                  </w:tcBorders>
                  <w:noWrap w:val="0"/>
                  <w:vAlign w:val="center"/>
                </w:tcPr>
                <w:p w14:paraId="375FD822">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2.685</w:t>
                  </w:r>
                </w:p>
              </w:tc>
              <w:tc>
                <w:tcPr>
                  <w:tcW w:w="699" w:type="pct"/>
                  <w:tcBorders>
                    <w:top w:val="single" w:color="000000" w:sz="4" w:space="0"/>
                    <w:left w:val="single" w:color="000000" w:sz="4" w:space="0"/>
                    <w:bottom w:val="single" w:color="000000" w:sz="4" w:space="0"/>
                    <w:right w:val="single" w:color="auto" w:sz="4" w:space="0"/>
                  </w:tcBorders>
                  <w:noWrap w:val="0"/>
                  <w:vAlign w:val="center"/>
                </w:tcPr>
                <w:p w14:paraId="349976FE">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714" w:type="pct"/>
                  <w:tcBorders>
                    <w:top w:val="single" w:color="000000" w:sz="4" w:space="0"/>
                    <w:left w:val="single" w:color="000000" w:sz="4" w:space="0"/>
                    <w:bottom w:val="single" w:color="000000" w:sz="4" w:space="0"/>
                    <w:right w:val="single" w:color="auto" w:sz="4" w:space="0"/>
                  </w:tcBorders>
                  <w:noWrap w:val="0"/>
                  <w:vAlign w:val="center"/>
                </w:tcPr>
                <w:p w14:paraId="7E1D0587">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805" w:type="pct"/>
                  <w:tcBorders>
                    <w:top w:val="single" w:color="000000" w:sz="4" w:space="0"/>
                    <w:left w:val="single" w:color="auto" w:sz="4" w:space="0"/>
                    <w:bottom w:val="single" w:color="000000" w:sz="4" w:space="0"/>
                  </w:tcBorders>
                  <w:noWrap w:val="0"/>
                  <w:vAlign w:val="center"/>
                </w:tcPr>
                <w:p w14:paraId="618F7821">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2.685</w:t>
                  </w:r>
                </w:p>
              </w:tc>
              <w:tc>
                <w:tcPr>
                  <w:tcW w:w="517" w:type="pct"/>
                  <w:vMerge w:val="continue"/>
                  <w:tcBorders>
                    <w:left w:val="single" w:color="auto" w:sz="4" w:space="0"/>
                  </w:tcBorders>
                  <w:noWrap w:val="0"/>
                  <w:vAlign w:val="center"/>
                </w:tcPr>
                <w:p w14:paraId="498B3F82">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p>
              </w:tc>
            </w:tr>
            <w:tr w14:paraId="6CF791D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277" w:type="pct"/>
                  <w:tcBorders>
                    <w:top w:val="single" w:color="000000" w:sz="4" w:space="0"/>
                    <w:bottom w:val="single" w:color="000000" w:sz="4" w:space="0"/>
                    <w:right w:val="single" w:color="000000" w:sz="4" w:space="0"/>
                  </w:tcBorders>
                  <w:noWrap w:val="0"/>
                  <w:vAlign w:val="center"/>
                </w:tcPr>
                <w:p w14:paraId="0CD87340">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cs="Times New Roman"/>
                      <w:color w:val="auto"/>
                      <w:spacing w:val="0"/>
                      <w:kern w:val="2"/>
                      <w:sz w:val="21"/>
                      <w:szCs w:val="21"/>
                    </w:rPr>
                  </w:pPr>
                  <w:r>
                    <w:rPr>
                      <w:rFonts w:cs="Times New Roman"/>
                      <w:color w:val="auto"/>
                      <w:spacing w:val="0"/>
                      <w:kern w:val="2"/>
                      <w:sz w:val="21"/>
                      <w:szCs w:val="21"/>
                    </w:rPr>
                    <w:t>3</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14:paraId="2C19923A">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cs="Times New Roman"/>
                      <w:bCs/>
                      <w:color w:val="auto"/>
                      <w:spacing w:val="0"/>
                      <w:kern w:val="2"/>
                      <w:sz w:val="21"/>
                      <w:szCs w:val="21"/>
                      <w:highlight w:val="none"/>
                    </w:rPr>
                  </w:pPr>
                  <w:r>
                    <w:rPr>
                      <w:rFonts w:hint="eastAsia" w:cs="Times New Roman"/>
                      <w:bCs/>
                      <w:color w:val="auto"/>
                      <w:spacing w:val="0"/>
                      <w:kern w:val="2"/>
                      <w:sz w:val="21"/>
                      <w:szCs w:val="21"/>
                      <w:highlight w:val="none"/>
                      <w:lang w:val="en-US" w:eastAsia="zh-CN"/>
                    </w:rPr>
                    <w:t>地面冲洗</w:t>
                  </w:r>
                  <w:r>
                    <w:rPr>
                      <w:rFonts w:cs="Times New Roman"/>
                      <w:bCs/>
                      <w:color w:val="auto"/>
                      <w:spacing w:val="0"/>
                      <w:kern w:val="2"/>
                      <w:sz w:val="21"/>
                      <w:szCs w:val="21"/>
                      <w:highlight w:val="none"/>
                    </w:rPr>
                    <w:t>用水</w:t>
                  </w:r>
                </w:p>
              </w:tc>
              <w:tc>
                <w:tcPr>
                  <w:tcW w:w="747" w:type="pct"/>
                  <w:tcBorders>
                    <w:top w:val="single" w:color="000000" w:sz="4" w:space="0"/>
                    <w:left w:val="single" w:color="000000" w:sz="4" w:space="0"/>
                    <w:bottom w:val="single" w:color="000000" w:sz="4" w:space="0"/>
                    <w:right w:val="single" w:color="auto" w:sz="4" w:space="0"/>
                  </w:tcBorders>
                  <w:noWrap w:val="0"/>
                  <w:vAlign w:val="center"/>
                </w:tcPr>
                <w:p w14:paraId="15B31783">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0.84</w:t>
                  </w:r>
                </w:p>
              </w:tc>
              <w:tc>
                <w:tcPr>
                  <w:tcW w:w="552" w:type="pct"/>
                  <w:tcBorders>
                    <w:top w:val="single" w:color="000000" w:sz="4" w:space="0"/>
                    <w:left w:val="single" w:color="000000" w:sz="4" w:space="0"/>
                    <w:bottom w:val="single" w:color="000000" w:sz="4" w:space="0"/>
                    <w:right w:val="single" w:color="auto" w:sz="4" w:space="0"/>
                  </w:tcBorders>
                  <w:noWrap w:val="0"/>
                  <w:vAlign w:val="center"/>
                </w:tcPr>
                <w:p w14:paraId="7560F744">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699" w:type="pct"/>
                  <w:tcBorders>
                    <w:top w:val="single" w:color="000000" w:sz="4" w:space="0"/>
                    <w:left w:val="single" w:color="000000" w:sz="4" w:space="0"/>
                    <w:bottom w:val="single" w:color="000000" w:sz="4" w:space="0"/>
                    <w:right w:val="single" w:color="auto" w:sz="4" w:space="0"/>
                  </w:tcBorders>
                  <w:noWrap w:val="0"/>
                  <w:vAlign w:val="center"/>
                </w:tcPr>
                <w:p w14:paraId="6E6D7ABD">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714" w:type="pct"/>
                  <w:tcBorders>
                    <w:top w:val="single" w:color="000000" w:sz="4" w:space="0"/>
                    <w:left w:val="single" w:color="000000" w:sz="4" w:space="0"/>
                    <w:bottom w:val="single" w:color="000000" w:sz="4" w:space="0"/>
                    <w:right w:val="single" w:color="auto" w:sz="4" w:space="0"/>
                  </w:tcBorders>
                  <w:noWrap w:val="0"/>
                  <w:vAlign w:val="center"/>
                </w:tcPr>
                <w:p w14:paraId="417BE3DA">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0.17</w:t>
                  </w:r>
                </w:p>
              </w:tc>
              <w:tc>
                <w:tcPr>
                  <w:tcW w:w="805" w:type="pct"/>
                  <w:tcBorders>
                    <w:top w:val="single" w:color="000000" w:sz="4" w:space="0"/>
                    <w:left w:val="single" w:color="auto" w:sz="4" w:space="0"/>
                    <w:bottom w:val="single" w:color="000000" w:sz="4" w:space="0"/>
                  </w:tcBorders>
                  <w:noWrap w:val="0"/>
                  <w:vAlign w:val="center"/>
                </w:tcPr>
                <w:p w14:paraId="7E7FC9D8">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0.67</w:t>
                  </w:r>
                </w:p>
              </w:tc>
              <w:tc>
                <w:tcPr>
                  <w:tcW w:w="517" w:type="pct"/>
                  <w:vMerge w:val="continue"/>
                  <w:tcBorders>
                    <w:left w:val="single" w:color="auto" w:sz="4" w:space="0"/>
                    <w:bottom w:val="single" w:color="000000" w:sz="4" w:space="0"/>
                  </w:tcBorders>
                  <w:noWrap w:val="0"/>
                  <w:vAlign w:val="center"/>
                </w:tcPr>
                <w:p w14:paraId="511FAE6E">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highlight w:val="none"/>
                      <w:lang w:val="en-US" w:eastAsia="zh-CN"/>
                    </w:rPr>
                  </w:pPr>
                </w:p>
              </w:tc>
            </w:tr>
            <w:tr w14:paraId="6D08A7C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758" w:hRule="atLeast"/>
                <w:jc w:val="center"/>
              </w:trPr>
              <w:tc>
                <w:tcPr>
                  <w:tcW w:w="277" w:type="pct"/>
                  <w:tcBorders>
                    <w:top w:val="single" w:color="000000" w:sz="4" w:space="0"/>
                    <w:bottom w:val="single" w:color="000000" w:sz="4" w:space="0"/>
                    <w:right w:val="single" w:color="000000" w:sz="4" w:space="0"/>
                  </w:tcBorders>
                  <w:noWrap w:val="0"/>
                  <w:vAlign w:val="center"/>
                </w:tcPr>
                <w:p w14:paraId="1324147F">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color w:val="auto"/>
                      <w:spacing w:val="0"/>
                      <w:kern w:val="2"/>
                      <w:sz w:val="21"/>
                      <w:szCs w:val="21"/>
                      <w:lang w:val="en-US" w:eastAsia="zh-CN"/>
                    </w:rPr>
                  </w:pPr>
                  <w:r>
                    <w:rPr>
                      <w:rFonts w:hint="eastAsia" w:cs="Times New Roman"/>
                      <w:color w:val="auto"/>
                      <w:spacing w:val="0"/>
                      <w:kern w:val="2"/>
                      <w:sz w:val="21"/>
                      <w:szCs w:val="21"/>
                      <w:lang w:val="en-US" w:eastAsia="zh-CN"/>
                    </w:rPr>
                    <w:t>4</w:t>
                  </w:r>
                </w:p>
              </w:tc>
              <w:tc>
                <w:tcPr>
                  <w:tcW w:w="6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79BC4">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三相分离后的废水</w:t>
                  </w:r>
                </w:p>
              </w:tc>
              <w:tc>
                <w:tcPr>
                  <w:tcW w:w="747"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6C0E1431">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552"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0429482F">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699"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5D749DB7">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18.7（其中包含车辆</w:t>
                  </w:r>
                  <w:r>
                    <w:rPr>
                      <w:rFonts w:hint="eastAsia" w:cs="Times New Roman"/>
                      <w:bCs/>
                      <w:color w:val="auto"/>
                      <w:spacing w:val="0"/>
                      <w:kern w:val="2"/>
                      <w:sz w:val="21"/>
                      <w:szCs w:val="21"/>
                      <w:lang w:val="en-US" w:eastAsia="zh-CN"/>
                    </w:rPr>
                    <w:t>、设</w:t>
                  </w:r>
                  <w:r>
                    <w:rPr>
                      <w:rFonts w:hint="eastAsia" w:eastAsia="宋体" w:cs="Times New Roman"/>
                      <w:bCs/>
                      <w:color w:val="auto"/>
                      <w:spacing w:val="0"/>
                      <w:kern w:val="2"/>
                      <w:sz w:val="21"/>
                      <w:szCs w:val="21"/>
                      <w:lang w:val="en-US" w:eastAsia="zh-CN"/>
                    </w:rPr>
                    <w:t>备和地面冲洗废水4.505t/d）</w:t>
                  </w:r>
                </w:p>
              </w:tc>
              <w:tc>
                <w:tcPr>
                  <w:tcW w:w="714"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7BEE190E">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805" w:type="pct"/>
                  <w:tcBorders>
                    <w:top w:val="single" w:color="000000" w:sz="4" w:space="0"/>
                    <w:left w:val="single" w:color="auto" w:sz="4" w:space="0"/>
                    <w:bottom w:val="single" w:color="000000" w:sz="4" w:space="0"/>
                  </w:tcBorders>
                  <w:shd w:val="clear" w:color="auto" w:fill="auto"/>
                  <w:noWrap w:val="0"/>
                  <w:vAlign w:val="center"/>
                </w:tcPr>
                <w:p w14:paraId="4832E8AA">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18.7</w:t>
                  </w:r>
                </w:p>
              </w:tc>
              <w:tc>
                <w:tcPr>
                  <w:tcW w:w="517" w:type="pct"/>
                  <w:vMerge w:val="restart"/>
                  <w:tcBorders>
                    <w:top w:val="single" w:color="000000" w:sz="4" w:space="0"/>
                    <w:left w:val="single" w:color="auto" w:sz="4" w:space="0"/>
                  </w:tcBorders>
                  <w:noWrap w:val="0"/>
                  <w:vAlign w:val="center"/>
                </w:tcPr>
                <w:p w14:paraId="4A5E31A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管道</w:t>
                  </w:r>
                  <w:r>
                    <w:rPr>
                      <w:rFonts w:hint="eastAsia" w:cs="Times New Roman"/>
                      <w:bCs/>
                      <w:color w:val="auto"/>
                      <w:spacing w:val="0"/>
                      <w:kern w:val="2"/>
                      <w:sz w:val="21"/>
                      <w:szCs w:val="21"/>
                      <w:lang w:val="en-US" w:eastAsia="zh-CN"/>
                    </w:rPr>
                    <w:t>输送</w:t>
                  </w:r>
                  <w:r>
                    <w:rPr>
                      <w:rFonts w:hint="eastAsia" w:eastAsia="宋体" w:cs="Times New Roman"/>
                      <w:bCs/>
                      <w:color w:val="auto"/>
                      <w:spacing w:val="0"/>
                      <w:kern w:val="2"/>
                      <w:sz w:val="21"/>
                      <w:szCs w:val="21"/>
                      <w:lang w:val="en-US" w:eastAsia="zh-CN"/>
                    </w:rPr>
                    <w:t>至中器环保的污水处理设施</w:t>
                  </w:r>
                </w:p>
              </w:tc>
            </w:tr>
            <w:tr w14:paraId="288CD27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754" w:hRule="atLeast"/>
                <w:jc w:val="center"/>
              </w:trPr>
              <w:tc>
                <w:tcPr>
                  <w:tcW w:w="277" w:type="pct"/>
                  <w:tcBorders>
                    <w:top w:val="single" w:color="000000" w:sz="4" w:space="0"/>
                    <w:bottom w:val="single" w:color="000000" w:sz="4" w:space="0"/>
                    <w:right w:val="single" w:color="000000" w:sz="4" w:space="0"/>
                  </w:tcBorders>
                  <w:shd w:val="clear" w:color="auto" w:fill="auto"/>
                  <w:noWrap w:val="0"/>
                  <w:vAlign w:val="center"/>
                </w:tcPr>
                <w:p w14:paraId="79CB17E9">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pacing w:val="0"/>
                      <w:kern w:val="2"/>
                      <w:sz w:val="21"/>
                      <w:szCs w:val="21"/>
                      <w:lang w:val="en-US" w:eastAsia="zh-CN" w:bidi="ar-SA"/>
                    </w:rPr>
                  </w:pPr>
                  <w:r>
                    <w:rPr>
                      <w:rFonts w:hint="eastAsia" w:cs="Times New Roman"/>
                      <w:color w:val="auto"/>
                      <w:spacing w:val="0"/>
                      <w:kern w:val="2"/>
                      <w:sz w:val="21"/>
                      <w:szCs w:val="21"/>
                      <w:lang w:val="en-US" w:eastAsia="zh-CN"/>
                    </w:rPr>
                    <w:t>5</w:t>
                  </w:r>
                </w:p>
              </w:tc>
              <w:tc>
                <w:tcPr>
                  <w:tcW w:w="6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743DF4">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生活用水</w:t>
                  </w:r>
                </w:p>
              </w:tc>
              <w:tc>
                <w:tcPr>
                  <w:tcW w:w="747"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3296B9BA">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0.91</w:t>
                  </w:r>
                </w:p>
              </w:tc>
              <w:tc>
                <w:tcPr>
                  <w:tcW w:w="552"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08CF3D32">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699"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03BA1A6C">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714"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6CBE4370">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0.18</w:t>
                  </w:r>
                </w:p>
              </w:tc>
              <w:tc>
                <w:tcPr>
                  <w:tcW w:w="805" w:type="pct"/>
                  <w:tcBorders>
                    <w:top w:val="single" w:color="000000" w:sz="4" w:space="0"/>
                    <w:left w:val="single" w:color="auto" w:sz="4" w:space="0"/>
                    <w:bottom w:val="single" w:color="000000" w:sz="4" w:space="0"/>
                  </w:tcBorders>
                  <w:shd w:val="clear" w:color="auto" w:fill="auto"/>
                  <w:noWrap w:val="0"/>
                  <w:vAlign w:val="center"/>
                </w:tcPr>
                <w:p w14:paraId="331FA8DF">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0.73</w:t>
                  </w:r>
                </w:p>
              </w:tc>
              <w:tc>
                <w:tcPr>
                  <w:tcW w:w="517" w:type="pct"/>
                  <w:vMerge w:val="continue"/>
                  <w:tcBorders>
                    <w:left w:val="single" w:color="auto" w:sz="4" w:space="0"/>
                  </w:tcBorders>
                  <w:noWrap w:val="0"/>
                  <w:vAlign w:val="center"/>
                </w:tcPr>
                <w:p w14:paraId="76774F5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p>
              </w:tc>
            </w:tr>
            <w:tr w14:paraId="5A66E91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277" w:type="pct"/>
                  <w:tcBorders>
                    <w:top w:val="single" w:color="000000" w:sz="4" w:space="0"/>
                    <w:bottom w:val="single" w:color="000000" w:sz="4" w:space="0"/>
                    <w:right w:val="single" w:color="000000" w:sz="4" w:space="0"/>
                  </w:tcBorders>
                  <w:shd w:val="clear" w:color="auto" w:fill="auto"/>
                  <w:noWrap w:val="0"/>
                  <w:vAlign w:val="center"/>
                </w:tcPr>
                <w:p w14:paraId="11774A4B">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0"/>
                      <w:kern w:val="2"/>
                      <w:sz w:val="21"/>
                      <w:szCs w:val="21"/>
                      <w:lang w:val="en-US" w:eastAsia="zh-CN" w:bidi="ar-SA"/>
                    </w:rPr>
                  </w:pPr>
                  <w:r>
                    <w:rPr>
                      <w:rFonts w:hint="eastAsia" w:eastAsia="宋体" w:cs="Times New Roman"/>
                      <w:color w:val="auto"/>
                      <w:spacing w:val="0"/>
                      <w:kern w:val="2"/>
                      <w:sz w:val="21"/>
                      <w:szCs w:val="21"/>
                      <w:lang w:val="en-US" w:eastAsia="zh-CN"/>
                    </w:rPr>
                    <w:t>6</w:t>
                  </w:r>
                </w:p>
              </w:tc>
              <w:tc>
                <w:tcPr>
                  <w:tcW w:w="6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5AF475">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喷淋废水</w:t>
                  </w:r>
                </w:p>
              </w:tc>
              <w:tc>
                <w:tcPr>
                  <w:tcW w:w="747"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114630F6">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0.67</w:t>
                  </w:r>
                </w:p>
              </w:tc>
              <w:tc>
                <w:tcPr>
                  <w:tcW w:w="552"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72421A54">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699"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4B2BF33D">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714"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0E3A5C1D">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0.14</w:t>
                  </w:r>
                </w:p>
              </w:tc>
              <w:tc>
                <w:tcPr>
                  <w:tcW w:w="805" w:type="pct"/>
                  <w:tcBorders>
                    <w:top w:val="single" w:color="000000" w:sz="4" w:space="0"/>
                    <w:left w:val="single" w:color="auto" w:sz="4" w:space="0"/>
                    <w:bottom w:val="single" w:color="000000" w:sz="4" w:space="0"/>
                  </w:tcBorders>
                  <w:shd w:val="clear" w:color="auto" w:fill="auto"/>
                  <w:noWrap w:val="0"/>
                  <w:vAlign w:val="center"/>
                </w:tcPr>
                <w:p w14:paraId="605F6DB2">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0.53</w:t>
                  </w:r>
                </w:p>
              </w:tc>
              <w:tc>
                <w:tcPr>
                  <w:tcW w:w="517" w:type="pct"/>
                  <w:vMerge w:val="continue"/>
                  <w:tcBorders>
                    <w:left w:val="single" w:color="auto" w:sz="4" w:space="0"/>
                  </w:tcBorders>
                  <w:noWrap w:val="0"/>
                  <w:vAlign w:val="center"/>
                </w:tcPr>
                <w:p w14:paraId="71AA91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p>
              </w:tc>
            </w:tr>
            <w:tr w14:paraId="551779F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277" w:type="pct"/>
                  <w:tcBorders>
                    <w:top w:val="single" w:color="000000" w:sz="4" w:space="0"/>
                    <w:bottom w:val="single" w:color="000000" w:sz="4" w:space="0"/>
                    <w:right w:val="single" w:color="000000" w:sz="4" w:space="0"/>
                  </w:tcBorders>
                  <w:shd w:val="clear" w:color="auto" w:fill="auto"/>
                  <w:noWrap w:val="0"/>
                  <w:vAlign w:val="center"/>
                </w:tcPr>
                <w:p w14:paraId="1D366974">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color w:val="auto"/>
                      <w:spacing w:val="0"/>
                      <w:kern w:val="2"/>
                      <w:sz w:val="21"/>
                      <w:szCs w:val="21"/>
                      <w:lang w:val="en-US" w:eastAsia="zh-CN"/>
                    </w:rPr>
                  </w:pPr>
                  <w:r>
                    <w:rPr>
                      <w:rFonts w:hint="eastAsia" w:cs="Times New Roman"/>
                      <w:color w:val="auto"/>
                      <w:spacing w:val="0"/>
                      <w:kern w:val="2"/>
                      <w:sz w:val="21"/>
                      <w:szCs w:val="21"/>
                      <w:lang w:val="en-US" w:eastAsia="zh-CN"/>
                    </w:rPr>
                    <w:t>7</w:t>
                  </w:r>
                </w:p>
              </w:tc>
              <w:tc>
                <w:tcPr>
                  <w:tcW w:w="6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5AC353">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初期雨水</w:t>
                  </w:r>
                </w:p>
              </w:tc>
              <w:tc>
                <w:tcPr>
                  <w:tcW w:w="747"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407516BE">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552"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3F7A8A63">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cs="Times New Roman"/>
                      <w:bCs/>
                      <w:color w:val="auto"/>
                      <w:spacing w:val="0"/>
                      <w:kern w:val="2"/>
                      <w:sz w:val="21"/>
                      <w:szCs w:val="21"/>
                      <w:lang w:val="en-US" w:eastAsia="zh-CN"/>
                    </w:rPr>
                    <w:t>10.33</w:t>
                  </w:r>
                </w:p>
              </w:tc>
              <w:tc>
                <w:tcPr>
                  <w:tcW w:w="699"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2D4D5D19">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714"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374A7A25">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805" w:type="pct"/>
                  <w:tcBorders>
                    <w:top w:val="single" w:color="000000" w:sz="4" w:space="0"/>
                    <w:left w:val="single" w:color="auto" w:sz="4" w:space="0"/>
                    <w:bottom w:val="single" w:color="000000" w:sz="4" w:space="0"/>
                  </w:tcBorders>
                  <w:shd w:val="clear" w:color="auto" w:fill="auto"/>
                  <w:noWrap w:val="0"/>
                  <w:vAlign w:val="center"/>
                </w:tcPr>
                <w:p w14:paraId="254BD046">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cs="Times New Roman"/>
                      <w:bCs/>
                      <w:color w:val="auto"/>
                      <w:spacing w:val="0"/>
                      <w:kern w:val="2"/>
                      <w:sz w:val="21"/>
                      <w:szCs w:val="21"/>
                      <w:lang w:val="en-US" w:eastAsia="zh-CN"/>
                    </w:rPr>
                    <w:t>10.33</w:t>
                  </w:r>
                </w:p>
              </w:tc>
              <w:tc>
                <w:tcPr>
                  <w:tcW w:w="517" w:type="pct"/>
                  <w:vMerge w:val="continue"/>
                  <w:tcBorders>
                    <w:left w:val="single" w:color="auto" w:sz="4" w:space="0"/>
                  </w:tcBorders>
                  <w:noWrap w:val="0"/>
                  <w:vAlign w:val="center"/>
                </w:tcPr>
                <w:p w14:paraId="1BDF5EF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p>
              </w:tc>
            </w:tr>
            <w:tr w14:paraId="1918434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277" w:type="pct"/>
                  <w:tcBorders>
                    <w:top w:val="single" w:color="000000" w:sz="4" w:space="0"/>
                    <w:bottom w:val="single" w:color="000000" w:sz="4" w:space="0"/>
                    <w:right w:val="single" w:color="000000" w:sz="4" w:space="0"/>
                  </w:tcBorders>
                  <w:shd w:val="clear" w:color="auto" w:fill="auto"/>
                  <w:noWrap w:val="0"/>
                  <w:vAlign w:val="center"/>
                </w:tcPr>
                <w:p w14:paraId="4920B106">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color w:val="auto"/>
                      <w:spacing w:val="0"/>
                      <w:kern w:val="2"/>
                      <w:sz w:val="21"/>
                      <w:szCs w:val="21"/>
                      <w:lang w:val="en-US" w:eastAsia="zh-CN"/>
                    </w:rPr>
                  </w:pPr>
                  <w:r>
                    <w:rPr>
                      <w:rFonts w:hint="eastAsia" w:cs="Times New Roman"/>
                      <w:color w:val="auto"/>
                      <w:spacing w:val="0"/>
                      <w:kern w:val="2"/>
                      <w:sz w:val="21"/>
                      <w:szCs w:val="21"/>
                      <w:lang w:val="en-US" w:eastAsia="zh-CN"/>
                    </w:rPr>
                    <w:t>8</w:t>
                  </w:r>
                </w:p>
              </w:tc>
              <w:tc>
                <w:tcPr>
                  <w:tcW w:w="6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784700">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厂区绿化</w:t>
                  </w:r>
                </w:p>
              </w:tc>
              <w:tc>
                <w:tcPr>
                  <w:tcW w:w="747"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4D4FA9F1">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0.733</w:t>
                  </w:r>
                </w:p>
              </w:tc>
              <w:tc>
                <w:tcPr>
                  <w:tcW w:w="552"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303F5BCF">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699"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5DE45EDB">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714"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1B62FF4C">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0.733</w:t>
                  </w:r>
                </w:p>
              </w:tc>
              <w:tc>
                <w:tcPr>
                  <w:tcW w:w="805" w:type="pct"/>
                  <w:tcBorders>
                    <w:top w:val="single" w:color="000000" w:sz="4" w:space="0"/>
                    <w:left w:val="single" w:color="auto" w:sz="4" w:space="0"/>
                    <w:bottom w:val="single" w:color="000000" w:sz="4" w:space="0"/>
                  </w:tcBorders>
                  <w:shd w:val="clear" w:color="auto" w:fill="auto"/>
                  <w:noWrap w:val="0"/>
                  <w:vAlign w:val="center"/>
                </w:tcPr>
                <w:p w14:paraId="0E3470F8">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517" w:type="pct"/>
                  <w:vMerge w:val="continue"/>
                  <w:tcBorders>
                    <w:left w:val="single" w:color="auto" w:sz="4" w:space="0"/>
                  </w:tcBorders>
                  <w:noWrap w:val="0"/>
                  <w:vAlign w:val="center"/>
                </w:tcPr>
                <w:p w14:paraId="76512B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Cs/>
                      <w:color w:val="auto"/>
                      <w:spacing w:val="0"/>
                      <w:kern w:val="2"/>
                      <w:sz w:val="21"/>
                      <w:szCs w:val="21"/>
                      <w:lang w:val="en-US" w:eastAsia="zh-CN"/>
                    </w:rPr>
                  </w:pPr>
                </w:p>
              </w:tc>
            </w:tr>
            <w:tr w14:paraId="5CB7242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277" w:type="pct"/>
                  <w:tcBorders>
                    <w:top w:val="single" w:color="000000" w:sz="4" w:space="0"/>
                    <w:bottom w:val="single" w:color="000000" w:sz="4" w:space="0"/>
                    <w:right w:val="single" w:color="000000" w:sz="4" w:space="0"/>
                  </w:tcBorders>
                  <w:shd w:val="clear" w:color="auto" w:fill="auto"/>
                  <w:noWrap w:val="0"/>
                  <w:vAlign w:val="center"/>
                </w:tcPr>
                <w:p w14:paraId="64C8C001">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s="Times New Roman"/>
                      <w:color w:val="auto"/>
                      <w:spacing w:val="0"/>
                      <w:kern w:val="2"/>
                      <w:sz w:val="21"/>
                      <w:szCs w:val="21"/>
                      <w:lang w:val="en-US" w:eastAsia="zh-CN"/>
                    </w:rPr>
                  </w:pPr>
                  <w:r>
                    <w:rPr>
                      <w:rFonts w:hint="eastAsia" w:cs="Times New Roman"/>
                      <w:color w:val="auto"/>
                      <w:spacing w:val="0"/>
                      <w:kern w:val="2"/>
                      <w:sz w:val="21"/>
                      <w:szCs w:val="21"/>
                      <w:lang w:val="en-US" w:eastAsia="zh-CN"/>
                    </w:rPr>
                    <w:t>9</w:t>
                  </w:r>
                </w:p>
              </w:tc>
              <w:tc>
                <w:tcPr>
                  <w:tcW w:w="6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2C82DC">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r>
                    <w:rPr>
                      <w:rFonts w:hint="eastAsia" w:cs="Times New Roman"/>
                      <w:bCs/>
                      <w:color w:val="auto"/>
                      <w:spacing w:val="0"/>
                      <w:kern w:val="2"/>
                      <w:sz w:val="21"/>
                      <w:szCs w:val="21"/>
                      <w:lang w:val="en-US" w:eastAsia="zh-CN"/>
                    </w:rPr>
                    <w:t>循环冷却</w:t>
                  </w:r>
                </w:p>
              </w:tc>
              <w:tc>
                <w:tcPr>
                  <w:tcW w:w="747"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3A2CEB50">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cs="Times New Roman"/>
                      <w:bCs/>
                      <w:color w:val="auto"/>
                      <w:spacing w:val="0"/>
                      <w:kern w:val="2"/>
                      <w:sz w:val="21"/>
                      <w:szCs w:val="21"/>
                      <w:lang w:val="en-US" w:eastAsia="zh-CN"/>
                    </w:rPr>
                    <w:t>1.036</w:t>
                  </w:r>
                </w:p>
              </w:tc>
              <w:tc>
                <w:tcPr>
                  <w:tcW w:w="552"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0264E8F2">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699"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71B27081">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714"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3FBAB015">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cs="Times New Roman"/>
                      <w:bCs/>
                      <w:color w:val="auto"/>
                      <w:spacing w:val="0"/>
                      <w:kern w:val="2"/>
                      <w:sz w:val="21"/>
                      <w:szCs w:val="21"/>
                      <w:lang w:val="en-US" w:eastAsia="zh-CN"/>
                    </w:rPr>
                    <w:t>1</w:t>
                  </w:r>
                </w:p>
              </w:tc>
              <w:tc>
                <w:tcPr>
                  <w:tcW w:w="805" w:type="pct"/>
                  <w:tcBorders>
                    <w:top w:val="single" w:color="000000" w:sz="4" w:space="0"/>
                    <w:left w:val="single" w:color="auto" w:sz="4" w:space="0"/>
                    <w:bottom w:val="single" w:color="000000" w:sz="4" w:space="0"/>
                  </w:tcBorders>
                  <w:shd w:val="clear" w:color="auto" w:fill="auto"/>
                  <w:noWrap w:val="0"/>
                  <w:vAlign w:val="center"/>
                </w:tcPr>
                <w:p w14:paraId="4C7F7AA1">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cs="Times New Roman"/>
                      <w:bCs/>
                      <w:color w:val="auto"/>
                      <w:spacing w:val="0"/>
                      <w:kern w:val="2"/>
                      <w:sz w:val="21"/>
                      <w:szCs w:val="21"/>
                      <w:lang w:val="en-US" w:eastAsia="zh-CN"/>
                    </w:rPr>
                    <w:t>0.036</w:t>
                  </w:r>
                </w:p>
              </w:tc>
              <w:tc>
                <w:tcPr>
                  <w:tcW w:w="517" w:type="pct"/>
                  <w:vMerge w:val="continue"/>
                  <w:tcBorders>
                    <w:left w:val="single" w:color="auto" w:sz="4" w:space="0"/>
                  </w:tcBorders>
                  <w:noWrap w:val="0"/>
                  <w:vAlign w:val="center"/>
                </w:tcPr>
                <w:p w14:paraId="56CF335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Cs/>
                      <w:color w:val="auto"/>
                      <w:spacing w:val="0"/>
                      <w:kern w:val="2"/>
                      <w:sz w:val="21"/>
                      <w:szCs w:val="21"/>
                      <w:lang w:val="en-US" w:eastAsia="zh-CN"/>
                    </w:rPr>
                  </w:pPr>
                </w:p>
              </w:tc>
            </w:tr>
            <w:tr w14:paraId="31FB3C5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277" w:type="pct"/>
                  <w:tcBorders>
                    <w:top w:val="single" w:color="000000" w:sz="4" w:space="0"/>
                    <w:bottom w:val="single" w:color="000000" w:sz="4" w:space="0"/>
                    <w:right w:val="single" w:color="000000" w:sz="4" w:space="0"/>
                  </w:tcBorders>
                  <w:shd w:val="clear" w:color="auto" w:fill="auto"/>
                  <w:noWrap w:val="0"/>
                  <w:vAlign w:val="center"/>
                </w:tcPr>
                <w:p w14:paraId="6CB20F89">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color w:val="auto"/>
                      <w:spacing w:val="0"/>
                      <w:kern w:val="2"/>
                      <w:sz w:val="21"/>
                      <w:szCs w:val="21"/>
                      <w:lang w:val="en-US" w:eastAsia="zh-CN"/>
                    </w:rPr>
                  </w:pPr>
                  <w:r>
                    <w:rPr>
                      <w:rFonts w:hint="eastAsia" w:eastAsia="宋体" w:cs="Times New Roman"/>
                      <w:color w:val="auto"/>
                      <w:spacing w:val="0"/>
                      <w:kern w:val="2"/>
                      <w:sz w:val="21"/>
                      <w:szCs w:val="21"/>
                      <w:lang w:val="en-US" w:eastAsia="zh-CN"/>
                    </w:rPr>
                    <w:t>合计</w:t>
                  </w:r>
                </w:p>
              </w:tc>
              <w:tc>
                <w:tcPr>
                  <w:tcW w:w="6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87D9DA">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eastAsia="宋体" w:cs="Times New Roman"/>
                      <w:bCs/>
                      <w:color w:val="auto"/>
                      <w:spacing w:val="0"/>
                      <w:kern w:val="2"/>
                      <w:sz w:val="21"/>
                      <w:szCs w:val="21"/>
                      <w:lang w:val="en-US" w:eastAsia="zh-CN"/>
                    </w:rPr>
                    <w:t>/</w:t>
                  </w:r>
                </w:p>
              </w:tc>
              <w:tc>
                <w:tcPr>
                  <w:tcW w:w="747"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5614F363">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cs="Times New Roman"/>
                      <w:bCs/>
                      <w:color w:val="auto"/>
                      <w:spacing w:val="0"/>
                      <w:kern w:val="2"/>
                      <w:sz w:val="21"/>
                      <w:szCs w:val="21"/>
                      <w:lang w:val="en-US" w:eastAsia="zh-CN"/>
                    </w:rPr>
                    <w:t>5.629</w:t>
                  </w:r>
                </w:p>
              </w:tc>
              <w:tc>
                <w:tcPr>
                  <w:tcW w:w="552"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5F94A886">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cs="Times New Roman"/>
                      <w:bCs/>
                      <w:color w:val="auto"/>
                      <w:spacing w:val="0"/>
                      <w:kern w:val="2"/>
                      <w:sz w:val="21"/>
                      <w:szCs w:val="21"/>
                      <w:lang w:val="en-US" w:eastAsia="zh-CN"/>
                    </w:rPr>
                    <w:t>13.015</w:t>
                  </w:r>
                </w:p>
              </w:tc>
              <w:tc>
                <w:tcPr>
                  <w:tcW w:w="699"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44720944">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cs="Times New Roman"/>
                      <w:bCs/>
                      <w:color w:val="auto"/>
                      <w:spacing w:val="0"/>
                      <w:kern w:val="2"/>
                      <w:sz w:val="21"/>
                      <w:szCs w:val="21"/>
                      <w:lang w:val="en-US" w:eastAsia="zh-CN"/>
                    </w:rPr>
                    <w:t>18.7</w:t>
                  </w:r>
                </w:p>
              </w:tc>
              <w:tc>
                <w:tcPr>
                  <w:tcW w:w="714" w:type="pct"/>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4EA853C4">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cs="Times New Roman"/>
                      <w:bCs/>
                      <w:color w:val="auto"/>
                      <w:spacing w:val="0"/>
                      <w:kern w:val="2"/>
                      <w:sz w:val="21"/>
                      <w:szCs w:val="21"/>
                      <w:lang w:val="en-US" w:eastAsia="zh-CN"/>
                    </w:rPr>
                    <w:t>2.513</w:t>
                  </w:r>
                </w:p>
              </w:tc>
              <w:tc>
                <w:tcPr>
                  <w:tcW w:w="805" w:type="pct"/>
                  <w:tcBorders>
                    <w:top w:val="single" w:color="000000" w:sz="4" w:space="0"/>
                    <w:left w:val="single" w:color="auto" w:sz="4" w:space="0"/>
                    <w:bottom w:val="single" w:color="000000" w:sz="4" w:space="0"/>
                  </w:tcBorders>
                  <w:shd w:val="clear" w:color="auto" w:fill="auto"/>
                  <w:noWrap w:val="0"/>
                  <w:vAlign w:val="center"/>
                </w:tcPr>
                <w:p w14:paraId="2D6D0816">
                  <w:pPr>
                    <w:pStyle w:val="120"/>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cs="Times New Roman"/>
                      <w:bCs/>
                      <w:color w:val="auto"/>
                      <w:spacing w:val="0"/>
                      <w:kern w:val="2"/>
                      <w:sz w:val="21"/>
                      <w:szCs w:val="21"/>
                      <w:lang w:val="en-US" w:eastAsia="zh-CN"/>
                    </w:rPr>
                    <w:t>30.326</w:t>
                  </w:r>
                </w:p>
              </w:tc>
              <w:tc>
                <w:tcPr>
                  <w:tcW w:w="517" w:type="pct"/>
                  <w:tcBorders>
                    <w:left w:val="single" w:color="auto" w:sz="4" w:space="0"/>
                    <w:bottom w:val="single" w:color="000000" w:sz="4" w:space="0"/>
                  </w:tcBorders>
                  <w:noWrap w:val="0"/>
                  <w:vAlign w:val="center"/>
                </w:tcPr>
                <w:p w14:paraId="6615C67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s="Times New Roman"/>
                      <w:bCs/>
                      <w:color w:val="auto"/>
                      <w:spacing w:val="0"/>
                      <w:kern w:val="2"/>
                      <w:sz w:val="21"/>
                      <w:szCs w:val="21"/>
                      <w:lang w:val="en-US" w:eastAsia="zh-CN"/>
                    </w:rPr>
                  </w:pPr>
                  <w:r>
                    <w:rPr>
                      <w:rFonts w:hint="eastAsia" w:cs="Times New Roman"/>
                      <w:bCs/>
                      <w:color w:val="auto"/>
                      <w:spacing w:val="0"/>
                      <w:kern w:val="2"/>
                      <w:sz w:val="21"/>
                      <w:szCs w:val="21"/>
                      <w:lang w:val="en-US" w:eastAsia="zh-CN"/>
                    </w:rPr>
                    <w:t>/</w:t>
                  </w:r>
                </w:p>
              </w:tc>
            </w:tr>
          </w:tbl>
          <w:p w14:paraId="3F3E746D">
            <w:pPr>
              <w:spacing w:line="360" w:lineRule="auto"/>
              <w:ind w:firstLine="480" w:firstLineChars="200"/>
              <w:rPr>
                <w:rFonts w:hint="eastAsia"/>
                <w:bCs/>
                <w:strike w:val="0"/>
                <w:dstrike w:val="0"/>
                <w:color w:val="auto"/>
                <w:sz w:val="24"/>
                <w:szCs w:val="21"/>
                <w:highlight w:val="yellow"/>
              </w:rPr>
            </w:pPr>
            <w:r>
              <w:rPr>
                <w:rFonts w:hint="eastAsia"/>
                <w:bCs/>
                <w:strike w:val="0"/>
                <w:dstrike w:val="0"/>
                <w:color w:val="auto"/>
                <w:sz w:val="24"/>
                <w:szCs w:val="21"/>
                <w:highlight w:val="none"/>
              </w:rPr>
              <w:t>本项目水平衡见下图。</w:t>
            </w:r>
          </w:p>
          <w:p w14:paraId="314280AA">
            <w:pPr>
              <w:spacing w:line="360" w:lineRule="auto"/>
              <w:jc w:val="center"/>
              <w:rPr>
                <w:strike/>
                <w:dstrike w:val="0"/>
                <w:color w:val="auto"/>
                <w:sz w:val="24"/>
                <w:highlight w:val="yellow"/>
              </w:rPr>
            </w:pPr>
            <w:r>
              <w:rPr>
                <w:color w:val="auto"/>
              </w:rPr>
              <w:drawing>
                <wp:inline distT="0" distB="0" distL="114300" distR="114300">
                  <wp:extent cx="5334635" cy="4714240"/>
                  <wp:effectExtent l="0" t="0" r="18415" b="10160"/>
                  <wp:docPr id="3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0"/>
                          <pic:cNvPicPr>
                            <a:picLocks noChangeAspect="1"/>
                          </pic:cNvPicPr>
                        </pic:nvPicPr>
                        <pic:blipFill>
                          <a:blip r:embed="rId12"/>
                          <a:stretch>
                            <a:fillRect/>
                          </a:stretch>
                        </pic:blipFill>
                        <pic:spPr>
                          <a:xfrm>
                            <a:off x="0" y="0"/>
                            <a:ext cx="5334635" cy="4714240"/>
                          </a:xfrm>
                          <a:prstGeom prst="rect">
                            <a:avLst/>
                          </a:prstGeom>
                          <a:noFill/>
                          <a:ln>
                            <a:noFill/>
                          </a:ln>
                        </pic:spPr>
                      </pic:pic>
                    </a:graphicData>
                  </a:graphic>
                </wp:inline>
              </w:drawing>
            </w:r>
          </w:p>
          <w:p w14:paraId="7B8D27FC">
            <w:pPr>
              <w:spacing w:line="360" w:lineRule="auto"/>
              <w:jc w:val="center"/>
              <w:rPr>
                <w:b/>
                <w:bCs/>
                <w:strike/>
                <w:dstrike w:val="0"/>
                <w:color w:val="auto"/>
                <w:sz w:val="24"/>
                <w:highlight w:val="yellow"/>
              </w:rPr>
            </w:pPr>
            <w:r>
              <w:rPr>
                <w:rFonts w:hint="eastAsia"/>
                <w:b/>
                <w:strike w:val="0"/>
                <w:dstrike w:val="0"/>
                <w:color w:val="auto"/>
                <w:szCs w:val="21"/>
                <w:highlight w:val="none"/>
              </w:rPr>
              <w:t>图</w:t>
            </w:r>
            <w:r>
              <w:rPr>
                <w:b/>
                <w:strike w:val="0"/>
                <w:dstrike w:val="0"/>
                <w:color w:val="auto"/>
                <w:szCs w:val="21"/>
                <w:highlight w:val="none"/>
              </w:rPr>
              <w:t>2</w:t>
            </w:r>
            <w:r>
              <w:rPr>
                <w:rFonts w:hint="eastAsia"/>
                <w:b/>
                <w:strike w:val="0"/>
                <w:dstrike w:val="0"/>
                <w:color w:val="auto"/>
                <w:szCs w:val="21"/>
                <w:highlight w:val="none"/>
                <w:lang w:val="en-US" w:eastAsia="zh-CN"/>
              </w:rPr>
              <w:t>-1</w:t>
            </w:r>
            <w:r>
              <w:rPr>
                <w:rFonts w:hint="eastAsia"/>
                <w:b/>
                <w:strike w:val="0"/>
                <w:dstrike w:val="0"/>
                <w:color w:val="auto"/>
                <w:szCs w:val="21"/>
                <w:highlight w:val="none"/>
              </w:rPr>
              <w:t xml:space="preserve">  </w:t>
            </w:r>
            <w:r>
              <w:rPr>
                <w:rFonts w:hint="eastAsia"/>
                <w:b/>
                <w:strike w:val="0"/>
                <w:dstrike w:val="0"/>
                <w:color w:val="auto"/>
                <w:szCs w:val="21"/>
                <w:highlight w:val="none"/>
                <w:lang w:eastAsia="zh-CN"/>
              </w:rPr>
              <w:t>项目</w:t>
            </w:r>
            <w:r>
              <w:rPr>
                <w:rFonts w:hint="eastAsia"/>
                <w:b/>
                <w:strike w:val="0"/>
                <w:dstrike w:val="0"/>
                <w:color w:val="auto"/>
                <w:szCs w:val="21"/>
                <w:highlight w:val="none"/>
              </w:rPr>
              <w:t>水平衡图（单位：</w:t>
            </w:r>
            <w:r>
              <w:rPr>
                <w:rFonts w:hint="eastAsia"/>
                <w:b/>
                <w:bCs/>
                <w:strike w:val="0"/>
                <w:dstrike w:val="0"/>
                <w:color w:val="auto"/>
                <w:szCs w:val="21"/>
                <w:highlight w:val="none"/>
              </w:rPr>
              <w:t>m</w:t>
            </w:r>
            <w:r>
              <w:rPr>
                <w:rFonts w:hint="eastAsia"/>
                <w:b/>
                <w:bCs/>
                <w:strike w:val="0"/>
                <w:dstrike w:val="0"/>
                <w:color w:val="auto"/>
                <w:szCs w:val="21"/>
                <w:highlight w:val="none"/>
                <w:vertAlign w:val="superscript"/>
              </w:rPr>
              <w:t>3</w:t>
            </w:r>
            <w:r>
              <w:rPr>
                <w:rFonts w:hint="eastAsia"/>
                <w:b/>
                <w:bCs/>
                <w:strike w:val="0"/>
                <w:dstrike w:val="0"/>
                <w:color w:val="auto"/>
                <w:szCs w:val="21"/>
                <w:highlight w:val="none"/>
              </w:rPr>
              <w:t>/d</w:t>
            </w:r>
            <w:r>
              <w:rPr>
                <w:rFonts w:hint="eastAsia"/>
                <w:b/>
                <w:strike w:val="0"/>
                <w:dstrike w:val="0"/>
                <w:color w:val="auto"/>
                <w:szCs w:val="21"/>
                <w:highlight w:val="none"/>
              </w:rPr>
              <w:t>）</w:t>
            </w:r>
          </w:p>
          <w:p w14:paraId="202AF7DB">
            <w:pPr>
              <w:adjustRightInd w:val="0"/>
              <w:snapToGrid w:val="0"/>
              <w:spacing w:line="360" w:lineRule="auto"/>
              <w:rPr>
                <w:color w:val="auto"/>
                <w:sz w:val="24"/>
              </w:rPr>
            </w:pPr>
            <w:r>
              <w:rPr>
                <w:color w:val="auto"/>
                <w:sz w:val="24"/>
              </w:rPr>
              <w:t>（3）供电</w:t>
            </w:r>
          </w:p>
          <w:p w14:paraId="1CD2434C">
            <w:pPr>
              <w:pStyle w:val="2"/>
              <w:spacing w:after="0" w:line="360" w:lineRule="auto"/>
              <w:ind w:left="0" w:leftChars="0" w:firstLine="480"/>
              <w:rPr>
                <w:rFonts w:hint="default"/>
                <w:bCs/>
                <w:color w:val="auto"/>
                <w:sz w:val="24"/>
                <w:szCs w:val="32"/>
                <w:lang w:val="en-US" w:eastAsia="zh-CN"/>
              </w:rPr>
            </w:pPr>
            <w:r>
              <w:rPr>
                <w:bCs/>
                <w:color w:val="auto"/>
                <w:szCs w:val="24"/>
              </w:rPr>
              <w:t>本项目由</w:t>
            </w:r>
            <w:r>
              <w:rPr>
                <w:rFonts w:hint="eastAsia"/>
                <w:bCs/>
                <w:color w:val="auto"/>
                <w:szCs w:val="24"/>
                <w:lang w:eastAsia="zh-CN"/>
              </w:rPr>
              <w:t>东至市政管网</w:t>
            </w:r>
            <w:r>
              <w:rPr>
                <w:bCs/>
                <w:color w:val="auto"/>
                <w:szCs w:val="24"/>
              </w:rPr>
              <w:t>供应，</w:t>
            </w:r>
            <w:r>
              <w:rPr>
                <w:rFonts w:hint="eastAsia"/>
                <w:bCs/>
                <w:color w:val="auto"/>
                <w:szCs w:val="24"/>
                <w:lang w:eastAsia="zh-CN"/>
              </w:rPr>
              <w:t>本项目新增</w:t>
            </w:r>
            <w:r>
              <w:rPr>
                <w:bCs/>
                <w:color w:val="auto"/>
                <w:szCs w:val="24"/>
              </w:rPr>
              <w:t>年用电量</w:t>
            </w:r>
            <w:r>
              <w:rPr>
                <w:rFonts w:hint="eastAsia"/>
                <w:bCs/>
                <w:color w:val="auto"/>
                <w:szCs w:val="24"/>
                <w:highlight w:val="none"/>
                <w:lang w:val="en-US" w:eastAsia="zh-CN"/>
              </w:rPr>
              <w:t>120</w:t>
            </w:r>
            <w:r>
              <w:rPr>
                <w:bCs/>
                <w:color w:val="auto"/>
                <w:szCs w:val="24"/>
              </w:rPr>
              <w:t>万KWh。</w:t>
            </w:r>
          </w:p>
        </w:tc>
      </w:tr>
      <w:tr w14:paraId="5184C9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287" w:hRule="atLeast"/>
          <w:jc w:val="center"/>
        </w:trPr>
        <w:tc>
          <w:tcPr>
            <w:tcW w:w="439" w:type="dxa"/>
            <w:vAlign w:val="center"/>
          </w:tcPr>
          <w:p w14:paraId="16BB11CF">
            <w:pPr>
              <w:pStyle w:val="25"/>
              <w:adjustRightInd w:val="0"/>
              <w:snapToGrid w:val="0"/>
              <w:spacing w:before="0" w:beforeAutospacing="0" w:after="0" w:afterAutospacing="0"/>
              <w:jc w:val="center"/>
              <w:rPr>
                <w:rFonts w:ascii="Times New Roman" w:hAnsi="Times New Roman"/>
                <w:color w:val="auto"/>
                <w:szCs w:val="24"/>
              </w:rPr>
            </w:pPr>
            <w:r>
              <w:rPr>
                <w:rFonts w:ascii="Times New Roman" w:hAnsi="Times New Roman"/>
                <w:color w:val="auto"/>
                <w:szCs w:val="24"/>
              </w:rPr>
              <w:t>工艺流程和产排污环节</w:t>
            </w:r>
          </w:p>
        </w:tc>
        <w:tc>
          <w:tcPr>
            <w:tcW w:w="8621" w:type="dxa"/>
          </w:tcPr>
          <w:p w14:paraId="00B94FB5">
            <w:pPr>
              <w:numPr>
                <w:ilvl w:val="0"/>
                <w:numId w:val="0"/>
              </w:numPr>
              <w:adjustRightInd w:val="0"/>
              <w:snapToGrid w:val="0"/>
              <w:spacing w:line="360" w:lineRule="auto"/>
              <w:rPr>
                <w:color w:val="auto"/>
                <w:sz w:val="24"/>
              </w:rPr>
            </w:pPr>
            <w:r>
              <w:rPr>
                <w:rFonts w:hint="eastAsia"/>
                <w:color w:val="auto"/>
                <w:sz w:val="24"/>
                <w:lang w:val="en-US" w:eastAsia="zh-CN"/>
              </w:rPr>
              <w:t>一、</w:t>
            </w:r>
            <w:r>
              <w:rPr>
                <w:color w:val="auto"/>
                <w:sz w:val="24"/>
              </w:rPr>
              <w:t>生产工艺流程及产污环节</w:t>
            </w:r>
          </w:p>
          <w:p w14:paraId="6BE336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val="en-US" w:eastAsia="zh-CN"/>
              </w:rPr>
            </w:pPr>
            <w:r>
              <w:rPr>
                <w:rFonts w:hint="eastAsia"/>
                <w:color w:val="auto"/>
                <w:sz w:val="24"/>
                <w:szCs w:val="32"/>
                <w:lang w:val="en-US" w:eastAsia="zh-CN"/>
              </w:rPr>
              <w:t>1、施工期</w:t>
            </w:r>
          </w:p>
          <w:p w14:paraId="61F3ACB7">
            <w:pPr>
              <w:spacing w:line="360" w:lineRule="auto"/>
              <w:ind w:firstLine="482"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b/>
                <w:bCs/>
                <w:color w:val="auto"/>
                <w:sz w:val="24"/>
                <w:szCs w:val="24"/>
              </w:rPr>
              <w:t>施工期</w:t>
            </w:r>
            <w:r>
              <w:rPr>
                <w:rFonts w:hint="eastAsia" w:cs="Times New Roman"/>
                <w:b/>
                <w:bCs/>
                <w:color w:val="auto"/>
                <w:sz w:val="24"/>
                <w:szCs w:val="24"/>
                <w:lang w:eastAsia="zh-CN"/>
              </w:rPr>
              <w:t>主体工程</w:t>
            </w:r>
            <w:r>
              <w:rPr>
                <w:rFonts w:hint="default" w:ascii="Times New Roman" w:hAnsi="Times New Roman" w:eastAsia="宋体" w:cs="Times New Roman"/>
                <w:b/>
                <w:bCs/>
                <w:color w:val="auto"/>
                <w:sz w:val="24"/>
                <w:szCs w:val="24"/>
              </w:rPr>
              <w:t>工艺流程简述（图示）</w:t>
            </w:r>
            <w:r>
              <w:rPr>
                <w:rFonts w:hint="default" w:ascii="Times New Roman" w:hAnsi="Times New Roman" w:eastAsia="宋体" w:cs="Times New Roman"/>
                <w:color w:val="auto"/>
                <w:sz w:val="24"/>
                <w:szCs w:val="24"/>
              </w:rPr>
              <w:t>：</w:t>
            </w:r>
          </w:p>
          <w:p w14:paraId="236CF7A3">
            <w:pPr>
              <w:spacing w:line="360" w:lineRule="auto"/>
              <w:ind w:firstLine="480" w:firstLineChars="200"/>
              <w:rPr>
                <w:rFonts w:hint="default" w:ascii="Times New Roman" w:hAnsi="Times New Roman" w:eastAsia="宋体" w:cs="Times New Roman"/>
                <w:color w:val="auto"/>
                <w:sz w:val="24"/>
                <w:szCs w:val="24"/>
                <w:lang w:eastAsia="en-US"/>
              </w:rPr>
            </w:pPr>
            <w:r>
              <w:rPr>
                <w:rFonts w:hint="default" w:ascii="Times New Roman" w:hAnsi="Times New Roman" w:eastAsia="宋体" w:cs="Times New Roman"/>
                <w:color w:val="auto"/>
                <w:sz w:val="24"/>
                <w:szCs w:val="24"/>
              </w:rPr>
              <w:t>施工期工艺流程主要为基础开挖，结构施工，装修施工，设备安装后即可交付使用，使用的</w:t>
            </w:r>
            <w:r>
              <w:rPr>
                <w:rFonts w:hint="default" w:ascii="Times New Roman" w:hAnsi="Times New Roman" w:eastAsia="宋体" w:cs="Times New Roman"/>
                <w:color w:val="auto"/>
                <w:spacing w:val="-4"/>
                <w:sz w:val="24"/>
                <w:szCs w:val="24"/>
              </w:rPr>
              <w:t>施工设备包括电动挖掘机、推土机、电钻及运输、装卸设备等；以昼间施工为</w:t>
            </w:r>
            <w:r>
              <w:rPr>
                <w:rFonts w:hint="default" w:ascii="Times New Roman" w:hAnsi="Times New Roman" w:eastAsia="宋体" w:cs="Times New Roman"/>
                <w:color w:val="auto"/>
                <w:spacing w:val="-5"/>
                <w:sz w:val="24"/>
                <w:szCs w:val="24"/>
              </w:rPr>
              <w:t>主。</w:t>
            </w:r>
            <w:r>
              <w:rPr>
                <w:rFonts w:hint="default" w:ascii="Times New Roman" w:hAnsi="Times New Roman" w:eastAsia="宋体" w:cs="Times New Roman"/>
                <w:color w:val="auto"/>
                <w:sz w:val="24"/>
                <w:szCs w:val="24"/>
              </w:rPr>
              <w:t xml:space="preserve"> </w:t>
            </w:r>
            <w:r>
              <w:rPr>
                <w:rFonts w:hint="default" w:ascii="Times New Roman" w:hAnsi="Times New Roman" w:eastAsia="宋体" w:cs="Times New Roman"/>
                <w:color w:val="auto"/>
                <w:spacing w:val="-1"/>
                <w:sz w:val="24"/>
                <w:szCs w:val="24"/>
                <w:lang w:eastAsia="en-US"/>
              </w:rPr>
              <w:t>施工期工艺流程及产污节点图详见下图。</w:t>
            </w:r>
          </w:p>
          <w:p w14:paraId="01A51DAE">
            <w:pPr>
              <w:spacing w:line="360" w:lineRule="auto"/>
              <w:ind w:firstLine="420" w:firstLineChars="20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position w:val="-57"/>
                <w:sz w:val="21"/>
                <w:szCs w:val="21"/>
              </w:rPr>
              <w:drawing>
                <wp:inline distT="0" distB="0" distL="114300" distR="114300">
                  <wp:extent cx="4686300" cy="1819275"/>
                  <wp:effectExtent l="0" t="0" r="0" b="9525"/>
                  <wp:docPr id="1" name="图片 6"/>
                  <wp:cNvGraphicFramePr/>
                  <a:graphic xmlns:a="http://schemas.openxmlformats.org/drawingml/2006/main">
                    <a:graphicData uri="http://schemas.openxmlformats.org/drawingml/2006/picture">
                      <pic:pic xmlns:pic="http://schemas.openxmlformats.org/drawingml/2006/picture">
                        <pic:nvPicPr>
                          <pic:cNvPr id="1" name="图片 6"/>
                          <pic:cNvPicPr/>
                        </pic:nvPicPr>
                        <pic:blipFill>
                          <a:blip r:embed="rId13"/>
                          <a:stretch>
                            <a:fillRect/>
                          </a:stretch>
                        </pic:blipFill>
                        <pic:spPr>
                          <a:xfrm>
                            <a:off x="0" y="0"/>
                            <a:ext cx="4686300" cy="1819275"/>
                          </a:xfrm>
                          <a:prstGeom prst="rect">
                            <a:avLst/>
                          </a:prstGeom>
                          <a:noFill/>
                          <a:ln>
                            <a:noFill/>
                          </a:ln>
                        </pic:spPr>
                      </pic:pic>
                    </a:graphicData>
                  </a:graphic>
                </wp:inline>
              </w:drawing>
            </w:r>
          </w:p>
          <w:p w14:paraId="2D8926FC">
            <w:pPr>
              <w:spacing w:line="360" w:lineRule="auto"/>
              <w:ind w:firstLine="410" w:firstLineChars="20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pacing w:val="-3"/>
                <w:sz w:val="21"/>
                <w:szCs w:val="21"/>
              </w:rPr>
              <w:t>图</w:t>
            </w:r>
            <w:r>
              <w:rPr>
                <w:rFonts w:hint="default" w:ascii="Times New Roman" w:hAnsi="Times New Roman" w:eastAsia="宋体" w:cs="Times New Roman"/>
                <w:color w:val="auto"/>
                <w:spacing w:val="-53"/>
                <w:sz w:val="21"/>
                <w:szCs w:val="21"/>
              </w:rPr>
              <w:t xml:space="preserve"> </w:t>
            </w:r>
            <w:r>
              <w:rPr>
                <w:rFonts w:hint="default" w:ascii="Times New Roman" w:hAnsi="Times New Roman" w:eastAsia="宋体" w:cs="Times New Roman"/>
                <w:b/>
                <w:bCs/>
                <w:color w:val="auto"/>
                <w:spacing w:val="-3"/>
                <w:sz w:val="21"/>
                <w:szCs w:val="21"/>
              </w:rPr>
              <w:t>2-2    施工期</w:t>
            </w:r>
            <w:r>
              <w:rPr>
                <w:rFonts w:hint="eastAsia" w:cs="Times New Roman"/>
                <w:b/>
                <w:bCs/>
                <w:color w:val="auto"/>
                <w:spacing w:val="-3"/>
                <w:sz w:val="21"/>
                <w:szCs w:val="21"/>
                <w:lang w:eastAsia="zh-CN"/>
              </w:rPr>
              <w:t>主体工程</w:t>
            </w:r>
            <w:r>
              <w:rPr>
                <w:rFonts w:hint="default" w:ascii="Times New Roman" w:hAnsi="Times New Roman" w:eastAsia="宋体" w:cs="Times New Roman"/>
                <w:b/>
                <w:bCs/>
                <w:color w:val="auto"/>
                <w:spacing w:val="-3"/>
                <w:sz w:val="21"/>
                <w:szCs w:val="21"/>
              </w:rPr>
              <w:t>工艺流程及产排污环节</w:t>
            </w:r>
          </w:p>
          <w:p w14:paraId="0063CD69">
            <w:pPr>
              <w:spacing w:line="360" w:lineRule="auto"/>
              <w:ind w:firstLine="464" w:firstLineChars="200"/>
              <w:jc w:val="righ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4"/>
                <w:sz w:val="24"/>
                <w:szCs w:val="24"/>
              </w:rPr>
              <w:t>项目施工期间主要污染为施工废气、废水、</w:t>
            </w:r>
            <w:r>
              <w:rPr>
                <w:rFonts w:hint="default" w:ascii="Times New Roman" w:hAnsi="Times New Roman" w:eastAsia="宋体" w:cs="Times New Roman"/>
                <w:color w:val="auto"/>
                <w:spacing w:val="-5"/>
                <w:sz w:val="24"/>
                <w:szCs w:val="24"/>
              </w:rPr>
              <w:t>施工噪声以及施工固体废弃物等。</w:t>
            </w:r>
          </w:p>
          <w:p w14:paraId="74328169">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①施工废气：施工扬尘主要有车辆运输扬尘和场地风力扬尘等；运输车辆及</w:t>
            </w:r>
            <w:r>
              <w:rPr>
                <w:rFonts w:hint="default" w:ascii="Times New Roman" w:hAnsi="Times New Roman" w:eastAsia="宋体" w:cs="Times New Roman"/>
                <w:color w:val="auto"/>
                <w:spacing w:val="14"/>
                <w:sz w:val="24"/>
                <w:szCs w:val="24"/>
              </w:rPr>
              <w:t xml:space="preserve"> </w:t>
            </w:r>
            <w:r>
              <w:rPr>
                <w:rFonts w:hint="default" w:ascii="Times New Roman" w:hAnsi="Times New Roman" w:eastAsia="宋体" w:cs="Times New Roman"/>
                <w:color w:val="auto"/>
                <w:sz w:val="24"/>
                <w:szCs w:val="24"/>
              </w:rPr>
              <w:t>施工机械排放的尾气，主要污染物是氮氧化物、一</w:t>
            </w:r>
            <w:r>
              <w:rPr>
                <w:rFonts w:hint="default" w:ascii="Times New Roman" w:hAnsi="Times New Roman" w:eastAsia="宋体" w:cs="Times New Roman"/>
                <w:color w:val="auto"/>
                <w:spacing w:val="-1"/>
                <w:sz w:val="24"/>
                <w:szCs w:val="24"/>
              </w:rPr>
              <w:t>氧化碳、THC 等；</w:t>
            </w:r>
          </w:p>
          <w:p w14:paraId="15459262">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②施工废水：施工场地内施工人员的生活污水及场</w:t>
            </w:r>
            <w:r>
              <w:rPr>
                <w:rFonts w:hint="default" w:ascii="Times New Roman" w:hAnsi="Times New Roman" w:eastAsia="宋体" w:cs="Times New Roman"/>
                <w:color w:val="auto"/>
                <w:spacing w:val="-1"/>
                <w:sz w:val="24"/>
                <w:szCs w:val="24"/>
              </w:rPr>
              <w:t>地内少量施工废水；</w:t>
            </w:r>
          </w:p>
          <w:p w14:paraId="5925262F">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③施工噪声：施工建筑机械、运输车辆及施</w:t>
            </w:r>
            <w:r>
              <w:rPr>
                <w:rFonts w:hint="default" w:ascii="Times New Roman" w:hAnsi="Times New Roman" w:eastAsia="宋体" w:cs="Times New Roman"/>
                <w:color w:val="auto"/>
                <w:spacing w:val="-1"/>
                <w:sz w:val="24"/>
                <w:szCs w:val="24"/>
              </w:rPr>
              <w:t>工过</w:t>
            </w:r>
            <w:r>
              <w:rPr>
                <w:rFonts w:hint="eastAsia" w:cs="Times New Roman"/>
                <w:color w:val="auto"/>
                <w:spacing w:val="-1"/>
                <w:sz w:val="24"/>
                <w:szCs w:val="24"/>
                <w:lang w:eastAsia="zh-CN"/>
              </w:rPr>
              <w:t>程中</w:t>
            </w:r>
            <w:r>
              <w:rPr>
                <w:rFonts w:hint="default" w:ascii="Times New Roman" w:hAnsi="Times New Roman" w:eastAsia="宋体" w:cs="Times New Roman"/>
                <w:color w:val="auto"/>
                <w:spacing w:val="-1"/>
                <w:sz w:val="24"/>
                <w:szCs w:val="24"/>
              </w:rPr>
              <w:t>产生的噪声；</w:t>
            </w:r>
          </w:p>
          <w:p w14:paraId="7D7ACA1C">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④施工固体废弃物：施工期主要有建筑垃圾及施工人员生活垃圾。</w:t>
            </w:r>
          </w:p>
          <w:p w14:paraId="5F0CBEF7">
            <w:pPr>
              <w:spacing w:line="360" w:lineRule="auto"/>
              <w:ind w:firstLine="482" w:firstLineChars="200"/>
              <w:rPr>
                <w:rFonts w:hint="eastAsia" w:ascii="Times New Roman" w:hAnsi="Times New Roman" w:eastAsia="宋体" w:cs="Times New Roman"/>
                <w:b/>
                <w:bCs/>
                <w:color w:val="auto"/>
                <w:sz w:val="24"/>
                <w:szCs w:val="24"/>
                <w:lang w:eastAsia="zh-CN"/>
              </w:rPr>
            </w:pPr>
            <w:r>
              <w:rPr>
                <w:rFonts w:hint="eastAsia" w:ascii="Times New Roman" w:hAnsi="Times New Roman" w:eastAsia="宋体" w:cs="Times New Roman"/>
                <w:b/>
                <w:bCs/>
                <w:color w:val="auto"/>
                <w:sz w:val="24"/>
                <w:szCs w:val="24"/>
                <w:lang w:eastAsia="zh-CN"/>
              </w:rPr>
              <w:t>施工期废水运输管道工艺流程简述（图示）：</w:t>
            </w:r>
          </w:p>
          <w:p w14:paraId="3200173A">
            <w:pPr>
              <w:spacing w:line="360" w:lineRule="auto"/>
              <w:ind w:firstLine="420" w:firstLineChars="200"/>
              <w:jc w:val="center"/>
              <w:rPr>
                <w:color w:val="auto"/>
              </w:rPr>
            </w:pPr>
            <w:r>
              <w:rPr>
                <w:color w:val="auto"/>
              </w:rPr>
              <w:drawing>
                <wp:inline distT="0" distB="0" distL="114300" distR="114300">
                  <wp:extent cx="3238500" cy="4457700"/>
                  <wp:effectExtent l="0" t="0" r="0" b="0"/>
                  <wp:docPr id="2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8"/>
                          <pic:cNvPicPr>
                            <a:picLocks noChangeAspect="1"/>
                          </pic:cNvPicPr>
                        </pic:nvPicPr>
                        <pic:blipFill>
                          <a:blip r:embed="rId14"/>
                          <a:stretch>
                            <a:fillRect/>
                          </a:stretch>
                        </pic:blipFill>
                        <pic:spPr>
                          <a:xfrm>
                            <a:off x="0" y="0"/>
                            <a:ext cx="3238500" cy="4457700"/>
                          </a:xfrm>
                          <a:prstGeom prst="rect">
                            <a:avLst/>
                          </a:prstGeom>
                          <a:noFill/>
                          <a:ln>
                            <a:noFill/>
                          </a:ln>
                        </pic:spPr>
                      </pic:pic>
                    </a:graphicData>
                  </a:graphic>
                </wp:inline>
              </w:drawing>
            </w:r>
          </w:p>
          <w:p w14:paraId="4A5D0DF2">
            <w:pPr>
              <w:spacing w:line="360" w:lineRule="auto"/>
              <w:ind w:firstLine="482" w:firstLineChars="200"/>
              <w:jc w:val="center"/>
              <w:rPr>
                <w:rFonts w:hint="eastAsia"/>
                <w:b/>
                <w:bCs/>
                <w:color w:val="auto"/>
                <w:sz w:val="24"/>
                <w:szCs w:val="32"/>
                <w:lang w:val="en-US" w:eastAsia="zh-CN"/>
              </w:rPr>
            </w:pPr>
            <w:r>
              <w:rPr>
                <w:rFonts w:hint="eastAsia"/>
                <w:b/>
                <w:bCs/>
                <w:color w:val="auto"/>
                <w:sz w:val="24"/>
                <w:szCs w:val="32"/>
                <w:lang w:eastAsia="zh-CN"/>
              </w:rPr>
              <w:t>图</w:t>
            </w:r>
            <w:r>
              <w:rPr>
                <w:rFonts w:hint="eastAsia"/>
                <w:b/>
                <w:bCs/>
                <w:color w:val="auto"/>
                <w:sz w:val="24"/>
                <w:szCs w:val="32"/>
                <w:lang w:val="en-US" w:eastAsia="zh-CN"/>
              </w:rPr>
              <w:t>2-3 废水输送管道施工流程图</w:t>
            </w:r>
          </w:p>
          <w:p w14:paraId="0C56DF72">
            <w:pPr>
              <w:spacing w:line="360" w:lineRule="auto"/>
              <w:ind w:firstLine="480" w:firstLineChars="200"/>
              <w:rPr>
                <w:rFonts w:hint="default"/>
                <w:color w:val="auto"/>
                <w:sz w:val="24"/>
              </w:rPr>
            </w:pPr>
            <w:r>
              <w:rPr>
                <w:rFonts w:hint="default"/>
                <w:color w:val="auto"/>
                <w:sz w:val="24"/>
              </w:rPr>
              <w:t>工艺流程简述：</w:t>
            </w:r>
          </w:p>
          <w:p w14:paraId="7C644550">
            <w:pPr>
              <w:spacing w:line="360" w:lineRule="auto"/>
              <w:ind w:firstLine="480" w:firstLineChars="200"/>
              <w:rPr>
                <w:rFonts w:hint="default"/>
                <w:color w:val="auto"/>
                <w:sz w:val="24"/>
              </w:rPr>
            </w:pPr>
            <w:r>
              <w:rPr>
                <w:rFonts w:hint="eastAsia"/>
                <w:color w:val="auto"/>
                <w:sz w:val="24"/>
                <w:lang w:eastAsia="zh-CN"/>
              </w:rPr>
              <w:t>①</w:t>
            </w:r>
            <w:r>
              <w:rPr>
                <w:rFonts w:hint="default"/>
                <w:color w:val="auto"/>
                <w:sz w:val="24"/>
              </w:rPr>
              <w:t>测量定线</w:t>
            </w:r>
            <w:r>
              <w:rPr>
                <w:rFonts w:hint="eastAsia"/>
                <w:color w:val="auto"/>
                <w:sz w:val="24"/>
                <w:lang w:eastAsia="zh-CN"/>
              </w:rPr>
              <w:t>：</w:t>
            </w:r>
            <w:r>
              <w:rPr>
                <w:rFonts w:hint="default"/>
                <w:color w:val="auto"/>
                <w:sz w:val="24"/>
              </w:rPr>
              <w:t>本项目</w:t>
            </w:r>
            <w:r>
              <w:rPr>
                <w:rFonts w:hint="eastAsia"/>
                <w:color w:val="auto"/>
                <w:sz w:val="24"/>
                <w:lang w:eastAsia="zh-CN"/>
              </w:rPr>
              <w:t>沿</w:t>
            </w:r>
            <w:r>
              <w:rPr>
                <w:rFonts w:hint="default"/>
                <w:color w:val="auto"/>
                <w:sz w:val="24"/>
              </w:rPr>
              <w:t>现有</w:t>
            </w:r>
            <w:r>
              <w:rPr>
                <w:rFonts w:hint="eastAsia"/>
                <w:color w:val="auto"/>
                <w:sz w:val="24"/>
                <w:lang w:eastAsia="zh-CN"/>
              </w:rPr>
              <w:t>道路建设管线</w:t>
            </w:r>
            <w:r>
              <w:rPr>
                <w:rFonts w:hint="default"/>
                <w:color w:val="auto"/>
                <w:sz w:val="24"/>
              </w:rPr>
              <w:t>，施工前首先进行定线、测量，作为评估工程量和制定施工方案的基础。</w:t>
            </w:r>
          </w:p>
          <w:p w14:paraId="1E9B71AE">
            <w:pPr>
              <w:spacing w:line="360" w:lineRule="auto"/>
              <w:ind w:firstLine="480" w:firstLineChars="200"/>
              <w:rPr>
                <w:rFonts w:hint="default"/>
                <w:color w:val="auto"/>
                <w:sz w:val="24"/>
              </w:rPr>
            </w:pPr>
            <w:r>
              <w:rPr>
                <w:rFonts w:hint="eastAsia"/>
                <w:color w:val="auto"/>
                <w:sz w:val="24"/>
                <w:lang w:eastAsia="zh-CN"/>
              </w:rPr>
              <w:t>②</w:t>
            </w:r>
            <w:r>
              <w:rPr>
                <w:rFonts w:hint="default"/>
                <w:color w:val="auto"/>
                <w:sz w:val="24"/>
              </w:rPr>
              <w:t>布设管线</w:t>
            </w:r>
            <w:r>
              <w:rPr>
                <w:rFonts w:hint="eastAsia"/>
                <w:color w:val="auto"/>
                <w:sz w:val="24"/>
                <w:lang w:eastAsia="zh-CN"/>
              </w:rPr>
              <w:t>：</w:t>
            </w:r>
            <w:r>
              <w:rPr>
                <w:rFonts w:hint="default"/>
                <w:color w:val="auto"/>
                <w:sz w:val="24"/>
              </w:rPr>
              <w:t>将管件</w:t>
            </w:r>
            <w:r>
              <w:rPr>
                <w:rFonts w:hint="eastAsia"/>
                <w:color w:val="auto"/>
                <w:sz w:val="24"/>
                <w:lang w:eastAsia="zh-CN"/>
              </w:rPr>
              <w:t>布设</w:t>
            </w:r>
            <w:r>
              <w:rPr>
                <w:rFonts w:hint="default"/>
                <w:color w:val="auto"/>
                <w:sz w:val="24"/>
              </w:rPr>
              <w:t>到所需安装的高度，并摆放到位。将管内污物清除干净，并将管口边缘与焊口两侧打磨干净，使其露出金属光泽，制作坡口，然后用焊条将管件焊接起来。焊接完成后</w:t>
            </w:r>
            <w:r>
              <w:rPr>
                <w:rFonts w:hint="eastAsia"/>
                <w:color w:val="auto"/>
                <w:sz w:val="24"/>
                <w:lang w:eastAsia="zh-CN"/>
              </w:rPr>
              <w:t>应按</w:t>
            </w:r>
            <w:r>
              <w:rPr>
                <w:rFonts w:hint="default"/>
                <w:color w:val="auto"/>
                <w:sz w:val="24"/>
              </w:rPr>
              <w:t>相关规定进行焊接质量检测，检测合格后方可投入使用。</w:t>
            </w:r>
          </w:p>
          <w:p w14:paraId="78A847B2">
            <w:pPr>
              <w:spacing w:line="360" w:lineRule="auto"/>
              <w:ind w:firstLine="480" w:firstLineChars="200"/>
              <w:rPr>
                <w:rFonts w:hint="default"/>
                <w:color w:val="auto"/>
                <w:sz w:val="24"/>
              </w:rPr>
            </w:pPr>
            <w:r>
              <w:rPr>
                <w:rFonts w:hint="eastAsia"/>
                <w:color w:val="auto"/>
                <w:sz w:val="24"/>
                <w:lang w:eastAsia="zh-CN"/>
              </w:rPr>
              <w:t>④</w:t>
            </w:r>
            <w:r>
              <w:rPr>
                <w:rFonts w:hint="default"/>
                <w:color w:val="auto"/>
                <w:sz w:val="24"/>
              </w:rPr>
              <w:t>安装阀门</w:t>
            </w:r>
            <w:r>
              <w:rPr>
                <w:rFonts w:hint="eastAsia"/>
                <w:color w:val="auto"/>
                <w:sz w:val="24"/>
                <w:lang w:eastAsia="zh-CN"/>
              </w:rPr>
              <w:t>：</w:t>
            </w:r>
            <w:r>
              <w:rPr>
                <w:rFonts w:hint="default"/>
                <w:color w:val="auto"/>
                <w:sz w:val="24"/>
              </w:rPr>
              <w:t>在管道两端安装</w:t>
            </w:r>
            <w:r>
              <w:rPr>
                <w:rFonts w:hint="eastAsia"/>
                <w:color w:val="auto"/>
                <w:sz w:val="24"/>
                <w:lang w:eastAsia="zh-CN"/>
              </w:rPr>
              <w:t>切断阀，每隔</w:t>
            </w:r>
            <w:r>
              <w:rPr>
                <w:rFonts w:hint="eastAsia"/>
                <w:color w:val="auto"/>
                <w:sz w:val="24"/>
                <w:lang w:val="en-US" w:eastAsia="zh-CN"/>
              </w:rPr>
              <w:t>12米安装一个法兰。</w:t>
            </w:r>
          </w:p>
          <w:p w14:paraId="1BE4AFC4">
            <w:pPr>
              <w:spacing w:line="360" w:lineRule="auto"/>
              <w:ind w:firstLine="480" w:firstLineChars="200"/>
              <w:rPr>
                <w:rFonts w:hint="default"/>
                <w:color w:val="auto"/>
                <w:sz w:val="24"/>
              </w:rPr>
            </w:pPr>
            <w:r>
              <w:rPr>
                <w:rFonts w:hint="eastAsia"/>
                <w:color w:val="auto"/>
                <w:sz w:val="24"/>
                <w:lang w:eastAsia="zh-CN"/>
              </w:rPr>
              <w:t>⑤试压、闭水试验：</w:t>
            </w:r>
            <w:r>
              <w:rPr>
                <w:rFonts w:hint="default"/>
                <w:color w:val="auto"/>
                <w:sz w:val="24"/>
              </w:rPr>
              <w:t>管道架设完成后进行试压，采用无腐蚀性洁净水作为试压介质，试压时环境温度不宜小于5℃，若环境温度在5℃以下试压，应采取防冻措施。</w:t>
            </w:r>
          </w:p>
          <w:p w14:paraId="0BF96A89">
            <w:pPr>
              <w:spacing w:line="360" w:lineRule="auto"/>
              <w:ind w:firstLine="480" w:firstLineChars="200"/>
              <w:rPr>
                <w:rFonts w:hint="default"/>
                <w:color w:val="auto"/>
                <w:sz w:val="24"/>
              </w:rPr>
            </w:pPr>
            <w:r>
              <w:rPr>
                <w:rFonts w:hint="eastAsia"/>
                <w:color w:val="auto"/>
                <w:sz w:val="24"/>
                <w:lang w:eastAsia="zh-CN"/>
              </w:rPr>
              <w:t>⑥</w:t>
            </w:r>
            <w:r>
              <w:rPr>
                <w:rFonts w:hint="default"/>
                <w:color w:val="auto"/>
                <w:sz w:val="24"/>
              </w:rPr>
              <w:t>防腐</w:t>
            </w:r>
            <w:r>
              <w:rPr>
                <w:rFonts w:hint="eastAsia"/>
                <w:color w:val="auto"/>
                <w:sz w:val="24"/>
                <w:lang w:eastAsia="zh-CN"/>
              </w:rPr>
              <w:t>：</w:t>
            </w:r>
            <w:r>
              <w:rPr>
                <w:rFonts w:hint="default"/>
                <w:color w:val="auto"/>
                <w:sz w:val="24"/>
              </w:rPr>
              <w:t>先使用砂纸打磨管道表面，去除管道表面污渍并提高管道表面质量，然后刷防腐漆防腐。</w:t>
            </w:r>
          </w:p>
          <w:p w14:paraId="1C975649">
            <w:pPr>
              <w:spacing w:line="360" w:lineRule="auto"/>
              <w:ind w:firstLine="480" w:firstLineChars="200"/>
              <w:rPr>
                <w:rFonts w:hint="default"/>
                <w:color w:val="auto"/>
                <w:sz w:val="24"/>
              </w:rPr>
            </w:pPr>
            <w:r>
              <w:rPr>
                <w:rFonts w:hint="default"/>
                <w:color w:val="auto"/>
                <w:sz w:val="24"/>
              </w:rPr>
              <w:t>管道防腐过程中，防腐涂料含有挥发性有机物，产生挥发性有机废气，在施工场地无组织排放，产生废漆桶、废漆刷属于危险废物，应及时收集委托有资质单位处理。</w:t>
            </w:r>
          </w:p>
          <w:p w14:paraId="03530CE3">
            <w:pPr>
              <w:spacing w:line="360" w:lineRule="auto"/>
              <w:ind w:firstLine="480" w:firstLineChars="200"/>
              <w:rPr>
                <w:rFonts w:hint="default"/>
                <w:color w:val="auto"/>
                <w:sz w:val="24"/>
              </w:rPr>
            </w:pPr>
            <w:r>
              <w:rPr>
                <w:rFonts w:hint="eastAsia"/>
                <w:color w:val="auto"/>
                <w:sz w:val="24"/>
                <w:lang w:eastAsia="zh-CN"/>
              </w:rPr>
              <w:t>⑦</w:t>
            </w:r>
            <w:r>
              <w:rPr>
                <w:rFonts w:hint="default"/>
                <w:color w:val="auto"/>
                <w:sz w:val="24"/>
              </w:rPr>
              <w:t>清理现场</w:t>
            </w:r>
            <w:r>
              <w:rPr>
                <w:rFonts w:hint="eastAsia"/>
                <w:color w:val="auto"/>
                <w:sz w:val="24"/>
                <w:lang w:eastAsia="zh-CN"/>
              </w:rPr>
              <w:t>：</w:t>
            </w:r>
            <w:r>
              <w:rPr>
                <w:rFonts w:hint="default"/>
                <w:color w:val="auto"/>
                <w:sz w:val="24"/>
              </w:rPr>
              <w:t>施工结束后清理施工现场，收集</w:t>
            </w:r>
            <w:r>
              <w:rPr>
                <w:rFonts w:hint="eastAsia"/>
                <w:color w:val="auto"/>
                <w:sz w:val="24"/>
                <w:lang w:eastAsia="zh-CN"/>
              </w:rPr>
              <w:t>洒落</w:t>
            </w:r>
            <w:r>
              <w:rPr>
                <w:rFonts w:hint="default"/>
                <w:color w:val="auto"/>
                <w:sz w:val="24"/>
              </w:rPr>
              <w:t>的废物，根据废物性质合理处置。一般工业固废收集后外售综合利用，危险固废收集后暂存到池州</w:t>
            </w:r>
            <w:r>
              <w:rPr>
                <w:rFonts w:hint="eastAsia"/>
                <w:color w:val="auto"/>
                <w:sz w:val="24"/>
                <w:lang w:eastAsia="zh-CN"/>
              </w:rPr>
              <w:t>中器再生资源有限公司</w:t>
            </w:r>
            <w:r>
              <w:rPr>
                <w:rFonts w:hint="default"/>
                <w:color w:val="auto"/>
                <w:sz w:val="24"/>
              </w:rPr>
              <w:t>危废仓库内暂存，及时委托有相关资质的危废处理单位处理。</w:t>
            </w:r>
          </w:p>
          <w:p w14:paraId="0EED8CB8">
            <w:pPr>
              <w:spacing w:line="360" w:lineRule="auto"/>
              <w:ind w:firstLine="480" w:firstLineChars="200"/>
              <w:rPr>
                <w:color w:val="auto"/>
                <w:sz w:val="24"/>
              </w:rPr>
            </w:pPr>
            <w:r>
              <w:rPr>
                <w:color w:val="auto"/>
                <w:sz w:val="24"/>
              </w:rPr>
              <w:t>2</w:t>
            </w:r>
            <w:r>
              <w:rPr>
                <w:rFonts w:hint="eastAsia"/>
                <w:color w:val="auto"/>
                <w:sz w:val="24"/>
              </w:rPr>
              <w:t>、</w:t>
            </w:r>
            <w:r>
              <w:rPr>
                <w:color w:val="auto"/>
                <w:sz w:val="24"/>
              </w:rPr>
              <w:t>运营期</w:t>
            </w:r>
          </w:p>
          <w:p w14:paraId="20B97DE1">
            <w:pPr>
              <w:spacing w:line="360" w:lineRule="auto"/>
              <w:ind w:firstLine="480" w:firstLineChars="200"/>
              <w:rPr>
                <w:rFonts w:hint="eastAsia" w:eastAsia="宋体"/>
                <w:color w:val="auto"/>
                <w:sz w:val="24"/>
                <w:lang w:eastAsia="zh-CN"/>
              </w:rPr>
            </w:pPr>
            <w:r>
              <w:rPr>
                <w:rFonts w:hint="eastAsia"/>
                <w:color w:val="auto"/>
                <w:sz w:val="24"/>
                <w:lang w:eastAsia="zh-CN"/>
              </w:rPr>
              <w:t>（</w:t>
            </w:r>
            <w:r>
              <w:rPr>
                <w:rFonts w:hint="eastAsia"/>
                <w:color w:val="auto"/>
                <w:sz w:val="24"/>
                <w:lang w:val="en-US" w:eastAsia="zh-CN"/>
              </w:rPr>
              <w:t>1</w:t>
            </w:r>
            <w:r>
              <w:rPr>
                <w:rFonts w:hint="eastAsia"/>
                <w:color w:val="auto"/>
                <w:sz w:val="24"/>
                <w:lang w:eastAsia="zh-CN"/>
              </w:rPr>
              <w:t>）餐厨废弃油脂处理工艺</w:t>
            </w:r>
          </w:p>
          <w:p w14:paraId="70DF48E8">
            <w:pPr>
              <w:pStyle w:val="38"/>
              <w:jc w:val="center"/>
              <w:rPr>
                <w:rFonts w:ascii="Times New Roman" w:hAnsi="Times New Roman" w:cs="Times New Roman"/>
                <w:color w:val="auto"/>
                <w:sz w:val="21"/>
                <w:szCs w:val="21"/>
              </w:rPr>
            </w:pPr>
            <w:r>
              <w:rPr>
                <w:color w:val="auto"/>
              </w:rPr>
              <w:drawing>
                <wp:inline distT="0" distB="0" distL="114300" distR="114300">
                  <wp:extent cx="4362450" cy="5667375"/>
                  <wp:effectExtent l="0" t="0" r="0" b="9525"/>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pic:cNvPicPr>
                            <a:picLocks noChangeAspect="1"/>
                          </pic:cNvPicPr>
                        </pic:nvPicPr>
                        <pic:blipFill>
                          <a:blip r:embed="rId15"/>
                          <a:stretch>
                            <a:fillRect/>
                          </a:stretch>
                        </pic:blipFill>
                        <pic:spPr>
                          <a:xfrm>
                            <a:off x="0" y="0"/>
                            <a:ext cx="4362450" cy="5667375"/>
                          </a:xfrm>
                          <a:prstGeom prst="rect">
                            <a:avLst/>
                          </a:prstGeom>
                          <a:noFill/>
                          <a:ln>
                            <a:noFill/>
                          </a:ln>
                        </pic:spPr>
                      </pic:pic>
                    </a:graphicData>
                  </a:graphic>
                </wp:inline>
              </w:drawing>
            </w:r>
          </w:p>
          <w:p w14:paraId="6E4386E1">
            <w:pPr>
              <w:pStyle w:val="38"/>
              <w:spacing w:line="360" w:lineRule="auto"/>
              <w:jc w:val="center"/>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图2-3 餐厨废弃油脂初加工工艺流程简图</w:t>
            </w:r>
          </w:p>
          <w:p w14:paraId="2CD0E92D">
            <w:pPr>
              <w:pStyle w:val="38"/>
              <w:jc w:val="left"/>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注：G1 氨气、硫化氢、臭气浓度，G2 非甲烷总烃</w:t>
            </w:r>
          </w:p>
          <w:p w14:paraId="4268B1D3">
            <w:pPr>
              <w:pStyle w:val="38"/>
              <w:spacing w:line="360" w:lineRule="auto"/>
              <w:jc w:val="left"/>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工艺描述：</w:t>
            </w:r>
          </w:p>
          <w:p w14:paraId="6A01C58F">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color w:val="auto"/>
                <w:sz w:val="24"/>
                <w:szCs w:val="32"/>
              </w:rPr>
            </w:pPr>
            <w:r>
              <w:rPr>
                <w:rFonts w:hint="eastAsia" w:ascii="宋体" w:hAnsi="宋体" w:eastAsia="宋体" w:cs="宋体"/>
                <w:b/>
                <w:bCs/>
                <w:color w:val="auto"/>
                <w:sz w:val="24"/>
                <w:szCs w:val="32"/>
                <w:lang w:val="en-US" w:eastAsia="zh-CN"/>
              </w:rPr>
              <w:t>接料送料：</w:t>
            </w:r>
            <w:r>
              <w:rPr>
                <w:rFonts w:hint="eastAsia" w:ascii="宋体" w:hAnsi="宋体" w:eastAsia="宋体" w:cs="宋体"/>
                <w:b w:val="0"/>
                <w:bCs w:val="0"/>
                <w:color w:val="auto"/>
                <w:sz w:val="24"/>
                <w:szCs w:val="32"/>
                <w:lang w:val="en-US" w:eastAsia="zh-CN"/>
              </w:rPr>
              <w:t>接料送料单元实现餐厨废油</w:t>
            </w:r>
            <w:r>
              <w:rPr>
                <w:rFonts w:hint="eastAsia" w:ascii="宋体" w:hAnsi="宋体" w:cs="宋体"/>
                <w:b w:val="0"/>
                <w:bCs w:val="0"/>
                <w:color w:val="auto"/>
                <w:sz w:val="24"/>
                <w:szCs w:val="32"/>
                <w:lang w:val="en-US" w:eastAsia="zh-CN"/>
              </w:rPr>
              <w:t>（主要为地沟油，其中的老油为含油量90%以上固体状的油，在车间利用烘箱进行电加热为液体后直接进入到沉降罐处理系统中）</w:t>
            </w:r>
            <w:r>
              <w:rPr>
                <w:rFonts w:hint="eastAsia" w:ascii="宋体" w:hAnsi="宋体" w:eastAsia="宋体" w:cs="宋体"/>
                <w:b w:val="0"/>
                <w:bCs w:val="0"/>
                <w:color w:val="auto"/>
                <w:sz w:val="24"/>
                <w:szCs w:val="32"/>
                <w:lang w:val="en-US" w:eastAsia="zh-CN"/>
              </w:rPr>
              <w:t>的接收和输送，餐厨废油的接料斗为2m</w:t>
            </w:r>
            <w:r>
              <w:rPr>
                <w:rFonts w:hint="eastAsia" w:ascii="宋体" w:hAnsi="宋体" w:cs="宋体"/>
                <w:b w:val="0"/>
                <w:bCs w:val="0"/>
                <w:color w:val="auto"/>
                <w:sz w:val="24"/>
                <w:szCs w:val="32"/>
                <w:vertAlign w:val="superscript"/>
                <w:lang w:val="en-US" w:eastAsia="zh-CN"/>
              </w:rPr>
              <w:t>3</w:t>
            </w:r>
            <w:r>
              <w:rPr>
                <w:rFonts w:hint="eastAsia" w:ascii="宋体" w:hAnsi="宋体" w:cs="宋体"/>
                <w:b w:val="0"/>
                <w:bCs w:val="0"/>
                <w:color w:val="auto"/>
                <w:sz w:val="24"/>
                <w:szCs w:val="32"/>
                <w:lang w:val="en-US" w:eastAsia="zh-CN"/>
              </w:rPr>
              <w:t>，2个</w:t>
            </w:r>
            <w:r>
              <w:rPr>
                <w:rFonts w:hint="eastAsia" w:ascii="宋体" w:hAnsi="宋体" w:eastAsia="宋体" w:cs="宋体"/>
                <w:b w:val="0"/>
                <w:bCs w:val="0"/>
                <w:color w:val="auto"/>
                <w:sz w:val="24"/>
                <w:szCs w:val="32"/>
                <w:lang w:val="en-US" w:eastAsia="zh-CN"/>
              </w:rPr>
              <w:t>，同时具有一定储存功能。</w:t>
            </w:r>
            <w:r>
              <w:rPr>
                <w:rFonts w:hint="eastAsia" w:eastAsia="宋体"/>
                <w:color w:val="auto"/>
                <w:sz w:val="24"/>
                <w:szCs w:val="28"/>
                <w:lang w:val="en-US" w:eastAsia="zh-CN"/>
              </w:rPr>
              <w:t>专用的餐厨</w:t>
            </w:r>
            <w:r>
              <w:rPr>
                <w:rFonts w:hint="eastAsia"/>
                <w:color w:val="auto"/>
                <w:sz w:val="24"/>
                <w:szCs w:val="28"/>
                <w:lang w:val="en-US" w:eastAsia="zh-CN"/>
              </w:rPr>
              <w:t>废弃油脂</w:t>
            </w:r>
            <w:r>
              <w:rPr>
                <w:rFonts w:hint="eastAsia" w:eastAsia="宋体"/>
                <w:color w:val="auto"/>
                <w:sz w:val="24"/>
                <w:szCs w:val="28"/>
                <w:lang w:val="en-US" w:eastAsia="zh-CN"/>
              </w:rPr>
              <w:t>收运车辆进厂后，首先称重并记录。</w:t>
            </w:r>
            <w:r>
              <w:rPr>
                <w:rFonts w:hint="eastAsia"/>
                <w:color w:val="auto"/>
                <w:sz w:val="24"/>
                <w:szCs w:val="28"/>
                <w:lang w:val="en-US" w:eastAsia="zh-CN"/>
              </w:rPr>
              <w:t>卸料间不再进行单独分割，卸料斗上方配备密闭房。整个大</w:t>
            </w:r>
            <w:r>
              <w:rPr>
                <w:rFonts w:hint="eastAsia" w:eastAsia="宋体"/>
                <w:color w:val="auto"/>
                <w:sz w:val="24"/>
                <w:szCs w:val="28"/>
                <w:lang w:val="en-US" w:eastAsia="zh-CN"/>
              </w:rPr>
              <w:t>卸料间设置两层红外自动卷帘，接料斗设置电动上盖，实现餐厨</w:t>
            </w:r>
            <w:r>
              <w:rPr>
                <w:rFonts w:hint="eastAsia"/>
                <w:color w:val="auto"/>
                <w:sz w:val="24"/>
                <w:szCs w:val="28"/>
                <w:lang w:val="en-US" w:eastAsia="zh-CN"/>
              </w:rPr>
              <w:t>废弃油脂</w:t>
            </w:r>
            <w:r>
              <w:rPr>
                <w:rFonts w:hint="eastAsia" w:eastAsia="宋体"/>
                <w:color w:val="auto"/>
                <w:sz w:val="24"/>
                <w:szCs w:val="28"/>
                <w:lang w:val="en-US" w:eastAsia="zh-CN"/>
              </w:rPr>
              <w:t>异味不出接料间。具体为：餐厨垃圾运输车辆进入卸料间，卸料间设置自动卷帘门+风幕。当餐厨</w:t>
            </w:r>
            <w:r>
              <w:rPr>
                <w:rFonts w:hint="eastAsia"/>
                <w:color w:val="auto"/>
                <w:sz w:val="24"/>
                <w:szCs w:val="28"/>
                <w:lang w:val="en-US" w:eastAsia="zh-CN"/>
              </w:rPr>
              <w:t>废弃油脂</w:t>
            </w:r>
            <w:r>
              <w:rPr>
                <w:rFonts w:hint="eastAsia" w:eastAsia="宋体"/>
                <w:color w:val="auto"/>
                <w:sz w:val="24"/>
                <w:szCs w:val="28"/>
                <w:lang w:val="en-US" w:eastAsia="zh-CN"/>
              </w:rPr>
              <w:t>收运车辆准备进入卸料间时第一道门自动开启，车辆行驶进入卸料车间后，第一道门自动关闭；卸料时</w:t>
            </w:r>
            <w:r>
              <w:rPr>
                <w:rFonts w:hint="eastAsia"/>
                <w:color w:val="auto"/>
                <w:sz w:val="24"/>
                <w:szCs w:val="32"/>
              </w:rPr>
              <w:t>第二道门自动开启，能有效防止臭气外逸。卸料时利用接料斗上部的</w:t>
            </w:r>
            <w:r>
              <w:rPr>
                <w:rFonts w:hint="eastAsia"/>
                <w:color w:val="auto"/>
                <w:sz w:val="24"/>
                <w:szCs w:val="32"/>
                <w:lang w:eastAsia="zh-CN"/>
              </w:rPr>
              <w:t>配备的密闭房</w:t>
            </w:r>
            <w:r>
              <w:rPr>
                <w:rFonts w:hint="eastAsia"/>
                <w:color w:val="auto"/>
                <w:sz w:val="24"/>
                <w:szCs w:val="32"/>
              </w:rPr>
              <w:t>进行废气收集。卸料完成后，利用新鲜水冲洗车辆和地面。</w:t>
            </w:r>
          </w:p>
          <w:p w14:paraId="7E2AD61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eastAsia="宋体"/>
                <w:color w:val="auto"/>
                <w:sz w:val="24"/>
                <w:szCs w:val="28"/>
                <w:lang w:val="en-US" w:eastAsia="zh-CN"/>
              </w:rPr>
            </w:pPr>
            <w:r>
              <w:rPr>
                <w:rFonts w:hint="eastAsia" w:eastAsia="宋体"/>
                <w:color w:val="auto"/>
                <w:sz w:val="24"/>
                <w:szCs w:val="28"/>
                <w:lang w:val="en-US" w:eastAsia="zh-CN"/>
              </w:rPr>
              <w:t>不卸料时，</w:t>
            </w:r>
            <w:r>
              <w:rPr>
                <w:rFonts w:hint="eastAsia"/>
                <w:color w:val="auto"/>
                <w:sz w:val="24"/>
                <w:szCs w:val="28"/>
                <w:lang w:val="en-US" w:eastAsia="zh-CN"/>
              </w:rPr>
              <w:t>卸料斗</w:t>
            </w:r>
            <w:r>
              <w:rPr>
                <w:rFonts w:hint="eastAsia" w:eastAsia="宋体"/>
                <w:color w:val="auto"/>
                <w:sz w:val="24"/>
                <w:szCs w:val="28"/>
                <w:lang w:val="en-US" w:eastAsia="zh-CN"/>
              </w:rPr>
              <w:t>密闭</w:t>
            </w:r>
            <w:r>
              <w:rPr>
                <w:rFonts w:hint="eastAsia"/>
                <w:color w:val="auto"/>
                <w:sz w:val="24"/>
                <w:szCs w:val="28"/>
                <w:lang w:val="en-US" w:eastAsia="zh-CN"/>
              </w:rPr>
              <w:t>，卸料斗设置有顶盖，顶盖设置有抽风口，通过密闭管道将臭气引至除臭装置</w:t>
            </w:r>
            <w:r>
              <w:rPr>
                <w:rFonts w:hint="eastAsia" w:eastAsia="宋体"/>
                <w:color w:val="auto"/>
                <w:sz w:val="24"/>
                <w:szCs w:val="28"/>
                <w:lang w:val="en-US" w:eastAsia="zh-CN"/>
              </w:rPr>
              <w:t>。将原生餐厨</w:t>
            </w:r>
            <w:r>
              <w:rPr>
                <w:rFonts w:hint="eastAsia"/>
                <w:color w:val="auto"/>
                <w:sz w:val="24"/>
                <w:szCs w:val="28"/>
                <w:lang w:val="en-US" w:eastAsia="zh-CN"/>
              </w:rPr>
              <w:t>废弃油脂</w:t>
            </w:r>
            <w:r>
              <w:rPr>
                <w:rFonts w:hint="eastAsia" w:eastAsia="宋体"/>
                <w:color w:val="auto"/>
                <w:sz w:val="24"/>
                <w:szCs w:val="28"/>
                <w:lang w:val="en-US" w:eastAsia="zh-CN"/>
              </w:rPr>
              <w:t>卸入接收斗，接收斗中的餐厨垃圾</w:t>
            </w:r>
            <w:r>
              <w:rPr>
                <w:rFonts w:hint="eastAsia"/>
                <w:color w:val="auto"/>
                <w:sz w:val="24"/>
                <w:szCs w:val="28"/>
                <w:lang w:val="en-US" w:eastAsia="zh-CN"/>
              </w:rPr>
              <w:t>进入到除杂机</w:t>
            </w:r>
            <w:r>
              <w:rPr>
                <w:rFonts w:hint="eastAsia" w:eastAsia="宋体"/>
                <w:color w:val="auto"/>
                <w:sz w:val="24"/>
                <w:szCs w:val="28"/>
                <w:lang w:val="en-US" w:eastAsia="zh-CN"/>
              </w:rPr>
              <w:t>。卸料过程中会产生恶臭气体G1，主要污染物为硫化氢和氨气、臭气浓度。</w:t>
            </w:r>
          </w:p>
          <w:p w14:paraId="6A57EDC6">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eastAsia="宋体"/>
                <w:color w:val="auto"/>
                <w:sz w:val="24"/>
                <w:szCs w:val="28"/>
                <w:lang w:val="en-US" w:eastAsia="zh-CN"/>
              </w:rPr>
            </w:pPr>
            <w:r>
              <w:rPr>
                <w:rFonts w:hint="eastAsia"/>
                <w:b/>
                <w:bCs/>
                <w:color w:val="auto"/>
                <w:sz w:val="24"/>
                <w:lang w:eastAsia="zh-CN"/>
              </w:rPr>
              <w:t>除杂：</w:t>
            </w:r>
            <w:r>
              <w:rPr>
                <w:rFonts w:hint="eastAsia"/>
                <w:b w:val="0"/>
                <w:bCs w:val="0"/>
                <w:color w:val="auto"/>
                <w:sz w:val="24"/>
                <w:lang w:eastAsia="zh-CN"/>
              </w:rPr>
              <w:t>收运来的餐厨废弃油脂卸入料斗中，随后进入除杂机，物料受机械力的作用与筛面做相对运动，在离心力和摩擦力作用下，液体部分穿过筛孔，进入除杂设备的储料槽；固体杂质则推向排杂口排出。除杂机设备密闭，设有抽风管道，将恶臭引至除臭装置</w:t>
            </w:r>
            <w:r>
              <w:rPr>
                <w:rFonts w:hint="eastAsia"/>
                <w:b w:val="0"/>
                <w:bCs w:val="0"/>
                <w:color w:val="auto"/>
                <w:sz w:val="24"/>
                <w:lang w:val="en-US" w:eastAsia="zh-CN"/>
              </w:rPr>
              <w:t>。过程中会产生恶臭气体G1，主要污染物为硫化氢和氨气</w:t>
            </w:r>
            <w:r>
              <w:rPr>
                <w:rFonts w:hint="eastAsia" w:eastAsia="宋体"/>
                <w:color w:val="auto"/>
                <w:sz w:val="24"/>
                <w:szCs w:val="28"/>
                <w:lang w:val="en-US" w:eastAsia="zh-CN"/>
              </w:rPr>
              <w:t>、臭气浓度。</w:t>
            </w:r>
          </w:p>
          <w:p w14:paraId="0C53409A">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eastAsia="宋体"/>
                <w:color w:val="auto"/>
                <w:sz w:val="24"/>
                <w:szCs w:val="28"/>
                <w:lang w:val="en-US" w:eastAsia="zh-CN"/>
              </w:rPr>
            </w:pPr>
            <w:r>
              <w:rPr>
                <w:rFonts w:hint="eastAsia" w:ascii="Times New Roman" w:hAnsi="Times New Roman" w:eastAsia="宋体" w:cs="Times New Roman"/>
                <w:b/>
                <w:bCs/>
                <w:color w:val="auto"/>
                <w:sz w:val="24"/>
                <w:szCs w:val="24"/>
                <w:highlight w:val="none"/>
                <w:lang w:eastAsia="zh-CN"/>
              </w:rPr>
              <w:t>加热</w:t>
            </w:r>
            <w:r>
              <w:rPr>
                <w:rFonts w:hint="default" w:ascii="Times New Roman" w:hAnsi="Times New Roman" w:eastAsia="宋体" w:cs="Times New Roman"/>
                <w:b/>
                <w:bCs/>
                <w:color w:val="auto"/>
                <w:sz w:val="24"/>
                <w:szCs w:val="24"/>
                <w:highlight w:val="none"/>
              </w:rPr>
              <w:t>：</w:t>
            </w:r>
            <w:r>
              <w:rPr>
                <w:rFonts w:hint="default" w:ascii="Times New Roman" w:hAnsi="Times New Roman" w:eastAsia="宋体" w:cs="Times New Roman"/>
                <w:b w:val="0"/>
                <w:bCs w:val="0"/>
                <w:color w:val="auto"/>
                <w:sz w:val="24"/>
                <w:szCs w:val="24"/>
                <w:highlight w:val="none"/>
              </w:rPr>
              <w:t>物料</w:t>
            </w:r>
            <w:r>
              <w:rPr>
                <w:rFonts w:hint="eastAsia" w:cs="Times New Roman"/>
                <w:b w:val="0"/>
                <w:bCs w:val="0"/>
                <w:color w:val="auto"/>
                <w:sz w:val="24"/>
                <w:szCs w:val="24"/>
                <w:highlight w:val="none"/>
                <w:lang w:eastAsia="zh-CN"/>
              </w:rPr>
              <w:t>通过加热罐进料泵进入到</w:t>
            </w:r>
            <w:r>
              <w:rPr>
                <w:rFonts w:hint="default" w:ascii="Times New Roman" w:hAnsi="Times New Roman" w:eastAsia="宋体" w:cs="Times New Roman"/>
                <w:b w:val="0"/>
                <w:bCs w:val="0"/>
                <w:color w:val="auto"/>
                <w:sz w:val="24"/>
                <w:szCs w:val="24"/>
                <w:highlight w:val="none"/>
              </w:rPr>
              <w:t>加热罐</w:t>
            </w:r>
            <w:r>
              <w:rPr>
                <w:rFonts w:hint="eastAsia" w:cs="Times New Roman"/>
                <w:b w:val="0"/>
                <w:bCs w:val="0"/>
                <w:color w:val="auto"/>
                <w:sz w:val="24"/>
                <w:szCs w:val="24"/>
                <w:highlight w:val="none"/>
                <w:lang w:val="en-US" w:eastAsia="zh-CN"/>
              </w:rPr>
              <w:t>/加热沉降釜</w:t>
            </w:r>
            <w:r>
              <w:rPr>
                <w:rFonts w:hint="default" w:ascii="Times New Roman" w:hAnsi="Times New Roman" w:eastAsia="宋体" w:cs="Times New Roman"/>
                <w:b w:val="0"/>
                <w:bCs w:val="0"/>
                <w:color w:val="auto"/>
                <w:sz w:val="24"/>
                <w:szCs w:val="24"/>
                <w:highlight w:val="none"/>
              </w:rPr>
              <w:t>，在搅拌的状态下，用间接加热方式，</w:t>
            </w:r>
            <w:r>
              <w:rPr>
                <w:rFonts w:hint="eastAsia" w:ascii="Times New Roman" w:hAnsi="Times New Roman" w:eastAsia="宋体" w:cs="Times New Roman"/>
                <w:b w:val="0"/>
                <w:bCs w:val="0"/>
                <w:color w:val="auto"/>
                <w:sz w:val="24"/>
                <w:szCs w:val="24"/>
                <w:highlight w:val="none"/>
                <w:lang w:val="en-US" w:eastAsia="zh-CN"/>
              </w:rPr>
              <w:t>以</w:t>
            </w:r>
            <w:r>
              <w:rPr>
                <w:rFonts w:hint="default" w:ascii="Times New Roman" w:hAnsi="Times New Roman" w:eastAsia="宋体" w:cs="Times New Roman"/>
                <w:b w:val="0"/>
                <w:bCs w:val="0"/>
                <w:color w:val="auto"/>
                <w:sz w:val="24"/>
                <w:szCs w:val="24"/>
                <w:highlight w:val="none"/>
              </w:rPr>
              <w:t>蒸汽为热源，加热到80℃，送入</w:t>
            </w:r>
            <w:r>
              <w:rPr>
                <w:rFonts w:hint="eastAsia" w:ascii="Times New Roman" w:hAnsi="Times New Roman" w:eastAsia="宋体" w:cs="Times New Roman"/>
                <w:b w:val="0"/>
                <w:bCs w:val="0"/>
                <w:color w:val="auto"/>
                <w:sz w:val="24"/>
                <w:szCs w:val="24"/>
                <w:highlight w:val="none"/>
                <w:lang w:val="en-US" w:eastAsia="zh-CN"/>
              </w:rPr>
              <w:t>三相</w:t>
            </w:r>
            <w:r>
              <w:rPr>
                <w:rFonts w:hint="default" w:ascii="Times New Roman" w:hAnsi="Times New Roman" w:eastAsia="宋体" w:cs="Times New Roman"/>
                <w:b w:val="0"/>
                <w:bCs w:val="0"/>
                <w:color w:val="auto"/>
                <w:sz w:val="24"/>
                <w:szCs w:val="24"/>
                <w:highlight w:val="none"/>
              </w:rPr>
              <w:t>离心机。加热罐</w:t>
            </w:r>
            <w:r>
              <w:rPr>
                <w:rFonts w:hint="eastAsia" w:cs="Times New Roman"/>
                <w:b w:val="0"/>
                <w:bCs w:val="0"/>
                <w:color w:val="auto"/>
                <w:sz w:val="24"/>
                <w:szCs w:val="24"/>
                <w:highlight w:val="none"/>
                <w:lang w:val="en-US" w:eastAsia="zh-CN"/>
              </w:rPr>
              <w:t>/加热沉降釜均密闭。设备配有抽风口，</w:t>
            </w:r>
            <w:r>
              <w:rPr>
                <w:rFonts w:hint="eastAsia" w:eastAsia="宋体"/>
                <w:color w:val="auto"/>
                <w:sz w:val="24"/>
                <w:szCs w:val="36"/>
                <w:lang w:val="en-US" w:eastAsia="zh-CN"/>
              </w:rPr>
              <w:t>可将臭气引出进行除臭处理。</w:t>
            </w:r>
            <w:r>
              <w:rPr>
                <w:rFonts w:hint="eastAsia"/>
                <w:color w:val="auto"/>
                <w:sz w:val="24"/>
                <w:szCs w:val="36"/>
                <w:lang w:val="en-US" w:eastAsia="zh-CN"/>
              </w:rPr>
              <w:t>加热过程中</w:t>
            </w:r>
            <w:r>
              <w:rPr>
                <w:rFonts w:hint="eastAsia" w:eastAsia="宋体"/>
                <w:color w:val="auto"/>
                <w:sz w:val="24"/>
                <w:szCs w:val="28"/>
                <w:lang w:val="en-US" w:eastAsia="zh-CN"/>
              </w:rPr>
              <w:t>产生恶臭气体G1</w:t>
            </w:r>
            <w:r>
              <w:rPr>
                <w:rFonts w:hint="eastAsia"/>
                <w:color w:val="auto"/>
                <w:sz w:val="24"/>
                <w:szCs w:val="28"/>
                <w:lang w:val="en-US" w:eastAsia="zh-CN"/>
              </w:rPr>
              <w:t>（</w:t>
            </w:r>
            <w:r>
              <w:rPr>
                <w:rFonts w:hint="eastAsia" w:eastAsia="宋体"/>
                <w:color w:val="auto"/>
                <w:sz w:val="24"/>
                <w:szCs w:val="28"/>
                <w:lang w:val="en-US" w:eastAsia="zh-CN"/>
              </w:rPr>
              <w:t>硫化氢和氨气、臭气浓度</w:t>
            </w:r>
            <w:r>
              <w:rPr>
                <w:rFonts w:hint="eastAsia"/>
                <w:color w:val="auto"/>
                <w:sz w:val="24"/>
                <w:szCs w:val="28"/>
                <w:lang w:val="en-US" w:eastAsia="zh-CN"/>
              </w:rPr>
              <w:t>）、非甲烷总烃G2</w:t>
            </w:r>
            <w:r>
              <w:rPr>
                <w:rFonts w:hint="eastAsia" w:eastAsia="宋体"/>
                <w:color w:val="auto"/>
                <w:sz w:val="24"/>
                <w:szCs w:val="28"/>
                <w:lang w:val="en-US" w:eastAsia="zh-CN"/>
              </w:rPr>
              <w:t>。</w:t>
            </w:r>
          </w:p>
          <w:p w14:paraId="4E548764">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eastAsia="宋体"/>
                <w:color w:val="auto"/>
                <w:sz w:val="24"/>
                <w:szCs w:val="28"/>
                <w:lang w:val="en-US" w:eastAsia="zh-CN"/>
              </w:rPr>
            </w:pPr>
            <w:r>
              <w:rPr>
                <w:rFonts w:hint="eastAsia" w:ascii="Times New Roman" w:hAnsi="Times New Roman" w:eastAsia="宋体" w:cs="Times New Roman"/>
                <w:b/>
                <w:bCs/>
                <w:color w:val="auto"/>
                <w:sz w:val="24"/>
                <w:szCs w:val="24"/>
                <w:highlight w:val="none"/>
                <w:lang w:eastAsia="zh-CN"/>
              </w:rPr>
              <w:t>三</w:t>
            </w:r>
            <w:r>
              <w:rPr>
                <w:rFonts w:hint="eastAsia" w:ascii="Times New Roman" w:hAnsi="Times New Roman" w:eastAsia="宋体" w:cs="Times New Roman"/>
                <w:b/>
                <w:bCs/>
                <w:color w:val="auto"/>
                <w:sz w:val="24"/>
                <w:szCs w:val="24"/>
                <w:highlight w:val="none"/>
                <w:lang w:val="en-US" w:eastAsia="zh-CN"/>
              </w:rPr>
              <w:t>相离心</w:t>
            </w:r>
            <w:r>
              <w:rPr>
                <w:rFonts w:hint="default" w:ascii="Times New Roman" w:hAnsi="Times New Roman" w:eastAsia="宋体" w:cs="Times New Roman"/>
                <w:b/>
                <w:bCs/>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物料</w:t>
            </w:r>
            <w:r>
              <w:rPr>
                <w:rFonts w:hint="eastAsia" w:ascii="Times New Roman" w:hAnsi="Times New Roman" w:eastAsia="宋体" w:cs="Times New Roman"/>
                <w:b w:val="0"/>
                <w:bCs w:val="0"/>
                <w:color w:val="auto"/>
                <w:sz w:val="24"/>
                <w:szCs w:val="24"/>
                <w:highlight w:val="none"/>
                <w:lang w:val="en-US" w:eastAsia="zh-CN"/>
              </w:rPr>
              <w:t>通过离心机进料泵将物料</w:t>
            </w:r>
            <w:r>
              <w:rPr>
                <w:rFonts w:hint="default" w:ascii="Times New Roman" w:hAnsi="Times New Roman" w:eastAsia="宋体" w:cs="Times New Roman"/>
                <w:b w:val="0"/>
                <w:bCs w:val="0"/>
                <w:color w:val="auto"/>
                <w:sz w:val="24"/>
                <w:szCs w:val="24"/>
                <w:highlight w:val="none"/>
                <w:lang w:val="en-US" w:eastAsia="zh-CN"/>
              </w:rPr>
              <w:t>送入三相离心机，在离心力的作用下把物料分为液相</w:t>
            </w:r>
            <w:r>
              <w:rPr>
                <w:rFonts w:hint="eastAsia" w:ascii="Times New Roman" w:hAnsi="Times New Roman" w:eastAsia="宋体" w:cs="Times New Roman"/>
                <w:b w:val="0"/>
                <w:bCs w:val="0"/>
                <w:color w:val="auto"/>
                <w:sz w:val="24"/>
                <w:szCs w:val="24"/>
                <w:highlight w:val="none"/>
                <w:lang w:val="en-US" w:eastAsia="zh-CN"/>
              </w:rPr>
              <w:t>（废水）、</w:t>
            </w:r>
            <w:r>
              <w:rPr>
                <w:rFonts w:hint="default" w:ascii="Times New Roman" w:hAnsi="Times New Roman" w:eastAsia="宋体" w:cs="Times New Roman"/>
                <w:b w:val="0"/>
                <w:bCs w:val="0"/>
                <w:color w:val="auto"/>
                <w:sz w:val="24"/>
                <w:szCs w:val="24"/>
                <w:highlight w:val="none"/>
                <w:lang w:val="en-US" w:eastAsia="zh-CN"/>
              </w:rPr>
              <w:t>固相</w:t>
            </w:r>
            <w:r>
              <w:rPr>
                <w:rFonts w:hint="eastAsia" w:ascii="Times New Roman" w:hAnsi="Times New Roman" w:eastAsia="宋体" w:cs="Times New Roman"/>
                <w:b w:val="0"/>
                <w:bCs w:val="0"/>
                <w:color w:val="auto"/>
                <w:sz w:val="24"/>
                <w:szCs w:val="24"/>
                <w:highlight w:val="none"/>
                <w:lang w:val="en-US" w:eastAsia="zh-CN"/>
              </w:rPr>
              <w:t>（固渣）</w:t>
            </w:r>
            <w:r>
              <w:rPr>
                <w:rFonts w:hint="default" w:ascii="Times New Roman" w:hAnsi="Times New Roman" w:eastAsia="宋体" w:cs="Times New Roman"/>
                <w:b w:val="0"/>
                <w:bCs w:val="0"/>
                <w:color w:val="auto"/>
                <w:sz w:val="24"/>
                <w:szCs w:val="24"/>
                <w:highlight w:val="none"/>
                <w:lang w:val="en-US" w:eastAsia="zh-CN"/>
              </w:rPr>
              <w:t>和油</w:t>
            </w:r>
            <w:r>
              <w:rPr>
                <w:rFonts w:hint="eastAsia" w:ascii="Times New Roman" w:hAnsi="Times New Roman" w:eastAsia="宋体" w:cs="Times New Roman"/>
                <w:b w:val="0"/>
                <w:bCs w:val="0"/>
                <w:color w:val="auto"/>
                <w:sz w:val="24"/>
                <w:szCs w:val="24"/>
                <w:highlight w:val="none"/>
                <w:lang w:val="en-US" w:eastAsia="zh-CN"/>
              </w:rPr>
              <w:t>相（产品废弃油脂）</w:t>
            </w:r>
            <w:r>
              <w:rPr>
                <w:rFonts w:hint="default" w:ascii="Times New Roman" w:hAnsi="Times New Roman" w:eastAsia="宋体" w:cs="Times New Roman"/>
                <w:b w:val="0"/>
                <w:bCs w:val="0"/>
                <w:color w:val="auto"/>
                <w:sz w:val="24"/>
                <w:szCs w:val="24"/>
                <w:highlight w:val="none"/>
                <w:lang w:val="en-US" w:eastAsia="zh-CN"/>
              </w:rPr>
              <w:t>三部分，</w:t>
            </w:r>
            <w:r>
              <w:rPr>
                <w:rFonts w:hint="eastAsia" w:ascii="Times New Roman" w:hAnsi="Times New Roman" w:eastAsia="宋体" w:cs="Times New Roman"/>
                <w:b w:val="0"/>
                <w:bCs w:val="0"/>
                <w:color w:val="auto"/>
                <w:sz w:val="24"/>
                <w:szCs w:val="24"/>
                <w:highlight w:val="none"/>
                <w:lang w:val="en-US" w:eastAsia="zh-CN"/>
              </w:rPr>
              <w:t>固渣通过三相离心出渣螺旋进入到</w:t>
            </w:r>
            <w:r>
              <w:rPr>
                <w:rFonts w:hint="eastAsia" w:cs="Times New Roman"/>
                <w:b w:val="0"/>
                <w:bCs w:val="0"/>
                <w:color w:val="auto"/>
                <w:sz w:val="24"/>
                <w:szCs w:val="24"/>
                <w:highlight w:val="none"/>
                <w:lang w:val="en-US" w:eastAsia="zh-CN"/>
              </w:rPr>
              <w:t>移动式出渣箱</w:t>
            </w:r>
            <w:r>
              <w:rPr>
                <w:rFonts w:hint="eastAsia" w:ascii="Times New Roman" w:hAnsi="Times New Roman" w:eastAsia="宋体" w:cs="Times New Roman"/>
                <w:b w:val="0"/>
                <w:bCs w:val="0"/>
                <w:color w:val="auto"/>
                <w:sz w:val="24"/>
                <w:szCs w:val="24"/>
                <w:highlight w:val="none"/>
                <w:lang w:val="en-US" w:eastAsia="zh-CN"/>
              </w:rPr>
              <w:t>随后统一车辆外运处理</w:t>
            </w:r>
            <w:r>
              <w:rPr>
                <w:rFonts w:hint="default" w:ascii="Times New Roman" w:hAnsi="Times New Roman" w:eastAsia="宋体" w:cs="Times New Roman"/>
                <w:b w:val="0"/>
                <w:bCs w:val="0"/>
                <w:color w:val="auto"/>
                <w:sz w:val="24"/>
                <w:szCs w:val="24"/>
                <w:highlight w:val="none"/>
                <w:lang w:val="en-US" w:eastAsia="zh-CN"/>
              </w:rPr>
              <w:t>；油</w:t>
            </w:r>
            <w:r>
              <w:rPr>
                <w:rFonts w:hint="eastAsia" w:ascii="Times New Roman" w:hAnsi="Times New Roman" w:eastAsia="宋体" w:cs="Times New Roman"/>
                <w:b w:val="0"/>
                <w:bCs w:val="0"/>
                <w:color w:val="auto"/>
                <w:sz w:val="24"/>
                <w:szCs w:val="24"/>
                <w:highlight w:val="none"/>
                <w:lang w:val="en-US" w:eastAsia="zh-CN"/>
              </w:rPr>
              <w:t>相通过计量罐称量后进入到中间沉降罐进行沉降分离；水相</w:t>
            </w:r>
            <w:r>
              <w:rPr>
                <w:rFonts w:hint="eastAsia" w:cs="Times New Roman"/>
                <w:b w:val="0"/>
                <w:bCs w:val="0"/>
                <w:color w:val="auto"/>
                <w:sz w:val="24"/>
                <w:szCs w:val="24"/>
                <w:highlight w:val="none"/>
                <w:lang w:val="en-US" w:eastAsia="zh-CN"/>
              </w:rPr>
              <w:t>进入到水缓存罐，随后进入到排水罐，最后</w:t>
            </w:r>
            <w:r>
              <w:rPr>
                <w:rFonts w:hint="eastAsia" w:ascii="Times New Roman" w:hAnsi="Times New Roman" w:eastAsia="宋体" w:cs="Times New Roman"/>
                <w:b w:val="0"/>
                <w:bCs w:val="0"/>
                <w:color w:val="auto"/>
                <w:sz w:val="24"/>
                <w:szCs w:val="24"/>
                <w:highlight w:val="none"/>
                <w:lang w:val="en-US" w:eastAsia="zh-CN"/>
              </w:rPr>
              <w:t>通过管道</w:t>
            </w:r>
            <w:r>
              <w:rPr>
                <w:rFonts w:hint="eastAsia" w:cs="Times New Roman"/>
                <w:b w:val="0"/>
                <w:bCs w:val="0"/>
                <w:color w:val="auto"/>
                <w:sz w:val="24"/>
                <w:szCs w:val="24"/>
                <w:highlight w:val="none"/>
                <w:lang w:val="en-US" w:eastAsia="zh-CN"/>
              </w:rPr>
              <w:t>输送</w:t>
            </w:r>
            <w:r>
              <w:rPr>
                <w:rFonts w:hint="eastAsia" w:ascii="Times New Roman" w:hAnsi="Times New Roman" w:eastAsia="宋体" w:cs="Times New Roman"/>
                <w:b w:val="0"/>
                <w:bCs w:val="0"/>
                <w:color w:val="auto"/>
                <w:sz w:val="24"/>
                <w:szCs w:val="24"/>
                <w:highlight w:val="none"/>
                <w:lang w:val="en-US" w:eastAsia="zh-CN"/>
              </w:rPr>
              <w:t>至厂区暂存废水的2个200m³的储罐。</w:t>
            </w:r>
            <w:r>
              <w:rPr>
                <w:rFonts w:hint="eastAsia" w:cs="Times New Roman"/>
                <w:b w:val="0"/>
                <w:bCs w:val="0"/>
                <w:color w:val="auto"/>
                <w:sz w:val="24"/>
                <w:szCs w:val="24"/>
                <w:highlight w:val="none"/>
                <w:lang w:val="en-US" w:eastAsia="zh-CN"/>
              </w:rPr>
              <w:t>三相</w:t>
            </w:r>
            <w:r>
              <w:rPr>
                <w:rFonts w:hint="eastAsia" w:ascii="Times New Roman" w:hAnsi="Times New Roman" w:eastAsia="宋体" w:cs="Times New Roman"/>
                <w:b w:val="0"/>
                <w:bCs w:val="0"/>
                <w:color w:val="auto"/>
                <w:sz w:val="24"/>
                <w:szCs w:val="24"/>
                <w:highlight w:val="none"/>
                <w:lang w:val="en-US" w:eastAsia="zh-CN"/>
              </w:rPr>
              <w:t>离心机设备、三相离心机出渣螺旋等设备密闭，设有抽风口，将恶臭引至除臭装置。过程中会产生恶臭气体G1（硫化氢和氨气、臭气浓度）、非甲烷总烃G2。</w:t>
            </w:r>
          </w:p>
          <w:p w14:paraId="570F4E57">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沉降分离</w:t>
            </w:r>
            <w:r>
              <w:rPr>
                <w:rFonts w:hint="eastAsia" w:ascii="Times New Roman" w:hAnsi="Times New Roman" w:eastAsia="宋体" w:cs="Times New Roman"/>
                <w:color w:val="auto"/>
                <w:sz w:val="24"/>
                <w:szCs w:val="24"/>
                <w:highlight w:val="none"/>
                <w:lang w:val="en-US" w:eastAsia="zh-CN"/>
              </w:rPr>
              <w:t>：三相分离后的油相</w:t>
            </w:r>
            <w:r>
              <w:rPr>
                <w:rFonts w:hint="eastAsia" w:cs="Times New Roman"/>
                <w:color w:val="auto"/>
                <w:sz w:val="24"/>
                <w:szCs w:val="24"/>
                <w:highlight w:val="none"/>
                <w:lang w:val="en-US" w:eastAsia="zh-CN"/>
              </w:rPr>
              <w:t>和卸料烘热后的老油通过沉降罐进料</w:t>
            </w:r>
            <w:r>
              <w:rPr>
                <w:rFonts w:hint="eastAsia" w:ascii="Times New Roman" w:hAnsi="Times New Roman" w:eastAsia="宋体" w:cs="Times New Roman"/>
                <w:b w:val="0"/>
                <w:bCs w:val="0"/>
                <w:color w:val="auto"/>
                <w:sz w:val="24"/>
                <w:szCs w:val="24"/>
                <w:highlight w:val="none"/>
                <w:lang w:val="en-US" w:eastAsia="zh-CN"/>
              </w:rPr>
              <w:t>泵进入中间沉降罐，静置分层后，排出底部水杂，进入到厂区</w:t>
            </w:r>
            <w:r>
              <w:rPr>
                <w:rFonts w:hint="eastAsia" w:cs="Times New Roman"/>
                <w:b w:val="0"/>
                <w:bCs w:val="0"/>
                <w:color w:val="auto"/>
                <w:sz w:val="24"/>
                <w:szCs w:val="24"/>
                <w:highlight w:val="none"/>
                <w:lang w:val="en-US" w:eastAsia="zh-CN"/>
              </w:rPr>
              <w:t>排水罐</w:t>
            </w:r>
            <w:r>
              <w:rPr>
                <w:rFonts w:hint="eastAsia" w:ascii="Times New Roman" w:hAnsi="Times New Roman" w:eastAsia="宋体" w:cs="Times New Roman"/>
                <w:b w:val="0"/>
                <w:bCs w:val="0"/>
                <w:color w:val="auto"/>
                <w:sz w:val="24"/>
                <w:szCs w:val="24"/>
                <w:highlight w:val="none"/>
                <w:lang w:val="en-US" w:eastAsia="zh-CN"/>
              </w:rPr>
              <w:t>中，</w:t>
            </w:r>
            <w:r>
              <w:rPr>
                <w:rFonts w:hint="eastAsia" w:ascii="Times New Roman" w:hAnsi="Times New Roman" w:eastAsia="宋体" w:cs="Times New Roman"/>
                <w:color w:val="auto"/>
                <w:sz w:val="24"/>
                <w:szCs w:val="24"/>
                <w:highlight w:val="none"/>
                <w:lang w:val="en-US" w:eastAsia="zh-CN"/>
              </w:rPr>
              <w:t>上层油脂即为餐厨废油产品</w:t>
            </w:r>
            <w:r>
              <w:rPr>
                <w:rFonts w:hint="eastAsia" w:cs="Times New Roman"/>
                <w:color w:val="auto"/>
                <w:sz w:val="24"/>
                <w:szCs w:val="24"/>
                <w:highlight w:val="none"/>
                <w:lang w:val="en-US" w:eastAsia="zh-CN"/>
              </w:rPr>
              <w:t>。</w:t>
            </w:r>
            <w:r>
              <w:rPr>
                <w:rFonts w:hint="eastAsia" w:ascii="Times New Roman" w:hAnsi="Times New Roman" w:eastAsia="宋体" w:cs="Times New Roman"/>
                <w:b w:val="0"/>
                <w:bCs w:val="0"/>
                <w:color w:val="auto"/>
                <w:sz w:val="24"/>
                <w:szCs w:val="24"/>
                <w:highlight w:val="none"/>
                <w:lang w:val="en-US" w:eastAsia="zh-CN"/>
              </w:rPr>
              <w:t>沉降罐设备密闭，设有抽风口，</w:t>
            </w:r>
            <w:r>
              <w:rPr>
                <w:rFonts w:hint="eastAsia" w:cs="Times New Roman"/>
                <w:color w:val="auto"/>
                <w:sz w:val="24"/>
                <w:szCs w:val="24"/>
                <w:highlight w:val="none"/>
                <w:lang w:val="en-US" w:eastAsia="zh-CN"/>
              </w:rPr>
              <w:t>将恶臭引至除臭装置。</w:t>
            </w:r>
            <w:r>
              <w:rPr>
                <w:rFonts w:hint="eastAsia" w:ascii="Times New Roman" w:hAnsi="Times New Roman" w:eastAsia="宋体" w:cs="Times New Roman"/>
                <w:b w:val="0"/>
                <w:bCs w:val="0"/>
                <w:color w:val="auto"/>
                <w:sz w:val="24"/>
                <w:szCs w:val="24"/>
                <w:highlight w:val="none"/>
                <w:lang w:val="en-US" w:eastAsia="zh-CN"/>
              </w:rPr>
              <w:t>过程中会产生恶臭气体G1，主要污染物为硫化氢和氨气、臭气浓度。</w:t>
            </w:r>
          </w:p>
          <w:p w14:paraId="77B23BC2">
            <w:pPr>
              <w:pStyle w:val="2"/>
              <w:jc w:val="left"/>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物料平衡：</w:t>
            </w:r>
          </w:p>
          <w:p w14:paraId="24D85CF8">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default" w:ascii="宋体" w:hAnsi="宋体" w:eastAsia="宋体" w:cs="宋体"/>
                <w:b/>
                <w:bCs/>
                <w:color w:val="auto"/>
                <w:spacing w:val="2"/>
                <w:sz w:val="21"/>
                <w:szCs w:val="21"/>
                <w:lang w:val="en-US" w:eastAsia="zh-CN"/>
              </w:rPr>
            </w:pPr>
            <w:r>
              <w:rPr>
                <w:rFonts w:hint="eastAsia" w:ascii="宋体" w:hAnsi="宋体" w:eastAsia="宋体" w:cs="宋体"/>
                <w:b/>
                <w:bCs/>
                <w:color w:val="auto"/>
                <w:spacing w:val="2"/>
                <w:sz w:val="21"/>
                <w:szCs w:val="21"/>
                <w:lang w:val="en-US" w:eastAsia="zh-CN"/>
              </w:rPr>
              <w:t>表2-1</w:t>
            </w:r>
            <w:r>
              <w:rPr>
                <w:rFonts w:hint="eastAsia" w:ascii="宋体" w:hAnsi="宋体" w:cs="宋体"/>
                <w:b/>
                <w:bCs/>
                <w:color w:val="auto"/>
                <w:spacing w:val="2"/>
                <w:sz w:val="21"/>
                <w:szCs w:val="21"/>
                <w:lang w:val="en-US" w:eastAsia="zh-CN"/>
              </w:rPr>
              <w:t>1</w:t>
            </w:r>
            <w:r>
              <w:rPr>
                <w:rFonts w:hint="eastAsia" w:ascii="宋体" w:hAnsi="宋体" w:eastAsia="宋体" w:cs="宋体"/>
                <w:b/>
                <w:bCs/>
                <w:color w:val="auto"/>
                <w:spacing w:val="2"/>
                <w:sz w:val="21"/>
                <w:szCs w:val="21"/>
                <w:lang w:val="en-US" w:eastAsia="zh-CN"/>
              </w:rPr>
              <w:t xml:space="preserve"> 餐厨废油初加工物料平衡表  </w:t>
            </w:r>
          </w:p>
          <w:tbl>
            <w:tblPr>
              <w:tblStyle w:val="28"/>
              <w:tblW w:w="8461"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0" w:type="dxa"/>
                <w:bottom w:w="0" w:type="dxa"/>
                <w:right w:w="0" w:type="dxa"/>
              </w:tblCellMar>
            </w:tblPr>
            <w:tblGrid>
              <w:gridCol w:w="2103"/>
              <w:gridCol w:w="1742"/>
              <w:gridCol w:w="2840"/>
              <w:gridCol w:w="1776"/>
            </w:tblGrid>
            <w:tr w14:paraId="4933C42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90" w:hRule="atLeast"/>
                <w:jc w:val="center"/>
              </w:trPr>
              <w:tc>
                <w:tcPr>
                  <w:tcW w:w="2272" w:type="pct"/>
                  <w:gridSpan w:val="2"/>
                  <w:tcBorders>
                    <w:bottom w:val="single" w:color="000000" w:sz="4" w:space="0"/>
                    <w:right w:val="single" w:color="000000" w:sz="4" w:space="0"/>
                  </w:tcBorders>
                  <w:noWrap w:val="0"/>
                  <w:vAlign w:val="center"/>
                </w:tcPr>
                <w:p w14:paraId="1FC05089">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b/>
                      <w:bCs/>
                      <w:color w:val="auto"/>
                      <w:spacing w:val="2"/>
                      <w:sz w:val="21"/>
                      <w:szCs w:val="21"/>
                    </w:rPr>
                    <w:t>投</w:t>
                  </w:r>
                  <w:r>
                    <w:rPr>
                      <w:rFonts w:hint="eastAsia" w:ascii="宋体" w:hAnsi="宋体" w:eastAsia="宋体" w:cs="宋体"/>
                      <w:b/>
                      <w:bCs/>
                      <w:color w:val="auto"/>
                      <w:sz w:val="21"/>
                      <w:szCs w:val="21"/>
                    </w:rPr>
                    <w:t>入</w:t>
                  </w:r>
                </w:p>
              </w:tc>
              <w:tc>
                <w:tcPr>
                  <w:tcW w:w="2727" w:type="pct"/>
                  <w:gridSpan w:val="2"/>
                  <w:tcBorders>
                    <w:left w:val="single" w:color="000000" w:sz="4" w:space="0"/>
                    <w:bottom w:val="single" w:color="000000" w:sz="4" w:space="0"/>
                  </w:tcBorders>
                  <w:noWrap w:val="0"/>
                  <w:vAlign w:val="center"/>
                </w:tcPr>
                <w:p w14:paraId="290BC9F1">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b/>
                      <w:bCs/>
                      <w:color w:val="auto"/>
                      <w:spacing w:val="2"/>
                      <w:sz w:val="21"/>
                      <w:szCs w:val="21"/>
                    </w:rPr>
                    <w:t>产</w:t>
                  </w:r>
                  <w:r>
                    <w:rPr>
                      <w:rFonts w:hint="eastAsia" w:ascii="宋体" w:hAnsi="宋体" w:eastAsia="宋体" w:cs="宋体"/>
                      <w:b/>
                      <w:bCs/>
                      <w:color w:val="auto"/>
                      <w:sz w:val="21"/>
                      <w:szCs w:val="21"/>
                    </w:rPr>
                    <w:t>出</w:t>
                  </w:r>
                </w:p>
              </w:tc>
            </w:tr>
            <w:tr w14:paraId="674568B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23" w:hRule="atLeast"/>
                <w:jc w:val="center"/>
              </w:trPr>
              <w:tc>
                <w:tcPr>
                  <w:tcW w:w="1242" w:type="pct"/>
                  <w:tcBorders>
                    <w:top w:val="single" w:color="000000" w:sz="4" w:space="0"/>
                    <w:bottom w:val="single" w:color="auto" w:sz="4" w:space="0"/>
                    <w:right w:val="single" w:color="000000" w:sz="4" w:space="0"/>
                  </w:tcBorders>
                  <w:noWrap w:val="0"/>
                  <w:vAlign w:val="center"/>
                </w:tcPr>
                <w:p w14:paraId="531F957A">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b/>
                      <w:bCs/>
                      <w:color w:val="auto"/>
                      <w:spacing w:val="1"/>
                      <w:sz w:val="21"/>
                      <w:szCs w:val="21"/>
                    </w:rPr>
                    <w:t>原料名称</w:t>
                  </w:r>
                </w:p>
              </w:tc>
              <w:tc>
                <w:tcPr>
                  <w:tcW w:w="1029" w:type="pct"/>
                  <w:tcBorders>
                    <w:top w:val="single" w:color="000000" w:sz="4" w:space="0"/>
                    <w:left w:val="single" w:color="000000" w:sz="4" w:space="0"/>
                    <w:bottom w:val="single" w:color="auto" w:sz="4" w:space="0"/>
                    <w:right w:val="single" w:color="000000" w:sz="4" w:space="0"/>
                  </w:tcBorders>
                  <w:noWrap w:val="0"/>
                  <w:vAlign w:val="center"/>
                </w:tcPr>
                <w:p w14:paraId="004598FC">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rPr>
                    <w:t>数量（t/</w:t>
                  </w:r>
                  <w:r>
                    <w:rPr>
                      <w:rFonts w:hint="eastAsia" w:ascii="宋体" w:hAnsi="宋体" w:cs="宋体"/>
                      <w:b/>
                      <w:bCs/>
                      <w:color w:val="auto"/>
                      <w:sz w:val="21"/>
                      <w:szCs w:val="21"/>
                      <w:lang w:val="en-US" w:eastAsia="zh-CN"/>
                    </w:rPr>
                    <w:t>a</w:t>
                  </w:r>
                  <w:r>
                    <w:rPr>
                      <w:rFonts w:hint="eastAsia" w:ascii="宋体" w:hAnsi="宋体" w:eastAsia="宋体" w:cs="宋体"/>
                      <w:b/>
                      <w:bCs/>
                      <w:color w:val="auto"/>
                      <w:sz w:val="21"/>
                      <w:szCs w:val="21"/>
                    </w:rPr>
                    <w:t>）</w:t>
                  </w:r>
                </w:p>
              </w:tc>
              <w:tc>
                <w:tcPr>
                  <w:tcW w:w="1678" w:type="pct"/>
                  <w:tcBorders>
                    <w:top w:val="single" w:color="000000" w:sz="4" w:space="0"/>
                    <w:left w:val="single" w:color="000000" w:sz="4" w:space="0"/>
                    <w:bottom w:val="single" w:color="000000" w:sz="4" w:space="0"/>
                    <w:right w:val="single" w:color="000000" w:sz="4" w:space="0"/>
                  </w:tcBorders>
                  <w:noWrap w:val="0"/>
                  <w:vAlign w:val="center"/>
                </w:tcPr>
                <w:p w14:paraId="14F622EC">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b/>
                      <w:bCs/>
                      <w:color w:val="auto"/>
                      <w:spacing w:val="1"/>
                      <w:sz w:val="21"/>
                      <w:szCs w:val="21"/>
                    </w:rPr>
                    <w:t>产出物</w:t>
                  </w:r>
                </w:p>
              </w:tc>
              <w:tc>
                <w:tcPr>
                  <w:tcW w:w="1049" w:type="pct"/>
                  <w:tcBorders>
                    <w:top w:val="single" w:color="000000" w:sz="4" w:space="0"/>
                    <w:left w:val="single" w:color="000000" w:sz="4" w:space="0"/>
                    <w:bottom w:val="single" w:color="000000" w:sz="4" w:space="0"/>
                  </w:tcBorders>
                  <w:noWrap w:val="0"/>
                  <w:vAlign w:val="center"/>
                </w:tcPr>
                <w:p w14:paraId="17D93891">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rPr>
                    <w:t>数量（t/</w:t>
                  </w:r>
                  <w:r>
                    <w:rPr>
                      <w:rFonts w:hint="eastAsia" w:ascii="宋体" w:hAnsi="宋体" w:cs="宋体"/>
                      <w:b/>
                      <w:bCs/>
                      <w:color w:val="auto"/>
                      <w:sz w:val="21"/>
                      <w:szCs w:val="21"/>
                      <w:lang w:val="en-US" w:eastAsia="zh-CN"/>
                    </w:rPr>
                    <w:t>a</w:t>
                  </w:r>
                  <w:r>
                    <w:rPr>
                      <w:rFonts w:hint="eastAsia" w:ascii="宋体" w:hAnsi="宋体" w:eastAsia="宋体" w:cs="宋体"/>
                      <w:b/>
                      <w:bCs/>
                      <w:color w:val="auto"/>
                      <w:sz w:val="21"/>
                      <w:szCs w:val="21"/>
                    </w:rPr>
                    <w:t>）</w:t>
                  </w:r>
                </w:p>
              </w:tc>
            </w:tr>
            <w:tr w14:paraId="6341CDF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90" w:hRule="atLeast"/>
                <w:jc w:val="center"/>
              </w:trPr>
              <w:tc>
                <w:tcPr>
                  <w:tcW w:w="1242" w:type="pct"/>
                  <w:tcBorders>
                    <w:top w:val="single" w:color="auto" w:sz="4" w:space="0"/>
                    <w:bottom w:val="single" w:color="auto" w:sz="4" w:space="0"/>
                    <w:right w:val="single" w:color="auto" w:sz="4" w:space="0"/>
                  </w:tcBorders>
                  <w:noWrap w:val="0"/>
                  <w:vAlign w:val="center"/>
                </w:tcPr>
                <w:p w14:paraId="65354468">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餐厨</w:t>
                  </w:r>
                  <w:r>
                    <w:rPr>
                      <w:rFonts w:hint="eastAsia" w:ascii="宋体" w:hAnsi="宋体" w:cs="宋体"/>
                      <w:color w:val="auto"/>
                      <w:sz w:val="21"/>
                      <w:szCs w:val="21"/>
                      <w:lang w:eastAsia="zh-CN"/>
                    </w:rPr>
                    <w:t>废弃油脂（含老油</w:t>
                  </w:r>
                  <w:r>
                    <w:rPr>
                      <w:rFonts w:hint="eastAsia" w:ascii="宋体" w:hAnsi="宋体" w:cs="宋体"/>
                      <w:color w:val="auto"/>
                      <w:sz w:val="21"/>
                      <w:szCs w:val="21"/>
                      <w:lang w:val="en-US" w:eastAsia="zh-CN"/>
                    </w:rPr>
                    <w:t>660</w:t>
                  </w:r>
                  <w:r>
                    <w:rPr>
                      <w:rFonts w:hint="eastAsia" w:ascii="宋体" w:hAnsi="宋体" w:cs="宋体"/>
                      <w:color w:val="auto"/>
                      <w:sz w:val="21"/>
                      <w:szCs w:val="21"/>
                      <w:lang w:eastAsia="zh-CN"/>
                    </w:rPr>
                    <w:t>）</w:t>
                  </w:r>
                </w:p>
              </w:tc>
              <w:tc>
                <w:tcPr>
                  <w:tcW w:w="1029" w:type="pct"/>
                  <w:tcBorders>
                    <w:top w:val="single" w:color="auto" w:sz="4" w:space="0"/>
                    <w:left w:val="single" w:color="auto" w:sz="4" w:space="0"/>
                    <w:bottom w:val="single" w:color="auto" w:sz="4" w:space="0"/>
                    <w:right w:val="single" w:color="auto" w:sz="4" w:space="0"/>
                  </w:tcBorders>
                  <w:noWrap w:val="0"/>
                  <w:vAlign w:val="center"/>
                </w:tcPr>
                <w:p w14:paraId="0C4CA2CB">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12000</w:t>
                  </w:r>
                </w:p>
              </w:tc>
              <w:tc>
                <w:tcPr>
                  <w:tcW w:w="1678" w:type="pct"/>
                  <w:tcBorders>
                    <w:top w:val="single" w:color="000000" w:sz="4" w:space="0"/>
                    <w:left w:val="single" w:color="auto" w:sz="4" w:space="0"/>
                    <w:bottom w:val="single" w:color="000000" w:sz="4" w:space="0"/>
                    <w:right w:val="single" w:color="000000" w:sz="4" w:space="0"/>
                  </w:tcBorders>
                  <w:noWrap w:val="0"/>
                  <w:vAlign w:val="center"/>
                </w:tcPr>
                <w:p w14:paraId="0658A691">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废弃产品油脂</w:t>
                  </w:r>
                </w:p>
              </w:tc>
              <w:tc>
                <w:tcPr>
                  <w:tcW w:w="1049" w:type="pct"/>
                  <w:tcBorders>
                    <w:top w:val="single" w:color="000000" w:sz="4" w:space="0"/>
                    <w:left w:val="single" w:color="000000" w:sz="4" w:space="0"/>
                    <w:bottom w:val="single" w:color="000000" w:sz="4" w:space="0"/>
                  </w:tcBorders>
                  <w:noWrap w:val="0"/>
                  <w:vAlign w:val="center"/>
                </w:tcPr>
                <w:p w14:paraId="4BAADD82">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7356.48</w:t>
                  </w:r>
                </w:p>
              </w:tc>
            </w:tr>
            <w:tr w14:paraId="675D17B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23" w:hRule="atLeast"/>
                <w:jc w:val="center"/>
              </w:trPr>
              <w:tc>
                <w:tcPr>
                  <w:tcW w:w="1242" w:type="pct"/>
                  <w:tcBorders>
                    <w:top w:val="single" w:color="auto" w:sz="4" w:space="0"/>
                    <w:left w:val="single" w:color="auto" w:sz="4" w:space="0"/>
                    <w:bottom w:val="single" w:color="auto" w:sz="4" w:space="0"/>
                    <w:right w:val="single" w:color="auto" w:sz="4" w:space="0"/>
                  </w:tcBorders>
                  <w:noWrap w:val="0"/>
                  <w:vAlign w:val="center"/>
                </w:tcPr>
                <w:p w14:paraId="5A43F321">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蒸汽</w:t>
                  </w:r>
                </w:p>
              </w:tc>
              <w:tc>
                <w:tcPr>
                  <w:tcW w:w="1029" w:type="pct"/>
                  <w:tcBorders>
                    <w:top w:val="single" w:color="auto" w:sz="4" w:space="0"/>
                    <w:left w:val="single" w:color="auto" w:sz="4" w:space="0"/>
                    <w:bottom w:val="single" w:color="auto" w:sz="4" w:space="0"/>
                    <w:right w:val="single" w:color="auto" w:sz="4" w:space="0"/>
                  </w:tcBorders>
                  <w:noWrap w:val="0"/>
                  <w:vAlign w:val="center"/>
                </w:tcPr>
                <w:p w14:paraId="00A64E5D">
                  <w:pPr>
                    <w:pStyle w:val="79"/>
                    <w:keepNext w:val="0"/>
                    <w:keepLines w:val="0"/>
                    <w:pageBreakBefore w:val="0"/>
                    <w:widowControl/>
                    <w:kinsoku/>
                    <w:wordWrap/>
                    <w:overflowPunct/>
                    <w:topLinePunct w:val="0"/>
                    <w:autoSpaceDE/>
                    <w:autoSpaceDN/>
                    <w:bidi w:val="0"/>
                    <w:adjustRightInd/>
                    <w:snapToGrid/>
                    <w:spacing w:before="21"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708.96</w:t>
                  </w:r>
                </w:p>
              </w:tc>
              <w:tc>
                <w:tcPr>
                  <w:tcW w:w="1678" w:type="pct"/>
                  <w:tcBorders>
                    <w:top w:val="single" w:color="000000" w:sz="4" w:space="0"/>
                    <w:left w:val="single" w:color="auto" w:sz="4" w:space="0"/>
                    <w:bottom w:val="single" w:color="auto" w:sz="4" w:space="0"/>
                    <w:right w:val="single" w:color="000000" w:sz="4" w:space="0"/>
                  </w:tcBorders>
                  <w:noWrap w:val="0"/>
                  <w:vAlign w:val="center"/>
                </w:tcPr>
                <w:p w14:paraId="6EC54705">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固渣</w:t>
                  </w:r>
                </w:p>
              </w:tc>
              <w:tc>
                <w:tcPr>
                  <w:tcW w:w="1049" w:type="pct"/>
                  <w:tcBorders>
                    <w:top w:val="single" w:color="000000" w:sz="4" w:space="0"/>
                    <w:left w:val="single" w:color="000000" w:sz="4" w:space="0"/>
                    <w:bottom w:val="single" w:color="auto" w:sz="4" w:space="0"/>
                  </w:tcBorders>
                  <w:noWrap w:val="0"/>
                  <w:vAlign w:val="center"/>
                </w:tcPr>
                <w:p w14:paraId="53FF734D">
                  <w:pPr>
                    <w:pStyle w:val="79"/>
                    <w:keepNext w:val="0"/>
                    <w:keepLines w:val="0"/>
                    <w:pageBreakBefore w:val="0"/>
                    <w:widowControl/>
                    <w:kinsoku/>
                    <w:wordWrap/>
                    <w:overflowPunct/>
                    <w:topLinePunct w:val="0"/>
                    <w:autoSpaceDE/>
                    <w:autoSpaceDN/>
                    <w:bidi w:val="0"/>
                    <w:adjustRightInd/>
                    <w:snapToGrid/>
                    <w:spacing w:before="21"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1738.434</w:t>
                  </w:r>
                </w:p>
              </w:tc>
            </w:tr>
            <w:tr w14:paraId="106BB73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23" w:hRule="atLeast"/>
                <w:jc w:val="center"/>
              </w:trPr>
              <w:tc>
                <w:tcPr>
                  <w:tcW w:w="1242" w:type="pct"/>
                  <w:tcBorders>
                    <w:top w:val="single" w:color="auto" w:sz="4" w:space="0"/>
                    <w:left w:val="single" w:color="auto" w:sz="4" w:space="0"/>
                    <w:bottom w:val="single" w:color="auto" w:sz="4" w:space="0"/>
                    <w:right w:val="single" w:color="auto" w:sz="4" w:space="0"/>
                  </w:tcBorders>
                  <w:noWrap w:val="0"/>
                  <w:vAlign w:val="center"/>
                </w:tcPr>
                <w:p w14:paraId="27C08184">
                  <w:pPr>
                    <w:pStyle w:val="79"/>
                    <w:keepNext w:val="0"/>
                    <w:keepLines w:val="0"/>
                    <w:pageBreakBefore w:val="0"/>
                    <w:widowControl/>
                    <w:kinsoku/>
                    <w:wordWrap/>
                    <w:overflowPunct/>
                    <w:topLinePunct w:val="0"/>
                    <w:autoSpaceDE/>
                    <w:autoSpaceDN/>
                    <w:bidi w:val="0"/>
                    <w:adjustRightInd/>
                    <w:snapToGrid/>
                    <w:spacing w:before="23"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车辆冲洗废水</w:t>
                  </w:r>
                </w:p>
              </w:tc>
              <w:tc>
                <w:tcPr>
                  <w:tcW w:w="1029" w:type="pct"/>
                  <w:tcBorders>
                    <w:top w:val="single" w:color="auto" w:sz="4" w:space="0"/>
                    <w:left w:val="single" w:color="auto" w:sz="4" w:space="0"/>
                    <w:bottom w:val="single" w:color="auto" w:sz="4" w:space="0"/>
                    <w:right w:val="single" w:color="auto" w:sz="4" w:space="0"/>
                  </w:tcBorders>
                  <w:noWrap w:val="0"/>
                  <w:vAlign w:val="center"/>
                </w:tcPr>
                <w:p w14:paraId="78ADB19A">
                  <w:pPr>
                    <w:pStyle w:val="79"/>
                    <w:keepNext w:val="0"/>
                    <w:keepLines w:val="0"/>
                    <w:pageBreakBefore w:val="0"/>
                    <w:widowControl/>
                    <w:kinsoku/>
                    <w:wordWrap/>
                    <w:overflowPunct/>
                    <w:topLinePunct w:val="0"/>
                    <w:autoSpaceDE/>
                    <w:autoSpaceDN/>
                    <w:bidi w:val="0"/>
                    <w:adjustRightInd/>
                    <w:snapToGrid/>
                    <w:spacing w:before="23"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303.6</w:t>
                  </w:r>
                </w:p>
              </w:tc>
              <w:tc>
                <w:tcPr>
                  <w:tcW w:w="1678" w:type="pct"/>
                  <w:tcBorders>
                    <w:top w:val="single" w:color="auto" w:sz="4" w:space="0"/>
                    <w:left w:val="single" w:color="auto" w:sz="4" w:space="0"/>
                    <w:bottom w:val="single" w:color="auto" w:sz="4" w:space="0"/>
                    <w:right w:val="single" w:color="auto" w:sz="4" w:space="0"/>
                  </w:tcBorders>
                  <w:noWrap w:val="0"/>
                  <w:vAlign w:val="center"/>
                </w:tcPr>
                <w:p w14:paraId="347A2906">
                  <w:pPr>
                    <w:pStyle w:val="79"/>
                    <w:keepNext w:val="0"/>
                    <w:keepLines w:val="0"/>
                    <w:pageBreakBefore w:val="0"/>
                    <w:widowControl/>
                    <w:kinsoku/>
                    <w:wordWrap/>
                    <w:overflowPunct/>
                    <w:topLinePunct w:val="0"/>
                    <w:autoSpaceDE/>
                    <w:autoSpaceDN/>
                    <w:bidi w:val="0"/>
                    <w:adjustRightInd/>
                    <w:snapToGrid/>
                    <w:spacing w:before="22" w:line="240" w:lineRule="auto"/>
                    <w:ind w:left="0" w:leftChars="0" w:right="0" w:rightChars="0" w:firstLine="0" w:firstLineChars="0"/>
                    <w:jc w:val="center"/>
                    <w:textAlignment w:val="auto"/>
                    <w:rPr>
                      <w:rFonts w:hint="eastAsia" w:ascii="宋体" w:hAnsi="宋体" w:eastAsia="宋体" w:cs="宋体"/>
                      <w:color w:val="auto"/>
                      <w:sz w:val="21"/>
                      <w:szCs w:val="21"/>
                    </w:rPr>
                  </w:pPr>
                  <w:r>
                    <w:rPr>
                      <w:rFonts w:hint="eastAsia" w:ascii="宋体" w:hAnsi="宋体" w:cs="宋体"/>
                      <w:color w:val="auto"/>
                      <w:sz w:val="21"/>
                      <w:szCs w:val="21"/>
                      <w:lang w:eastAsia="zh-CN"/>
                    </w:rPr>
                    <w:t>三相分离后的废水</w:t>
                  </w:r>
                </w:p>
              </w:tc>
              <w:tc>
                <w:tcPr>
                  <w:tcW w:w="1049" w:type="pct"/>
                  <w:tcBorders>
                    <w:top w:val="single" w:color="auto" w:sz="4" w:space="0"/>
                    <w:left w:val="single" w:color="auto" w:sz="4" w:space="0"/>
                    <w:bottom w:val="single" w:color="auto" w:sz="4" w:space="0"/>
                  </w:tcBorders>
                  <w:noWrap w:val="0"/>
                  <w:vAlign w:val="center"/>
                </w:tcPr>
                <w:p w14:paraId="1BEA9C01">
                  <w:pPr>
                    <w:pStyle w:val="79"/>
                    <w:keepNext w:val="0"/>
                    <w:keepLines w:val="0"/>
                    <w:pageBreakBefore w:val="0"/>
                    <w:widowControl/>
                    <w:kinsoku/>
                    <w:wordWrap/>
                    <w:overflowPunct/>
                    <w:topLinePunct w:val="0"/>
                    <w:autoSpaceDE/>
                    <w:autoSpaceDN/>
                    <w:bidi w:val="0"/>
                    <w:adjustRightInd/>
                    <w:snapToGrid/>
                    <w:spacing w:before="22" w:line="240" w:lineRule="auto"/>
                    <w:ind w:left="0" w:leftChars="0" w:right="0" w:rightChars="0" w:firstLine="0" w:firstLineChars="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4087.338</w:t>
                  </w:r>
                </w:p>
              </w:tc>
            </w:tr>
            <w:tr w14:paraId="7BEF09F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23" w:hRule="atLeast"/>
                <w:jc w:val="center"/>
              </w:trPr>
              <w:tc>
                <w:tcPr>
                  <w:tcW w:w="1242" w:type="pct"/>
                  <w:vMerge w:val="restart"/>
                  <w:tcBorders>
                    <w:top w:val="single" w:color="auto" w:sz="4" w:space="0"/>
                    <w:left w:val="single" w:color="auto" w:sz="4" w:space="0"/>
                    <w:right w:val="single" w:color="auto" w:sz="4" w:space="0"/>
                  </w:tcBorders>
                  <w:noWrap w:val="0"/>
                  <w:vAlign w:val="center"/>
                </w:tcPr>
                <w:p w14:paraId="192F325C">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地面冲洗废水</w:t>
                  </w:r>
                </w:p>
              </w:tc>
              <w:tc>
                <w:tcPr>
                  <w:tcW w:w="1029" w:type="pct"/>
                  <w:vMerge w:val="restart"/>
                  <w:tcBorders>
                    <w:top w:val="single" w:color="auto" w:sz="4" w:space="0"/>
                    <w:left w:val="single" w:color="auto" w:sz="4" w:space="0"/>
                    <w:right w:val="single" w:color="auto" w:sz="4" w:space="0"/>
                  </w:tcBorders>
                  <w:noWrap w:val="0"/>
                  <w:vAlign w:val="center"/>
                </w:tcPr>
                <w:p w14:paraId="3395EDA0">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176.88</w:t>
                  </w:r>
                </w:p>
              </w:tc>
              <w:tc>
                <w:tcPr>
                  <w:tcW w:w="1678" w:type="pct"/>
                  <w:tcBorders>
                    <w:top w:val="single" w:color="auto" w:sz="4" w:space="0"/>
                    <w:left w:val="single" w:color="auto" w:sz="4" w:space="0"/>
                    <w:bottom w:val="single" w:color="auto" w:sz="4" w:space="0"/>
                    <w:right w:val="single" w:color="auto" w:sz="4" w:space="0"/>
                  </w:tcBorders>
                  <w:noWrap w:val="0"/>
                  <w:vAlign w:val="center"/>
                </w:tcPr>
                <w:p w14:paraId="42754C13">
                  <w:pPr>
                    <w:pStyle w:val="79"/>
                    <w:keepNext w:val="0"/>
                    <w:keepLines w:val="0"/>
                    <w:pageBreakBefore w:val="0"/>
                    <w:widowControl/>
                    <w:kinsoku/>
                    <w:wordWrap/>
                    <w:overflowPunct/>
                    <w:topLinePunct w:val="0"/>
                    <w:autoSpaceDE/>
                    <w:autoSpaceDN/>
                    <w:bidi w:val="0"/>
                    <w:adjustRightInd/>
                    <w:snapToGrid/>
                    <w:spacing w:before="22" w:line="240" w:lineRule="auto"/>
                    <w:ind w:left="0" w:leftChars="0" w:right="0" w:rightChars="0" w:firstLine="0" w:firstLineChars="0"/>
                    <w:jc w:val="center"/>
                    <w:textAlignment w:val="auto"/>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非甲烷总烃</w:t>
                  </w:r>
                </w:p>
              </w:tc>
              <w:tc>
                <w:tcPr>
                  <w:tcW w:w="1049" w:type="pct"/>
                  <w:tcBorders>
                    <w:top w:val="single" w:color="auto" w:sz="4" w:space="0"/>
                    <w:left w:val="single" w:color="auto" w:sz="4" w:space="0"/>
                    <w:bottom w:val="single" w:color="auto" w:sz="4" w:space="0"/>
                  </w:tcBorders>
                  <w:noWrap w:val="0"/>
                  <w:vAlign w:val="center"/>
                </w:tcPr>
                <w:p w14:paraId="262018A3">
                  <w:pPr>
                    <w:pStyle w:val="79"/>
                    <w:keepNext w:val="0"/>
                    <w:keepLines w:val="0"/>
                    <w:pageBreakBefore w:val="0"/>
                    <w:widowControl/>
                    <w:kinsoku/>
                    <w:wordWrap/>
                    <w:overflowPunct/>
                    <w:topLinePunct w:val="0"/>
                    <w:autoSpaceDE/>
                    <w:autoSpaceDN/>
                    <w:bidi w:val="0"/>
                    <w:adjustRightInd/>
                    <w:snapToGrid/>
                    <w:spacing w:before="22" w:line="240" w:lineRule="auto"/>
                    <w:ind w:left="0" w:leftChars="0" w:right="0" w:rightChars="0" w:firstLine="0" w:firstLineChars="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6.8</w:t>
                  </w:r>
                </w:p>
              </w:tc>
            </w:tr>
            <w:tr w14:paraId="60547B9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90" w:hRule="atLeast"/>
                <w:jc w:val="center"/>
              </w:trPr>
              <w:tc>
                <w:tcPr>
                  <w:tcW w:w="1242" w:type="pct"/>
                  <w:vMerge w:val="continue"/>
                  <w:tcBorders>
                    <w:left w:val="single" w:color="auto" w:sz="4" w:space="0"/>
                    <w:right w:val="single" w:color="auto" w:sz="4" w:space="0"/>
                  </w:tcBorders>
                  <w:noWrap w:val="0"/>
                  <w:vAlign w:val="center"/>
                </w:tcPr>
                <w:p w14:paraId="43614DF2">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eastAsia" w:ascii="宋体" w:hAnsi="宋体" w:eastAsia="宋体" w:cs="宋体"/>
                      <w:color w:val="auto"/>
                      <w:sz w:val="21"/>
                      <w:szCs w:val="21"/>
                      <w:lang w:eastAsia="zh-CN"/>
                    </w:rPr>
                  </w:pPr>
                </w:p>
              </w:tc>
              <w:tc>
                <w:tcPr>
                  <w:tcW w:w="1029" w:type="pct"/>
                  <w:vMerge w:val="continue"/>
                  <w:tcBorders>
                    <w:left w:val="single" w:color="auto" w:sz="4" w:space="0"/>
                    <w:right w:val="single" w:color="auto" w:sz="4" w:space="0"/>
                  </w:tcBorders>
                  <w:noWrap w:val="0"/>
                  <w:vAlign w:val="center"/>
                </w:tcPr>
                <w:p w14:paraId="35725FA4">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eastAsia" w:ascii="宋体" w:hAnsi="宋体" w:eastAsia="宋体" w:cs="宋体"/>
                      <w:color w:val="auto"/>
                      <w:sz w:val="21"/>
                      <w:szCs w:val="21"/>
                      <w:lang w:val="en-US" w:eastAsia="zh-CN"/>
                    </w:rPr>
                  </w:pPr>
                </w:p>
              </w:tc>
              <w:tc>
                <w:tcPr>
                  <w:tcW w:w="1678" w:type="pct"/>
                  <w:tcBorders>
                    <w:top w:val="single" w:color="auto" w:sz="4" w:space="0"/>
                    <w:left w:val="single" w:color="auto" w:sz="4" w:space="0"/>
                    <w:bottom w:val="single" w:color="auto" w:sz="4" w:space="0"/>
                    <w:right w:val="single" w:color="auto" w:sz="4" w:space="0"/>
                  </w:tcBorders>
                  <w:noWrap w:val="0"/>
                  <w:vAlign w:val="center"/>
                </w:tcPr>
                <w:p w14:paraId="1474F3BD">
                  <w:pPr>
                    <w:pStyle w:val="79"/>
                    <w:keepNext w:val="0"/>
                    <w:keepLines w:val="0"/>
                    <w:pageBreakBefore w:val="0"/>
                    <w:widowControl/>
                    <w:kinsoku/>
                    <w:wordWrap/>
                    <w:overflowPunct/>
                    <w:topLinePunct w:val="0"/>
                    <w:autoSpaceDE/>
                    <w:autoSpaceDN/>
                    <w:bidi w:val="0"/>
                    <w:adjustRightInd/>
                    <w:snapToGrid/>
                    <w:spacing w:before="22" w:line="240" w:lineRule="auto"/>
                    <w:ind w:left="0" w:leftChars="0" w:right="0" w:rightChars="0" w:firstLine="0" w:firstLineChars="0"/>
                    <w:jc w:val="center"/>
                    <w:textAlignment w:val="auto"/>
                    <w:rPr>
                      <w:rFonts w:hint="eastAsia" w:ascii="宋体" w:hAnsi="宋体" w:cs="宋体"/>
                      <w:color w:val="auto"/>
                      <w:sz w:val="21"/>
                      <w:szCs w:val="21"/>
                      <w:lang w:eastAsia="zh-CN"/>
                    </w:rPr>
                  </w:pPr>
                  <w:r>
                    <w:rPr>
                      <w:rFonts w:hint="eastAsia" w:ascii="宋体" w:hAnsi="宋体" w:cs="宋体"/>
                      <w:color w:val="auto"/>
                      <w:sz w:val="21"/>
                      <w:szCs w:val="21"/>
                      <w:lang w:eastAsia="zh-CN"/>
                    </w:rPr>
                    <w:t>氨气</w:t>
                  </w:r>
                </w:p>
              </w:tc>
              <w:tc>
                <w:tcPr>
                  <w:tcW w:w="1049" w:type="pct"/>
                  <w:tcBorders>
                    <w:top w:val="single" w:color="auto" w:sz="4" w:space="0"/>
                    <w:left w:val="single" w:color="auto" w:sz="4" w:space="0"/>
                    <w:bottom w:val="single" w:color="auto" w:sz="4" w:space="0"/>
                  </w:tcBorders>
                  <w:noWrap w:val="0"/>
                  <w:vAlign w:val="center"/>
                </w:tcPr>
                <w:p w14:paraId="42789DD7">
                  <w:pPr>
                    <w:pStyle w:val="79"/>
                    <w:keepNext w:val="0"/>
                    <w:keepLines w:val="0"/>
                    <w:pageBreakBefore w:val="0"/>
                    <w:widowControl/>
                    <w:kinsoku/>
                    <w:wordWrap/>
                    <w:overflowPunct/>
                    <w:topLinePunct w:val="0"/>
                    <w:autoSpaceDE/>
                    <w:autoSpaceDN/>
                    <w:bidi w:val="0"/>
                    <w:adjustRightInd/>
                    <w:snapToGrid/>
                    <w:spacing w:before="22" w:line="240" w:lineRule="auto"/>
                    <w:ind w:left="0" w:leftChars="0" w:right="0" w:rightChars="0" w:firstLine="0" w:firstLineChars="0"/>
                    <w:jc w:val="center"/>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0.372</w:t>
                  </w:r>
                </w:p>
              </w:tc>
            </w:tr>
            <w:tr w14:paraId="62CE251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23" w:hRule="atLeast"/>
                <w:jc w:val="center"/>
              </w:trPr>
              <w:tc>
                <w:tcPr>
                  <w:tcW w:w="1242" w:type="pct"/>
                  <w:vMerge w:val="continue"/>
                  <w:tcBorders>
                    <w:left w:val="single" w:color="auto" w:sz="4" w:space="0"/>
                    <w:bottom w:val="single" w:color="auto" w:sz="4" w:space="0"/>
                    <w:right w:val="single" w:color="auto" w:sz="4" w:space="0"/>
                  </w:tcBorders>
                  <w:noWrap w:val="0"/>
                  <w:vAlign w:val="center"/>
                </w:tcPr>
                <w:p w14:paraId="79DF35FE">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eastAsia" w:ascii="宋体" w:hAnsi="宋体" w:eastAsia="宋体" w:cs="宋体"/>
                      <w:color w:val="auto"/>
                      <w:sz w:val="21"/>
                      <w:szCs w:val="21"/>
                      <w:lang w:eastAsia="zh-CN"/>
                    </w:rPr>
                  </w:pPr>
                </w:p>
              </w:tc>
              <w:tc>
                <w:tcPr>
                  <w:tcW w:w="1029" w:type="pct"/>
                  <w:vMerge w:val="continue"/>
                  <w:tcBorders>
                    <w:left w:val="single" w:color="auto" w:sz="4" w:space="0"/>
                    <w:bottom w:val="single" w:color="auto" w:sz="4" w:space="0"/>
                    <w:right w:val="single" w:color="auto" w:sz="4" w:space="0"/>
                  </w:tcBorders>
                  <w:noWrap w:val="0"/>
                  <w:vAlign w:val="center"/>
                </w:tcPr>
                <w:p w14:paraId="30E960C4">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eastAsia" w:ascii="宋体" w:hAnsi="宋体" w:eastAsia="宋体" w:cs="宋体"/>
                      <w:color w:val="auto"/>
                      <w:sz w:val="21"/>
                      <w:szCs w:val="21"/>
                      <w:lang w:val="en-US" w:eastAsia="zh-CN"/>
                    </w:rPr>
                  </w:pPr>
                </w:p>
              </w:tc>
              <w:tc>
                <w:tcPr>
                  <w:tcW w:w="1678" w:type="pct"/>
                  <w:tcBorders>
                    <w:top w:val="single" w:color="auto" w:sz="4" w:space="0"/>
                    <w:left w:val="single" w:color="auto" w:sz="4" w:space="0"/>
                    <w:bottom w:val="single" w:color="auto" w:sz="4" w:space="0"/>
                    <w:right w:val="single" w:color="auto" w:sz="4" w:space="0"/>
                  </w:tcBorders>
                  <w:noWrap w:val="0"/>
                  <w:vAlign w:val="center"/>
                </w:tcPr>
                <w:p w14:paraId="589380AD">
                  <w:pPr>
                    <w:pStyle w:val="79"/>
                    <w:keepNext w:val="0"/>
                    <w:keepLines w:val="0"/>
                    <w:pageBreakBefore w:val="0"/>
                    <w:widowControl/>
                    <w:kinsoku/>
                    <w:wordWrap/>
                    <w:overflowPunct/>
                    <w:topLinePunct w:val="0"/>
                    <w:autoSpaceDE/>
                    <w:autoSpaceDN/>
                    <w:bidi w:val="0"/>
                    <w:adjustRightInd/>
                    <w:snapToGrid/>
                    <w:spacing w:before="22" w:line="240" w:lineRule="auto"/>
                    <w:ind w:left="0" w:leftChars="0" w:right="0" w:rightChars="0" w:firstLine="0" w:firstLineChars="0"/>
                    <w:jc w:val="center"/>
                    <w:textAlignment w:val="auto"/>
                    <w:rPr>
                      <w:rFonts w:hint="eastAsia" w:ascii="宋体" w:hAnsi="宋体" w:cs="宋体"/>
                      <w:color w:val="auto"/>
                      <w:sz w:val="21"/>
                      <w:szCs w:val="21"/>
                      <w:lang w:eastAsia="zh-CN"/>
                    </w:rPr>
                  </w:pPr>
                  <w:r>
                    <w:rPr>
                      <w:rFonts w:hint="eastAsia" w:ascii="宋体" w:hAnsi="宋体" w:cs="宋体"/>
                      <w:color w:val="auto"/>
                      <w:sz w:val="21"/>
                      <w:szCs w:val="21"/>
                      <w:lang w:eastAsia="zh-CN"/>
                    </w:rPr>
                    <w:t>硫化氢</w:t>
                  </w:r>
                </w:p>
              </w:tc>
              <w:tc>
                <w:tcPr>
                  <w:tcW w:w="1049" w:type="pct"/>
                  <w:tcBorders>
                    <w:top w:val="single" w:color="auto" w:sz="4" w:space="0"/>
                    <w:left w:val="single" w:color="auto" w:sz="4" w:space="0"/>
                    <w:bottom w:val="single" w:color="auto" w:sz="4" w:space="0"/>
                  </w:tcBorders>
                  <w:noWrap w:val="0"/>
                  <w:vAlign w:val="center"/>
                </w:tcPr>
                <w:p w14:paraId="49F36182">
                  <w:pPr>
                    <w:pStyle w:val="79"/>
                    <w:keepNext w:val="0"/>
                    <w:keepLines w:val="0"/>
                    <w:pageBreakBefore w:val="0"/>
                    <w:widowControl/>
                    <w:kinsoku/>
                    <w:wordWrap/>
                    <w:overflowPunct/>
                    <w:topLinePunct w:val="0"/>
                    <w:autoSpaceDE/>
                    <w:autoSpaceDN/>
                    <w:bidi w:val="0"/>
                    <w:adjustRightInd/>
                    <w:snapToGrid/>
                    <w:spacing w:before="22" w:line="240" w:lineRule="auto"/>
                    <w:ind w:left="0" w:leftChars="0" w:right="0" w:rightChars="0" w:firstLine="0" w:firstLineChars="0"/>
                    <w:jc w:val="center"/>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0.016</w:t>
                  </w:r>
                </w:p>
              </w:tc>
            </w:tr>
            <w:tr w14:paraId="2086CBE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23" w:hRule="atLeast"/>
                <w:jc w:val="center"/>
              </w:trPr>
              <w:tc>
                <w:tcPr>
                  <w:tcW w:w="1242" w:type="pct"/>
                  <w:tcBorders>
                    <w:top w:val="single" w:color="auto" w:sz="4" w:space="0"/>
                    <w:left w:val="single" w:color="auto" w:sz="4" w:space="0"/>
                    <w:bottom w:val="single" w:color="auto" w:sz="4" w:space="0"/>
                    <w:right w:val="single" w:color="auto" w:sz="4" w:space="0"/>
                  </w:tcBorders>
                  <w:noWrap w:val="0"/>
                  <w:vAlign w:val="center"/>
                </w:tcPr>
                <w:p w14:paraId="37B190F9">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b/>
                      <w:bCs/>
                      <w:color w:val="auto"/>
                      <w:spacing w:val="2"/>
                      <w:sz w:val="21"/>
                      <w:szCs w:val="21"/>
                    </w:rPr>
                    <w:t>合</w:t>
                  </w:r>
                  <w:r>
                    <w:rPr>
                      <w:rFonts w:hint="eastAsia" w:ascii="宋体" w:hAnsi="宋体" w:eastAsia="宋体" w:cs="宋体"/>
                      <w:b/>
                      <w:bCs/>
                      <w:color w:val="auto"/>
                      <w:sz w:val="21"/>
                      <w:szCs w:val="21"/>
                    </w:rPr>
                    <w:t>计</w:t>
                  </w:r>
                </w:p>
              </w:tc>
              <w:tc>
                <w:tcPr>
                  <w:tcW w:w="1029" w:type="pct"/>
                  <w:tcBorders>
                    <w:top w:val="single" w:color="auto" w:sz="4" w:space="0"/>
                    <w:left w:val="single" w:color="auto" w:sz="4" w:space="0"/>
                    <w:bottom w:val="single" w:color="auto" w:sz="4" w:space="0"/>
                    <w:right w:val="single" w:color="auto" w:sz="4" w:space="0"/>
                  </w:tcBorders>
                  <w:noWrap w:val="0"/>
                  <w:vAlign w:val="center"/>
                </w:tcPr>
                <w:p w14:paraId="79E15BC4">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13189.44</w:t>
                  </w:r>
                </w:p>
              </w:tc>
              <w:tc>
                <w:tcPr>
                  <w:tcW w:w="1678" w:type="pct"/>
                  <w:tcBorders>
                    <w:top w:val="single" w:color="auto" w:sz="4" w:space="0"/>
                    <w:left w:val="single" w:color="auto" w:sz="4" w:space="0"/>
                    <w:bottom w:val="single" w:color="auto" w:sz="4" w:space="0"/>
                    <w:right w:val="single" w:color="auto" w:sz="4" w:space="0"/>
                  </w:tcBorders>
                  <w:noWrap w:val="0"/>
                  <w:vAlign w:val="center"/>
                </w:tcPr>
                <w:p w14:paraId="27EE15FB">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b/>
                      <w:bCs/>
                      <w:color w:val="auto"/>
                      <w:spacing w:val="2"/>
                      <w:sz w:val="21"/>
                      <w:szCs w:val="21"/>
                    </w:rPr>
                    <w:t>合</w:t>
                  </w:r>
                  <w:r>
                    <w:rPr>
                      <w:rFonts w:hint="eastAsia" w:ascii="宋体" w:hAnsi="宋体" w:eastAsia="宋体" w:cs="宋体"/>
                      <w:b/>
                      <w:bCs/>
                      <w:color w:val="auto"/>
                      <w:sz w:val="21"/>
                      <w:szCs w:val="21"/>
                    </w:rPr>
                    <w:t>计</w:t>
                  </w:r>
                </w:p>
              </w:tc>
              <w:tc>
                <w:tcPr>
                  <w:tcW w:w="1049" w:type="pct"/>
                  <w:tcBorders>
                    <w:top w:val="single" w:color="auto" w:sz="4" w:space="0"/>
                    <w:left w:val="single" w:color="auto" w:sz="4" w:space="0"/>
                    <w:bottom w:val="single" w:color="auto" w:sz="4" w:space="0"/>
                    <w:right w:val="single" w:color="auto" w:sz="4" w:space="0"/>
                  </w:tcBorders>
                  <w:noWrap w:val="0"/>
                  <w:vAlign w:val="center"/>
                </w:tcPr>
                <w:p w14:paraId="4407819E">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13189.44</w:t>
                  </w:r>
                </w:p>
              </w:tc>
            </w:tr>
          </w:tbl>
          <w:p w14:paraId="73527687">
            <w:pPr>
              <w:pStyle w:val="14"/>
              <w:keepNext w:val="0"/>
              <w:keepLines w:val="0"/>
              <w:pageBreakBefore w:val="0"/>
              <w:widowControl/>
              <w:kinsoku/>
              <w:wordWrap/>
              <w:overflowPunct/>
              <w:topLinePunct w:val="0"/>
              <w:autoSpaceDE/>
              <w:autoSpaceDN/>
              <w:bidi w:val="0"/>
              <w:adjustRightInd/>
              <w:snapToGrid w:val="0"/>
              <w:spacing w:before="0" w:after="0" w:line="240" w:lineRule="auto"/>
              <w:ind w:right="0"/>
              <w:jc w:val="center"/>
              <w:textAlignment w:val="auto"/>
              <w:rPr>
                <w:rFonts w:hint="eastAsia"/>
                <w:b/>
                <w:bCs/>
                <w:color w:val="auto"/>
                <w:sz w:val="24"/>
                <w:szCs w:val="28"/>
                <w:lang w:eastAsia="zh-CN"/>
              </w:rPr>
            </w:pPr>
            <w:r>
              <w:rPr>
                <w:color w:val="auto"/>
              </w:rPr>
              <w:drawing>
                <wp:inline distT="0" distB="0" distL="114300" distR="114300">
                  <wp:extent cx="5332095" cy="5211445"/>
                  <wp:effectExtent l="0" t="0" r="1905" b="8255"/>
                  <wp:docPr id="2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7"/>
                          <pic:cNvPicPr>
                            <a:picLocks noChangeAspect="1"/>
                          </pic:cNvPicPr>
                        </pic:nvPicPr>
                        <pic:blipFill>
                          <a:blip r:embed="rId16"/>
                          <a:stretch>
                            <a:fillRect/>
                          </a:stretch>
                        </pic:blipFill>
                        <pic:spPr>
                          <a:xfrm>
                            <a:off x="0" y="0"/>
                            <a:ext cx="5332095" cy="5211445"/>
                          </a:xfrm>
                          <a:prstGeom prst="rect">
                            <a:avLst/>
                          </a:prstGeom>
                          <a:noFill/>
                          <a:ln>
                            <a:noFill/>
                          </a:ln>
                        </pic:spPr>
                      </pic:pic>
                    </a:graphicData>
                  </a:graphic>
                </wp:inline>
              </w:drawing>
            </w:r>
          </w:p>
          <w:p w14:paraId="2342CFA9">
            <w:pPr>
              <w:pStyle w:val="14"/>
              <w:keepNext w:val="0"/>
              <w:keepLines w:val="0"/>
              <w:pageBreakBefore w:val="0"/>
              <w:widowControl/>
              <w:kinsoku/>
              <w:wordWrap/>
              <w:overflowPunct/>
              <w:topLinePunct w:val="0"/>
              <w:autoSpaceDE/>
              <w:autoSpaceDN/>
              <w:bidi w:val="0"/>
              <w:adjustRightInd/>
              <w:snapToGrid w:val="0"/>
              <w:spacing w:before="0" w:after="0" w:line="360" w:lineRule="auto"/>
              <w:ind w:right="0"/>
              <w:jc w:val="center"/>
              <w:textAlignment w:val="auto"/>
              <w:rPr>
                <w:rFonts w:hint="default" w:eastAsia="宋体"/>
                <w:b/>
                <w:bCs/>
                <w:color w:val="auto"/>
                <w:sz w:val="24"/>
                <w:szCs w:val="28"/>
                <w:lang w:val="en-US" w:eastAsia="zh-CN"/>
              </w:rPr>
            </w:pPr>
            <w:r>
              <w:rPr>
                <w:rFonts w:hint="eastAsia"/>
                <w:b/>
                <w:bCs/>
                <w:color w:val="auto"/>
                <w:sz w:val="24"/>
                <w:szCs w:val="28"/>
                <w:lang w:eastAsia="zh-CN"/>
              </w:rPr>
              <w:t>图</w:t>
            </w:r>
            <w:r>
              <w:rPr>
                <w:rFonts w:hint="eastAsia"/>
                <w:b/>
                <w:bCs/>
                <w:color w:val="auto"/>
                <w:sz w:val="24"/>
                <w:szCs w:val="28"/>
                <w:lang w:val="en-US" w:eastAsia="zh-CN"/>
              </w:rPr>
              <w:t>2-4 项目物料平衡图 t/a</w:t>
            </w:r>
          </w:p>
          <w:p w14:paraId="5672E354">
            <w:pPr>
              <w:spacing w:line="360" w:lineRule="auto"/>
              <w:ind w:firstLine="480" w:firstLineChars="200"/>
              <w:rPr>
                <w:rFonts w:hint="eastAsia" w:eastAsia="宋体"/>
                <w:b w:val="0"/>
                <w:bCs w:val="0"/>
                <w:color w:val="auto"/>
                <w:sz w:val="24"/>
                <w:lang w:eastAsia="zh-CN"/>
              </w:rPr>
            </w:pPr>
            <w:r>
              <w:rPr>
                <w:rFonts w:hint="eastAsia"/>
                <w:b w:val="0"/>
                <w:bCs w:val="0"/>
                <w:color w:val="auto"/>
                <w:sz w:val="24"/>
              </w:rPr>
              <w:t>（</w:t>
            </w:r>
            <w:r>
              <w:rPr>
                <w:b w:val="0"/>
                <w:bCs w:val="0"/>
                <w:color w:val="auto"/>
                <w:sz w:val="24"/>
              </w:rPr>
              <w:t>2</w:t>
            </w:r>
            <w:r>
              <w:rPr>
                <w:rFonts w:hint="eastAsia"/>
                <w:b w:val="0"/>
                <w:bCs w:val="0"/>
                <w:color w:val="auto"/>
                <w:sz w:val="24"/>
              </w:rPr>
              <w:t>）</w:t>
            </w:r>
            <w:r>
              <w:rPr>
                <w:rFonts w:hint="eastAsia"/>
                <w:b w:val="0"/>
                <w:bCs w:val="0"/>
                <w:color w:val="auto"/>
                <w:sz w:val="24"/>
                <w:lang w:eastAsia="zh-CN"/>
              </w:rPr>
              <w:t>餐厨垃圾初加工工艺</w:t>
            </w:r>
          </w:p>
          <w:p w14:paraId="5FA588B5">
            <w:pPr>
              <w:spacing w:line="360" w:lineRule="auto"/>
              <w:jc w:val="center"/>
              <w:rPr>
                <w:color w:val="auto"/>
              </w:rPr>
            </w:pPr>
            <w:r>
              <w:rPr>
                <w:rFonts w:hint="eastAsia"/>
                <w:color w:val="auto"/>
                <w:lang w:val="en-US" w:eastAsia="zh-CN"/>
              </w:rPr>
              <w:t xml:space="preserve"> </w:t>
            </w:r>
            <w:r>
              <w:rPr>
                <w:color w:val="auto"/>
              </w:rPr>
              <w:drawing>
                <wp:inline distT="0" distB="0" distL="114300" distR="114300">
                  <wp:extent cx="5334000" cy="4990465"/>
                  <wp:effectExtent l="0" t="0" r="0" b="635"/>
                  <wp:docPr id="2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
                          <pic:cNvPicPr>
                            <a:picLocks noChangeAspect="1"/>
                          </pic:cNvPicPr>
                        </pic:nvPicPr>
                        <pic:blipFill>
                          <a:blip r:embed="rId17"/>
                          <a:stretch>
                            <a:fillRect/>
                          </a:stretch>
                        </pic:blipFill>
                        <pic:spPr>
                          <a:xfrm>
                            <a:off x="0" y="0"/>
                            <a:ext cx="5334000" cy="4990465"/>
                          </a:xfrm>
                          <a:prstGeom prst="rect">
                            <a:avLst/>
                          </a:prstGeom>
                          <a:noFill/>
                          <a:ln>
                            <a:noFill/>
                          </a:ln>
                        </pic:spPr>
                      </pic:pic>
                    </a:graphicData>
                  </a:graphic>
                </wp:inline>
              </w:drawing>
            </w:r>
          </w:p>
          <w:p w14:paraId="47E5ECF3">
            <w:pPr>
              <w:spacing w:line="360" w:lineRule="auto"/>
              <w:jc w:val="left"/>
              <w:rPr>
                <w:rFonts w:hint="default"/>
                <w:b/>
                <w:bCs/>
                <w:color w:val="auto"/>
                <w:sz w:val="24"/>
                <w:szCs w:val="32"/>
                <w:lang w:val="en-US" w:eastAsia="zh-CN"/>
              </w:rPr>
            </w:pPr>
            <w:r>
              <w:rPr>
                <w:rFonts w:hint="eastAsia"/>
                <w:b/>
                <w:bCs/>
                <w:color w:val="auto"/>
                <w:sz w:val="24"/>
                <w:szCs w:val="32"/>
                <w:lang w:eastAsia="zh-CN"/>
              </w:rPr>
              <w:t>注：</w:t>
            </w:r>
            <w:r>
              <w:rPr>
                <w:rFonts w:hint="eastAsia"/>
                <w:b/>
                <w:bCs/>
                <w:color w:val="auto"/>
                <w:sz w:val="24"/>
                <w:szCs w:val="32"/>
                <w:lang w:val="en-US" w:eastAsia="zh-CN"/>
              </w:rPr>
              <w:t>G1 氨气、硫化氢、臭气浓度，G2 非甲烷总烃</w:t>
            </w:r>
          </w:p>
          <w:p w14:paraId="46D9FFF2">
            <w:pPr>
              <w:spacing w:line="360" w:lineRule="auto"/>
              <w:jc w:val="center"/>
              <w:rPr>
                <w:rFonts w:hint="default" w:eastAsia="宋体"/>
                <w:b/>
                <w:bCs/>
                <w:color w:val="auto"/>
                <w:sz w:val="24"/>
                <w:szCs w:val="32"/>
                <w:lang w:val="en-US" w:eastAsia="zh-CN"/>
              </w:rPr>
            </w:pPr>
            <w:r>
              <w:rPr>
                <w:rFonts w:hint="eastAsia"/>
                <w:b/>
                <w:bCs/>
                <w:color w:val="auto"/>
                <w:sz w:val="24"/>
                <w:szCs w:val="32"/>
                <w:lang w:eastAsia="zh-CN"/>
              </w:rPr>
              <w:t>图</w:t>
            </w:r>
            <w:r>
              <w:rPr>
                <w:rFonts w:hint="eastAsia"/>
                <w:b/>
                <w:bCs/>
                <w:color w:val="auto"/>
                <w:sz w:val="24"/>
                <w:szCs w:val="32"/>
                <w:lang w:val="en-US" w:eastAsia="zh-CN"/>
              </w:rPr>
              <w:t>2-5 餐厨垃圾</w:t>
            </w:r>
            <w:r>
              <w:rPr>
                <w:rFonts w:hint="eastAsia"/>
                <w:b/>
                <w:bCs/>
                <w:color w:val="auto"/>
                <w:sz w:val="24"/>
                <w:szCs w:val="32"/>
                <w:highlight w:val="none"/>
                <w:lang w:val="en-US" w:eastAsia="zh-CN"/>
              </w:rPr>
              <w:t>初加工</w:t>
            </w:r>
            <w:r>
              <w:rPr>
                <w:rFonts w:hint="eastAsia"/>
                <w:b/>
                <w:bCs/>
                <w:color w:val="auto"/>
                <w:sz w:val="24"/>
                <w:szCs w:val="32"/>
                <w:lang w:val="en-US" w:eastAsia="zh-CN"/>
              </w:rPr>
              <w:t>工艺</w:t>
            </w:r>
          </w:p>
          <w:p w14:paraId="4E24EC6D">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ascii="宋体" w:hAnsi="宋体" w:eastAsia="宋体" w:cs="宋体"/>
                <w:b w:val="0"/>
                <w:bCs w:val="0"/>
                <w:color w:val="auto"/>
                <w:sz w:val="24"/>
                <w:szCs w:val="24"/>
                <w:lang w:val="en-US" w:eastAsia="zh-CN"/>
              </w:rPr>
            </w:pPr>
            <w:r>
              <w:rPr>
                <w:rFonts w:hint="eastAsia" w:eastAsia="宋体" w:cs="Times New Roman"/>
                <w:b/>
                <w:bCs/>
                <w:color w:val="auto"/>
                <w:sz w:val="24"/>
                <w:szCs w:val="24"/>
                <w:lang w:eastAsia="zh-CN"/>
              </w:rPr>
              <w:t>接料送料：</w:t>
            </w:r>
            <w:r>
              <w:rPr>
                <w:rFonts w:hint="eastAsia" w:ascii="宋体" w:hAnsi="宋体" w:eastAsia="宋体" w:cs="宋体"/>
                <w:b w:val="0"/>
                <w:bCs w:val="0"/>
                <w:color w:val="auto"/>
                <w:sz w:val="24"/>
                <w:szCs w:val="24"/>
                <w:lang w:val="en-US" w:eastAsia="zh-CN"/>
              </w:rPr>
              <w:t>接料送料单元实现餐厨</w:t>
            </w:r>
            <w:r>
              <w:rPr>
                <w:rFonts w:hint="eastAsia" w:ascii="宋体" w:hAnsi="宋体" w:cs="宋体"/>
                <w:b w:val="0"/>
                <w:bCs w:val="0"/>
                <w:color w:val="auto"/>
                <w:sz w:val="24"/>
                <w:szCs w:val="24"/>
                <w:lang w:val="en-US" w:eastAsia="zh-CN"/>
              </w:rPr>
              <w:t>垃圾</w:t>
            </w:r>
            <w:r>
              <w:rPr>
                <w:rFonts w:hint="eastAsia" w:ascii="宋体" w:hAnsi="宋体" w:eastAsia="宋体" w:cs="宋体"/>
                <w:b w:val="0"/>
                <w:bCs w:val="0"/>
                <w:color w:val="auto"/>
                <w:sz w:val="24"/>
                <w:szCs w:val="24"/>
                <w:lang w:val="en-US" w:eastAsia="zh-CN"/>
              </w:rPr>
              <w:t>的接收和输送，</w:t>
            </w:r>
            <w:r>
              <w:rPr>
                <w:rFonts w:hint="eastAsia" w:ascii="宋体" w:hAnsi="宋体" w:eastAsia="宋体" w:cs="宋体"/>
                <w:b w:val="0"/>
                <w:bCs w:val="0"/>
                <w:color w:val="auto"/>
                <w:sz w:val="24"/>
                <w:szCs w:val="24"/>
                <w:highlight w:val="none"/>
                <w:lang w:val="en-US" w:eastAsia="zh-CN"/>
              </w:rPr>
              <w:t>餐厨</w:t>
            </w:r>
            <w:r>
              <w:rPr>
                <w:rFonts w:hint="eastAsia" w:ascii="宋体" w:hAnsi="宋体" w:cs="宋体"/>
                <w:b w:val="0"/>
                <w:bCs w:val="0"/>
                <w:color w:val="auto"/>
                <w:sz w:val="24"/>
                <w:szCs w:val="24"/>
                <w:highlight w:val="none"/>
                <w:lang w:val="en-US" w:eastAsia="zh-CN"/>
              </w:rPr>
              <w:t>垃圾</w:t>
            </w:r>
            <w:r>
              <w:rPr>
                <w:rFonts w:hint="eastAsia" w:ascii="宋体" w:hAnsi="宋体" w:eastAsia="宋体" w:cs="宋体"/>
                <w:b w:val="0"/>
                <w:bCs w:val="0"/>
                <w:color w:val="auto"/>
                <w:sz w:val="24"/>
                <w:szCs w:val="24"/>
                <w:lang w:val="en-US" w:eastAsia="zh-CN"/>
              </w:rPr>
              <w:t>的接料斗为20m³，同时具有一定储存功能。</w:t>
            </w:r>
          </w:p>
          <w:p w14:paraId="3B126307">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接料送料单元实现餐厨垃圾的接收和输送，餐厨垃圾的接料斗为20m</w:t>
            </w:r>
            <w:r>
              <w:rPr>
                <w:rFonts w:hint="eastAsia" w:ascii="宋体" w:hAnsi="宋体" w:eastAsia="宋体" w:cs="宋体"/>
                <w:b w:val="0"/>
                <w:bCs w:val="0"/>
                <w:color w:val="auto"/>
                <w:sz w:val="24"/>
                <w:szCs w:val="24"/>
                <w:vertAlign w:val="superscript"/>
                <w:lang w:val="en-US" w:eastAsia="zh-CN"/>
              </w:rPr>
              <w:t>3</w:t>
            </w:r>
            <w:r>
              <w:rPr>
                <w:rFonts w:hint="eastAsia" w:ascii="宋体" w:hAnsi="宋体" w:eastAsia="宋体" w:cs="宋体"/>
                <w:b w:val="0"/>
                <w:bCs w:val="0"/>
                <w:color w:val="auto"/>
                <w:sz w:val="24"/>
                <w:szCs w:val="24"/>
                <w:lang w:val="en-US" w:eastAsia="zh-CN"/>
              </w:rPr>
              <w:t>。专用的餐厨垃圾收运车辆进厂后，首先称重并记录。</w:t>
            </w:r>
            <w:r>
              <w:rPr>
                <w:rFonts w:hint="eastAsia"/>
                <w:color w:val="auto"/>
                <w:sz w:val="24"/>
                <w:szCs w:val="28"/>
                <w:lang w:val="en-US" w:eastAsia="zh-CN"/>
              </w:rPr>
              <w:t>卸料间不再进行单独分割，卸料斗上方配备密闭房。整个大</w:t>
            </w:r>
            <w:r>
              <w:rPr>
                <w:rFonts w:hint="eastAsia" w:eastAsia="宋体"/>
                <w:color w:val="auto"/>
                <w:sz w:val="24"/>
                <w:szCs w:val="28"/>
                <w:lang w:val="en-US" w:eastAsia="zh-CN"/>
              </w:rPr>
              <w:t>卸料间</w:t>
            </w:r>
            <w:r>
              <w:rPr>
                <w:rFonts w:hint="eastAsia" w:ascii="宋体" w:hAnsi="宋体" w:eastAsia="宋体" w:cs="宋体"/>
                <w:b w:val="0"/>
                <w:bCs w:val="0"/>
                <w:color w:val="auto"/>
                <w:sz w:val="24"/>
                <w:szCs w:val="24"/>
                <w:lang w:val="en-US" w:eastAsia="zh-CN"/>
              </w:rPr>
              <w:t>设置两层红外自动卷帘，接料斗设置电动上盖，实现餐厨垃圾异味不出接料间。具体为：餐厨垃圾运输车辆进入卸料间，卸料间设置自动卷帘门+风幕。当餐厨废垃圾收运车辆准备进入卸料间时第一道门自动开启，车辆行驶进入卸料车间后，第一道门自动关闭；卸料时第二道门自动开启，能有效防止臭气外逸。卸料时利用接料斗上部的</w:t>
            </w:r>
            <w:r>
              <w:rPr>
                <w:rFonts w:hint="eastAsia" w:ascii="宋体" w:hAnsi="宋体" w:cs="宋体"/>
                <w:b w:val="0"/>
                <w:bCs w:val="0"/>
                <w:color w:val="auto"/>
                <w:sz w:val="24"/>
                <w:szCs w:val="24"/>
                <w:lang w:val="en-US" w:eastAsia="zh-CN"/>
              </w:rPr>
              <w:t>配备的密封房</w:t>
            </w:r>
            <w:r>
              <w:rPr>
                <w:rFonts w:hint="eastAsia" w:ascii="宋体" w:hAnsi="宋体" w:eastAsia="宋体" w:cs="宋体"/>
                <w:b w:val="0"/>
                <w:bCs w:val="0"/>
                <w:color w:val="auto"/>
                <w:sz w:val="24"/>
                <w:szCs w:val="24"/>
                <w:lang w:val="en-US" w:eastAsia="zh-CN"/>
              </w:rPr>
              <w:t>进行废气收集。卸料完成后，利用新鲜水冲洗车辆和地面。</w:t>
            </w:r>
          </w:p>
          <w:p w14:paraId="42099FB8">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eastAsia="宋体" w:cs="Times New Roman"/>
                <w:color w:val="auto"/>
                <w:sz w:val="24"/>
                <w:szCs w:val="24"/>
                <w:lang w:val="en-US" w:eastAsia="zh-CN"/>
              </w:rPr>
            </w:pPr>
            <w:r>
              <w:rPr>
                <w:rFonts w:hint="eastAsia" w:eastAsia="宋体"/>
                <w:color w:val="auto"/>
                <w:sz w:val="24"/>
                <w:szCs w:val="28"/>
                <w:lang w:val="en-US" w:eastAsia="zh-CN"/>
              </w:rPr>
              <w:t>不卸料时，</w:t>
            </w:r>
            <w:r>
              <w:rPr>
                <w:rFonts w:hint="eastAsia"/>
                <w:color w:val="auto"/>
                <w:sz w:val="24"/>
                <w:szCs w:val="28"/>
                <w:lang w:val="en-US" w:eastAsia="zh-CN"/>
              </w:rPr>
              <w:t>卸料斗</w:t>
            </w:r>
            <w:r>
              <w:rPr>
                <w:rFonts w:hint="eastAsia" w:eastAsia="宋体"/>
                <w:color w:val="auto"/>
                <w:sz w:val="24"/>
                <w:szCs w:val="28"/>
                <w:lang w:val="en-US" w:eastAsia="zh-CN"/>
              </w:rPr>
              <w:t>密闭</w:t>
            </w:r>
            <w:r>
              <w:rPr>
                <w:rFonts w:hint="eastAsia"/>
                <w:color w:val="auto"/>
                <w:sz w:val="24"/>
                <w:szCs w:val="28"/>
                <w:lang w:val="en-US" w:eastAsia="zh-CN"/>
              </w:rPr>
              <w:t>，卸料斗设置有顶盖，顶盖设置有抽风口，通过密闭管道将臭气引至除臭装置</w:t>
            </w:r>
            <w:r>
              <w:rPr>
                <w:rFonts w:hint="eastAsia" w:eastAsia="宋体"/>
                <w:color w:val="auto"/>
                <w:sz w:val="24"/>
                <w:szCs w:val="28"/>
                <w:lang w:val="en-US" w:eastAsia="zh-CN"/>
              </w:rPr>
              <w:t>。将原生餐厨</w:t>
            </w:r>
            <w:r>
              <w:rPr>
                <w:rFonts w:hint="eastAsia"/>
                <w:color w:val="auto"/>
                <w:sz w:val="24"/>
                <w:szCs w:val="28"/>
                <w:lang w:val="en-US" w:eastAsia="zh-CN"/>
              </w:rPr>
              <w:t>垃圾</w:t>
            </w:r>
            <w:r>
              <w:rPr>
                <w:rFonts w:hint="eastAsia" w:eastAsia="宋体"/>
                <w:color w:val="auto"/>
                <w:sz w:val="24"/>
                <w:szCs w:val="28"/>
                <w:lang w:val="en-US" w:eastAsia="zh-CN"/>
              </w:rPr>
              <w:t>卸入接收斗，接收斗中的餐厨垃圾</w:t>
            </w:r>
            <w:r>
              <w:rPr>
                <w:rFonts w:hint="eastAsia"/>
                <w:color w:val="auto"/>
                <w:sz w:val="24"/>
                <w:szCs w:val="28"/>
                <w:lang w:val="en-US" w:eastAsia="zh-CN"/>
              </w:rPr>
              <w:t>进入到除杂机</w:t>
            </w:r>
            <w:r>
              <w:rPr>
                <w:rFonts w:hint="eastAsia" w:eastAsia="宋体"/>
                <w:color w:val="auto"/>
                <w:sz w:val="24"/>
                <w:szCs w:val="28"/>
                <w:lang w:val="en-US" w:eastAsia="zh-CN"/>
              </w:rPr>
              <w:t>。卸料过程中会产生恶臭气体G1，主要污染物为硫化氢和氨气、臭气浓度。</w:t>
            </w:r>
          </w:p>
          <w:p w14:paraId="15258084">
            <w:pPr>
              <w:pStyle w:val="38"/>
              <w:keepNext/>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outlineLvl w:val="9"/>
              <w:rPr>
                <w:rFonts w:hint="eastAsia" w:ascii="宋体" w:hAnsi="宋体" w:eastAsia="宋体" w:cs="宋体"/>
                <w:b w:val="0"/>
                <w:bCs w:val="0"/>
                <w:strike/>
                <w:dstrike w:val="0"/>
                <w:color w:val="auto"/>
                <w:lang w:val="en-US" w:eastAsia="zh-CN"/>
              </w:rPr>
            </w:pPr>
            <w:r>
              <w:rPr>
                <w:rFonts w:hint="eastAsia" w:ascii="宋体" w:hAnsi="宋体" w:eastAsia="宋体" w:cs="宋体"/>
                <w:b/>
                <w:bCs/>
                <w:color w:val="auto"/>
                <w:sz w:val="24"/>
                <w:szCs w:val="24"/>
                <w:lang w:val="en-US" w:eastAsia="zh-CN"/>
              </w:rPr>
              <w:t>螺旋输送</w:t>
            </w:r>
            <w:r>
              <w:rPr>
                <w:rFonts w:hint="eastAsia" w:cs="Times New Roman"/>
                <w:b/>
                <w:bCs/>
                <w:color w:val="auto"/>
                <w:sz w:val="24"/>
                <w:szCs w:val="24"/>
                <w:lang w:val="en-US" w:eastAsia="zh-CN"/>
              </w:rPr>
              <w:t>：</w:t>
            </w:r>
            <w:r>
              <w:rPr>
                <w:rFonts w:hint="eastAsia" w:ascii="宋体" w:hAnsi="宋体" w:eastAsia="宋体" w:cs="宋体"/>
                <w:b w:val="0"/>
                <w:bCs w:val="0"/>
                <w:strike w:val="0"/>
                <w:dstrike w:val="0"/>
                <w:color w:val="auto"/>
                <w:sz w:val="24"/>
                <w:szCs w:val="32"/>
                <w:lang w:val="en-US" w:eastAsia="zh-CN"/>
              </w:rPr>
              <w:t>接收斗中的餐厨垃圾由螺旋输送机输送至后端系统，</w:t>
            </w:r>
            <w:r>
              <w:rPr>
                <w:rFonts w:hint="eastAsia" w:ascii="宋体" w:hAnsi="宋体" w:eastAsia="宋体" w:cs="宋体"/>
                <w:b w:val="0"/>
                <w:bCs w:val="0"/>
                <w:strike w:val="0"/>
                <w:dstrike w:val="0"/>
                <w:color w:val="auto"/>
                <w:lang w:val="en-US" w:eastAsia="zh-CN"/>
              </w:rPr>
              <w:t>由于餐厨垃圾的含水率较高，在设备运行时，餐厨垃圾中的水分会在螺旋输送机的底部汇集。因此，需要在接料斗和螺旋输送机的底部设有滤水孔，将输送过程中的渗滤液及时排出到沥液池（4m³），再泵送至后端进行后续处理。接收斗下部配有沥水收集管道，且保证滤水孔不堵塞。根据《餐厨垃圾处理技术规范》（CJJ184-2012），本项目使用的螺旋输送机的转速可以按照工作要求进行调整，并具有自清洗功能。为了防止餐厨垃圾中大块硬物过大影响预处理工艺，螺旋输送机需具有防硬物卡死功能。卸料过程中会产生恶臭气体G1，主要污染物为硫化氢和氨气。螺旋输送机密闭，设备有抽风口，将恶臭引至除臭装置。</w:t>
            </w:r>
          </w:p>
          <w:p w14:paraId="7359E3FC">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val="0"/>
                <w:bCs w:val="0"/>
                <w:strike w:val="0"/>
                <w:dstrike w:val="0"/>
                <w:snapToGrid w:val="0"/>
                <w:color w:val="auto"/>
                <w:kern w:val="0"/>
                <w:sz w:val="24"/>
                <w:szCs w:val="20"/>
                <w:lang w:val="en-US" w:eastAsia="zh-CN" w:bidi="ar-SA"/>
              </w:rPr>
            </w:pPr>
            <w:r>
              <w:rPr>
                <w:rFonts w:hint="eastAsia" w:ascii="宋体" w:hAnsi="宋体" w:eastAsia="宋体" w:cs="宋体"/>
                <w:b/>
                <w:bCs/>
                <w:strike w:val="0"/>
                <w:dstrike w:val="0"/>
                <w:color w:val="auto"/>
                <w:sz w:val="24"/>
                <w:szCs w:val="32"/>
                <w:lang w:val="en-US" w:eastAsia="zh-CN"/>
              </w:rPr>
              <w:t>高压挤压：</w:t>
            </w:r>
            <w:r>
              <w:rPr>
                <w:rFonts w:hint="eastAsia" w:ascii="宋体" w:hAnsi="宋体" w:eastAsia="宋体" w:cs="宋体"/>
                <w:b w:val="0"/>
                <w:bCs w:val="0"/>
                <w:strike w:val="0"/>
                <w:dstrike w:val="0"/>
                <w:snapToGrid w:val="0"/>
                <w:color w:val="auto"/>
                <w:kern w:val="0"/>
                <w:sz w:val="24"/>
                <w:szCs w:val="20"/>
                <w:lang w:val="en-US" w:eastAsia="zh-CN" w:bidi="ar-SA"/>
              </w:rPr>
              <w:t>通过撕碎机进料螺旋输送机进入到撕碎机，随后通过挤压机进料螺旋进入高压挤压机，强大的挤压力可以最大程</w:t>
            </w:r>
            <w:r>
              <w:rPr>
                <w:rFonts w:hint="default" w:ascii="宋体" w:hAnsi="宋体" w:eastAsia="宋体" w:cs="宋体"/>
                <w:b w:val="0"/>
                <w:bCs w:val="0"/>
                <w:strike w:val="0"/>
                <w:dstrike w:val="0"/>
                <w:snapToGrid w:val="0"/>
                <w:color w:val="auto"/>
                <w:kern w:val="0"/>
                <w:sz w:val="24"/>
                <w:szCs w:val="20"/>
                <w:lang w:val="en-US" w:eastAsia="zh-CN" w:bidi="ar-SA"/>
              </w:rPr>
              <w:t>度</w:t>
            </w:r>
            <w:r>
              <w:rPr>
                <w:rFonts w:hint="eastAsia" w:ascii="宋体" w:hAnsi="宋体" w:cs="宋体"/>
                <w:b w:val="0"/>
                <w:bCs w:val="0"/>
                <w:strike w:val="0"/>
                <w:dstrike w:val="0"/>
                <w:snapToGrid w:val="0"/>
                <w:color w:val="auto"/>
                <w:kern w:val="0"/>
                <w:sz w:val="24"/>
                <w:szCs w:val="20"/>
                <w:lang w:val="en-US" w:eastAsia="zh-CN" w:bidi="ar-SA"/>
              </w:rPr>
              <w:t>地</w:t>
            </w:r>
            <w:r>
              <w:rPr>
                <w:rFonts w:hint="default" w:ascii="宋体" w:hAnsi="宋体" w:eastAsia="宋体" w:cs="宋体"/>
                <w:b w:val="0"/>
                <w:bCs w:val="0"/>
                <w:strike w:val="0"/>
                <w:dstrike w:val="0"/>
                <w:snapToGrid w:val="0"/>
                <w:color w:val="auto"/>
                <w:kern w:val="0"/>
                <w:sz w:val="24"/>
                <w:szCs w:val="20"/>
                <w:lang w:val="en-US" w:eastAsia="zh-CN" w:bidi="ar-SA"/>
              </w:rPr>
              <w:t>把餐厨垃圾里面的有机质分离出来，因此有机质损失小；同时，挤压得到的干料具有含水率低、热值高等特点，</w:t>
            </w:r>
            <w:r>
              <w:rPr>
                <w:rFonts w:hint="eastAsia" w:ascii="宋体" w:hAnsi="宋体" w:eastAsia="宋体" w:cs="宋体"/>
                <w:b w:val="0"/>
                <w:bCs w:val="0"/>
                <w:strike w:val="0"/>
                <w:dstrike w:val="0"/>
                <w:snapToGrid w:val="0"/>
                <w:color w:val="auto"/>
                <w:kern w:val="0"/>
                <w:sz w:val="24"/>
                <w:szCs w:val="20"/>
                <w:lang w:val="en-US" w:eastAsia="zh-CN" w:bidi="ar-SA"/>
              </w:rPr>
              <w:t>有</w:t>
            </w:r>
            <w:r>
              <w:rPr>
                <w:rFonts w:hint="default" w:ascii="宋体" w:hAnsi="宋体" w:eastAsia="宋体" w:cs="宋体"/>
                <w:b w:val="0"/>
                <w:bCs w:val="0"/>
                <w:strike w:val="0"/>
                <w:dstrike w:val="0"/>
                <w:snapToGrid w:val="0"/>
                <w:color w:val="auto"/>
                <w:kern w:val="0"/>
                <w:sz w:val="24"/>
                <w:szCs w:val="20"/>
                <w:lang w:val="en-US" w:eastAsia="zh-CN" w:bidi="ar-SA"/>
              </w:rPr>
              <w:t>利于焚烧处置。</w:t>
            </w:r>
            <w:r>
              <w:rPr>
                <w:rFonts w:hint="eastAsia" w:ascii="宋体" w:hAnsi="宋体" w:eastAsia="宋体" w:cs="宋体"/>
                <w:b w:val="0"/>
                <w:bCs w:val="0"/>
                <w:strike w:val="0"/>
                <w:dstrike w:val="0"/>
                <w:snapToGrid w:val="0"/>
                <w:color w:val="auto"/>
                <w:kern w:val="0"/>
                <w:sz w:val="24"/>
                <w:szCs w:val="20"/>
                <w:lang w:val="en-US" w:eastAsia="zh-CN" w:bidi="ar-SA"/>
              </w:rPr>
              <w:t>撕碎机进料螺旋输送机、撕碎机、挤压机进料螺旋、高压挤压机和挤压机出渣螺旋设备密闭，设有抽风口，将恶臭引至除臭装置。挤压过程中会产生恶臭气体G1，主要污染物为硫化氢和氨气、臭气浓度。</w:t>
            </w:r>
          </w:p>
          <w:p w14:paraId="482665F3">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eastAsia="宋体"/>
                <w:color w:val="auto"/>
                <w:sz w:val="24"/>
                <w:szCs w:val="28"/>
                <w:lang w:val="en-US" w:eastAsia="zh-CN"/>
              </w:rPr>
            </w:pPr>
            <w:r>
              <w:rPr>
                <w:rFonts w:hint="eastAsia" w:ascii="Times New Roman" w:hAnsi="Times New Roman" w:eastAsia="宋体" w:cs="Times New Roman"/>
                <w:b/>
                <w:bCs/>
                <w:color w:val="auto"/>
                <w:kern w:val="2"/>
                <w:sz w:val="24"/>
                <w:szCs w:val="24"/>
                <w:lang w:val="en-US" w:eastAsia="zh-CN" w:bidi="ar-SA"/>
              </w:rPr>
              <w:t>加热</w:t>
            </w:r>
            <w:r>
              <w:rPr>
                <w:rFonts w:hint="eastAsia" w:ascii="Times New Roman" w:hAnsi="Times New Roman" w:eastAsia="宋体" w:cs="Times New Roman"/>
                <w:color w:val="auto"/>
                <w:kern w:val="2"/>
                <w:sz w:val="24"/>
                <w:szCs w:val="24"/>
                <w:lang w:val="en-US" w:eastAsia="zh-CN" w:bidi="ar-SA"/>
              </w:rPr>
              <w:t>：</w:t>
            </w:r>
            <w:r>
              <w:rPr>
                <w:rFonts w:hint="eastAsia" w:cs="Times New Roman"/>
                <w:color w:val="auto"/>
                <w:kern w:val="2"/>
                <w:sz w:val="24"/>
                <w:szCs w:val="24"/>
                <w:lang w:val="en-US" w:eastAsia="zh-CN" w:bidi="ar-SA"/>
              </w:rPr>
              <w:t>高压挤压后的浆液</w:t>
            </w:r>
            <w:r>
              <w:rPr>
                <w:rFonts w:hint="eastAsia" w:ascii="Times New Roman" w:hAnsi="Times New Roman" w:eastAsia="宋体" w:cs="Times New Roman"/>
                <w:color w:val="auto"/>
                <w:kern w:val="2"/>
                <w:sz w:val="24"/>
                <w:szCs w:val="24"/>
                <w:lang w:val="en-US" w:eastAsia="zh-CN" w:bidi="ar-SA"/>
              </w:rPr>
              <w:t>进入加热</w:t>
            </w:r>
            <w:r>
              <w:rPr>
                <w:rFonts w:hint="eastAsia" w:cs="Times New Roman"/>
                <w:color w:val="auto"/>
                <w:kern w:val="2"/>
                <w:sz w:val="24"/>
                <w:szCs w:val="24"/>
                <w:lang w:val="en-US" w:eastAsia="zh-CN" w:bidi="ar-SA"/>
              </w:rPr>
              <w:t>罐/加热沉降釜</w:t>
            </w:r>
            <w:r>
              <w:rPr>
                <w:rFonts w:hint="eastAsia" w:ascii="Times New Roman" w:hAnsi="Times New Roman" w:eastAsia="宋体" w:cs="Times New Roman"/>
                <w:color w:val="auto"/>
                <w:kern w:val="2"/>
                <w:sz w:val="24"/>
                <w:szCs w:val="24"/>
                <w:lang w:val="en-US" w:eastAsia="zh-CN" w:bidi="ar-SA"/>
              </w:rPr>
              <w:t>后进行加热，加热系统一方面能够对餐厨垃圾进行有效的灭菌处理，另一方面能够将大分子有机物水解为易于微生物分解的小分子有机物</w:t>
            </w:r>
            <w:r>
              <w:rPr>
                <w:rFonts w:hint="eastAsia" w:cs="Times New Roman"/>
                <w:color w:val="auto"/>
                <w:kern w:val="2"/>
                <w:sz w:val="24"/>
                <w:szCs w:val="24"/>
                <w:lang w:val="en-US" w:eastAsia="zh-CN" w:bidi="ar-SA"/>
              </w:rPr>
              <w:t>。</w:t>
            </w:r>
            <w:r>
              <w:rPr>
                <w:rFonts w:hint="eastAsia" w:ascii="Times New Roman" w:hAnsi="Times New Roman" w:eastAsia="宋体" w:cs="Times New Roman"/>
                <w:color w:val="auto"/>
                <w:kern w:val="2"/>
                <w:sz w:val="24"/>
                <w:szCs w:val="24"/>
                <w:lang w:val="en-US" w:eastAsia="zh-CN" w:bidi="ar-SA"/>
              </w:rPr>
              <w:t>此外，能够将餐厨垃圾中的固相油脂提取出来，大幅提高餐厨废油回收效率，不仅创造了良好的经济效益，同时也避免了油脂对后续发酵所带来的不利影响。物料在加热罐内，被加热到80℃。</w:t>
            </w:r>
            <w:r>
              <w:rPr>
                <w:rFonts w:hint="eastAsia" w:cs="Times New Roman"/>
                <w:color w:val="auto"/>
                <w:kern w:val="2"/>
                <w:sz w:val="24"/>
                <w:szCs w:val="24"/>
                <w:lang w:val="en-US" w:eastAsia="zh-CN" w:bidi="ar-SA"/>
              </w:rPr>
              <w:t>加热罐带有除砂功能，除砂的物质进入到移动式出渣箱。</w:t>
            </w:r>
            <w:r>
              <w:rPr>
                <w:rFonts w:hint="default" w:ascii="Times New Roman" w:hAnsi="Times New Roman" w:eastAsia="宋体" w:cs="Times New Roman"/>
                <w:color w:val="auto"/>
                <w:kern w:val="2"/>
                <w:sz w:val="24"/>
                <w:szCs w:val="24"/>
                <w:lang w:val="en-US" w:eastAsia="zh-CN" w:bidi="ar-SA"/>
              </w:rPr>
              <w:t>加热罐</w:t>
            </w:r>
            <w:r>
              <w:rPr>
                <w:rFonts w:hint="eastAsia" w:ascii="Times New Roman" w:hAnsi="Times New Roman" w:eastAsia="宋体" w:cs="Times New Roman"/>
                <w:color w:val="auto"/>
                <w:kern w:val="2"/>
                <w:sz w:val="24"/>
                <w:szCs w:val="24"/>
                <w:lang w:val="en-US" w:eastAsia="zh-CN" w:bidi="ar-SA"/>
              </w:rPr>
              <w:t>/加热沉降釜均密闭。设备配有抽风口，可将臭气引出进行除臭处理。加热过程过程中产生恶臭气体G1（硫化氢和氨气、臭气浓度）、非甲烷总烃G2。</w:t>
            </w:r>
          </w:p>
          <w:p w14:paraId="5F9E8767">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eastAsia="zh-CN"/>
              </w:rPr>
              <w:t>三相离心</w:t>
            </w:r>
            <w:r>
              <w:rPr>
                <w:rFonts w:hint="default" w:ascii="Times New Roman" w:hAnsi="Times New Roman" w:eastAsia="宋体" w:cs="Times New Roman"/>
                <w:b/>
                <w:bCs/>
                <w:color w:val="auto"/>
                <w:sz w:val="24"/>
                <w:szCs w:val="24"/>
                <w:highlight w:val="none"/>
              </w:rPr>
              <w:t>：</w:t>
            </w:r>
            <w:r>
              <w:rPr>
                <w:rFonts w:hint="default" w:ascii="Times New Roman" w:hAnsi="Times New Roman" w:eastAsia="宋体" w:cs="Times New Roman"/>
                <w:color w:val="auto"/>
                <w:sz w:val="24"/>
                <w:szCs w:val="24"/>
                <w:highlight w:val="none"/>
              </w:rPr>
              <w:t>物料</w:t>
            </w:r>
            <w:r>
              <w:rPr>
                <w:rFonts w:hint="eastAsia" w:cs="Times New Roman"/>
                <w:color w:val="auto"/>
                <w:sz w:val="24"/>
                <w:szCs w:val="24"/>
                <w:highlight w:val="none"/>
                <w:lang w:eastAsia="zh-CN"/>
              </w:rPr>
              <w:t>通过离心机进料泵将物料</w:t>
            </w:r>
            <w:r>
              <w:rPr>
                <w:rFonts w:hint="default" w:ascii="Times New Roman" w:hAnsi="Times New Roman" w:eastAsia="宋体" w:cs="Times New Roman"/>
                <w:color w:val="auto"/>
                <w:sz w:val="24"/>
                <w:szCs w:val="24"/>
                <w:highlight w:val="none"/>
              </w:rPr>
              <w:t>送入三相离心机，在离心力的作用下把物料分为液相</w:t>
            </w:r>
            <w:r>
              <w:rPr>
                <w:rFonts w:hint="eastAsia" w:ascii="Times New Roman" w:hAnsi="Times New Roman" w:eastAsia="宋体" w:cs="Times New Roman"/>
                <w:color w:val="auto"/>
                <w:sz w:val="24"/>
                <w:szCs w:val="24"/>
                <w:highlight w:val="none"/>
                <w:lang w:eastAsia="zh-CN"/>
              </w:rPr>
              <w:t>（废水）、</w:t>
            </w:r>
            <w:r>
              <w:rPr>
                <w:rFonts w:hint="default" w:ascii="Times New Roman" w:hAnsi="Times New Roman" w:eastAsia="宋体" w:cs="Times New Roman"/>
                <w:color w:val="auto"/>
                <w:sz w:val="24"/>
                <w:szCs w:val="24"/>
                <w:highlight w:val="none"/>
                <w:lang w:eastAsia="zh-CN"/>
              </w:rPr>
              <w:t>固相</w:t>
            </w:r>
            <w:r>
              <w:rPr>
                <w:rFonts w:hint="eastAsia" w:ascii="Times New Roman" w:hAnsi="Times New Roman" w:eastAsia="宋体" w:cs="Times New Roman"/>
                <w:color w:val="auto"/>
                <w:sz w:val="24"/>
                <w:szCs w:val="24"/>
                <w:highlight w:val="none"/>
                <w:lang w:eastAsia="zh-CN"/>
              </w:rPr>
              <w:t>（固渣）</w:t>
            </w:r>
            <w:r>
              <w:rPr>
                <w:rFonts w:hint="default" w:ascii="Times New Roman" w:hAnsi="Times New Roman" w:eastAsia="宋体" w:cs="Times New Roman"/>
                <w:color w:val="auto"/>
                <w:sz w:val="24"/>
                <w:szCs w:val="24"/>
                <w:highlight w:val="none"/>
                <w:lang w:eastAsia="zh-CN"/>
              </w:rPr>
              <w:t>和油</w:t>
            </w:r>
            <w:r>
              <w:rPr>
                <w:rFonts w:hint="eastAsia" w:ascii="Times New Roman" w:hAnsi="Times New Roman" w:eastAsia="宋体" w:cs="Times New Roman"/>
                <w:color w:val="auto"/>
                <w:sz w:val="24"/>
                <w:szCs w:val="24"/>
                <w:highlight w:val="none"/>
                <w:lang w:val="en-US" w:eastAsia="zh-CN"/>
              </w:rPr>
              <w:t>相（产品废弃油脂）</w:t>
            </w:r>
            <w:r>
              <w:rPr>
                <w:rFonts w:hint="default" w:ascii="Times New Roman" w:hAnsi="Times New Roman" w:eastAsia="宋体" w:cs="Times New Roman"/>
                <w:color w:val="auto"/>
                <w:sz w:val="24"/>
                <w:szCs w:val="24"/>
                <w:highlight w:val="none"/>
                <w:lang w:eastAsia="zh-CN"/>
              </w:rPr>
              <w:t>三部分，</w:t>
            </w:r>
            <w:r>
              <w:rPr>
                <w:rFonts w:hint="eastAsia" w:ascii="Times New Roman" w:hAnsi="Times New Roman" w:eastAsia="宋体" w:cs="Times New Roman"/>
                <w:color w:val="auto"/>
                <w:sz w:val="24"/>
                <w:szCs w:val="24"/>
                <w:highlight w:val="none"/>
                <w:lang w:val="en-US" w:eastAsia="zh-CN"/>
              </w:rPr>
              <w:t>固渣通过三相离心出渣螺旋进入到</w:t>
            </w:r>
            <w:r>
              <w:rPr>
                <w:rFonts w:hint="eastAsia" w:cs="Times New Roman"/>
                <w:color w:val="auto"/>
                <w:sz w:val="24"/>
                <w:szCs w:val="24"/>
                <w:highlight w:val="none"/>
                <w:lang w:val="en-US" w:eastAsia="zh-CN"/>
              </w:rPr>
              <w:t>移动式出渣箱</w:t>
            </w:r>
            <w:r>
              <w:rPr>
                <w:rFonts w:hint="eastAsia" w:ascii="Times New Roman" w:hAnsi="Times New Roman" w:eastAsia="宋体" w:cs="Times New Roman"/>
                <w:color w:val="auto"/>
                <w:sz w:val="24"/>
                <w:szCs w:val="24"/>
                <w:highlight w:val="none"/>
                <w:lang w:val="en-US" w:eastAsia="zh-CN"/>
              </w:rPr>
              <w:t>随后统一车辆外运处理</w:t>
            </w:r>
            <w:r>
              <w:rPr>
                <w:rFonts w:hint="default" w:ascii="Times New Roman" w:hAnsi="Times New Roman" w:eastAsia="宋体" w:cs="Times New Roman"/>
                <w:color w:val="auto"/>
                <w:sz w:val="24"/>
                <w:szCs w:val="24"/>
                <w:highlight w:val="none"/>
                <w:lang w:eastAsia="zh-CN"/>
              </w:rPr>
              <w:t>；油</w:t>
            </w:r>
            <w:r>
              <w:rPr>
                <w:rFonts w:hint="eastAsia" w:ascii="Times New Roman" w:hAnsi="Times New Roman" w:eastAsia="宋体" w:cs="Times New Roman"/>
                <w:color w:val="auto"/>
                <w:sz w:val="24"/>
                <w:szCs w:val="24"/>
                <w:highlight w:val="none"/>
                <w:lang w:val="en-US" w:eastAsia="zh-CN"/>
              </w:rPr>
              <w:t>相通过计量罐称量后进入到中间沉降罐进行沉降分离；水相进入到水缓存罐，随后进入到排水罐，最后通过管道</w:t>
            </w:r>
            <w:r>
              <w:rPr>
                <w:rFonts w:hint="eastAsia" w:cs="Times New Roman"/>
                <w:color w:val="auto"/>
                <w:sz w:val="24"/>
                <w:szCs w:val="24"/>
                <w:highlight w:val="none"/>
                <w:lang w:val="en-US" w:eastAsia="zh-CN"/>
              </w:rPr>
              <w:t>输送</w:t>
            </w:r>
            <w:r>
              <w:rPr>
                <w:rFonts w:hint="eastAsia" w:ascii="Times New Roman" w:hAnsi="Times New Roman" w:eastAsia="宋体" w:cs="Times New Roman"/>
                <w:color w:val="auto"/>
                <w:sz w:val="24"/>
                <w:szCs w:val="24"/>
                <w:highlight w:val="none"/>
                <w:lang w:val="en-US" w:eastAsia="zh-CN"/>
              </w:rPr>
              <w:t>至厂区暂存废水的2个200m³的储罐。离心机设备、三相离心机出渣螺旋等设备密闭，设有抽风口，</w:t>
            </w:r>
            <w:r>
              <w:rPr>
                <w:rFonts w:hint="eastAsia" w:ascii="宋体" w:hAnsi="宋体" w:eastAsia="宋体" w:cs="宋体"/>
                <w:b w:val="0"/>
                <w:bCs w:val="0"/>
                <w:strike w:val="0"/>
                <w:dstrike w:val="0"/>
                <w:snapToGrid w:val="0"/>
                <w:color w:val="auto"/>
                <w:kern w:val="0"/>
                <w:sz w:val="24"/>
                <w:szCs w:val="20"/>
                <w:lang w:val="en-US" w:eastAsia="zh-CN" w:bidi="ar-SA"/>
              </w:rPr>
              <w:t>将恶臭引至除臭装置</w:t>
            </w:r>
            <w:r>
              <w:rPr>
                <w:rFonts w:hint="eastAsia" w:ascii="Times New Roman" w:hAnsi="Times New Roman" w:eastAsia="宋体" w:cs="Times New Roman"/>
                <w:color w:val="auto"/>
                <w:sz w:val="24"/>
                <w:szCs w:val="24"/>
                <w:highlight w:val="none"/>
                <w:lang w:val="en-US" w:eastAsia="zh-CN"/>
              </w:rPr>
              <w:t>。过程中会产生恶臭气体（硫化氢和氨气、臭气浓度）、非甲烷总烃G2。</w:t>
            </w:r>
          </w:p>
          <w:p w14:paraId="0CA86335">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textAlignment w:val="auto"/>
              <w:rPr>
                <w:rFonts w:hint="eastAsia" w:eastAsia="宋体"/>
                <w:color w:val="auto"/>
                <w:sz w:val="24"/>
                <w:szCs w:val="28"/>
                <w:lang w:val="en-US" w:eastAsia="zh-CN"/>
              </w:rPr>
            </w:pPr>
            <w:r>
              <w:rPr>
                <w:rFonts w:hint="eastAsia" w:ascii="Times New Roman" w:hAnsi="Times New Roman" w:eastAsia="宋体" w:cs="Times New Roman"/>
                <w:b/>
                <w:bCs/>
                <w:color w:val="auto"/>
                <w:sz w:val="24"/>
                <w:szCs w:val="24"/>
                <w:highlight w:val="none"/>
                <w:lang w:val="en-US" w:eastAsia="zh-CN"/>
              </w:rPr>
              <w:t>沉降分离</w:t>
            </w:r>
            <w:r>
              <w:rPr>
                <w:rFonts w:hint="eastAsia" w:ascii="Times New Roman" w:hAnsi="Times New Roman" w:eastAsia="宋体" w:cs="Times New Roman"/>
                <w:color w:val="auto"/>
                <w:sz w:val="24"/>
                <w:szCs w:val="24"/>
                <w:highlight w:val="none"/>
                <w:lang w:val="en-US" w:eastAsia="zh-CN"/>
              </w:rPr>
              <w:t>：三相分离后的油相通过沉降罐进料泵进入中间沉降罐，静置分层后，排出底部水杂，进入到厂区</w:t>
            </w:r>
            <w:r>
              <w:rPr>
                <w:rFonts w:hint="eastAsia" w:cs="Times New Roman"/>
                <w:color w:val="auto"/>
                <w:sz w:val="24"/>
                <w:szCs w:val="24"/>
                <w:highlight w:val="none"/>
                <w:lang w:val="en-US" w:eastAsia="zh-CN"/>
              </w:rPr>
              <w:t>排水罐</w:t>
            </w:r>
            <w:r>
              <w:rPr>
                <w:rFonts w:hint="eastAsia" w:ascii="Times New Roman" w:hAnsi="Times New Roman" w:eastAsia="宋体" w:cs="Times New Roman"/>
                <w:color w:val="auto"/>
                <w:sz w:val="24"/>
                <w:szCs w:val="24"/>
                <w:highlight w:val="none"/>
                <w:lang w:val="en-US" w:eastAsia="zh-CN"/>
              </w:rPr>
              <w:t>中，上层油脂即为餐厨废油产品。沉降罐设备密闭，设有抽风口，</w:t>
            </w:r>
            <w:r>
              <w:rPr>
                <w:rFonts w:hint="eastAsia" w:ascii="宋体" w:hAnsi="宋体" w:eastAsia="宋体" w:cs="宋体"/>
                <w:b w:val="0"/>
                <w:bCs w:val="0"/>
                <w:strike w:val="0"/>
                <w:dstrike w:val="0"/>
                <w:snapToGrid w:val="0"/>
                <w:color w:val="auto"/>
                <w:kern w:val="0"/>
                <w:sz w:val="24"/>
                <w:szCs w:val="20"/>
                <w:lang w:val="en-US" w:eastAsia="zh-CN" w:bidi="ar-SA"/>
              </w:rPr>
              <w:t>将恶臭引至除臭装置</w:t>
            </w:r>
            <w:r>
              <w:rPr>
                <w:rFonts w:hint="eastAsia" w:ascii="Times New Roman" w:hAnsi="Times New Roman" w:eastAsia="宋体" w:cs="Times New Roman"/>
                <w:color w:val="auto"/>
                <w:sz w:val="24"/>
                <w:szCs w:val="24"/>
                <w:highlight w:val="none"/>
                <w:lang w:val="en-US" w:eastAsia="zh-CN"/>
              </w:rPr>
              <w:t>。过程中会产生恶臭气体G1，主要污染物为硫化氢和氨气、臭气浓度。</w:t>
            </w:r>
          </w:p>
          <w:p w14:paraId="53A26F36">
            <w:pPr>
              <w:spacing w:line="360" w:lineRule="auto"/>
              <w:ind w:firstLine="482" w:firstLineChars="200"/>
              <w:rPr>
                <w:rFonts w:hint="eastAsia" w:cs="Times New Roman"/>
                <w:b/>
                <w:bCs/>
                <w:color w:val="auto"/>
                <w:kern w:val="2"/>
                <w:sz w:val="24"/>
                <w:szCs w:val="24"/>
                <w:lang w:val="en-US" w:eastAsia="zh-CN" w:bidi="ar-SA"/>
              </w:rPr>
            </w:pPr>
            <w:r>
              <w:rPr>
                <w:rFonts w:hint="eastAsia" w:cs="Times New Roman"/>
                <w:b/>
                <w:bCs/>
                <w:color w:val="auto"/>
                <w:kern w:val="2"/>
                <w:sz w:val="24"/>
                <w:szCs w:val="24"/>
                <w:lang w:val="en-US" w:eastAsia="zh-CN" w:bidi="ar-SA"/>
              </w:rPr>
              <w:t>物料平衡：</w:t>
            </w:r>
          </w:p>
          <w:p w14:paraId="72CDD327">
            <w:pPr>
              <w:jc w:val="center"/>
              <w:rPr>
                <w:rFonts w:hint="default"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表2-12餐厨垃圾初加工物料平衡表</w:t>
            </w:r>
          </w:p>
          <w:tbl>
            <w:tblPr>
              <w:tblStyle w:val="28"/>
              <w:tblW w:w="8461"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0" w:type="dxa"/>
                <w:bottom w:w="0" w:type="dxa"/>
                <w:right w:w="0" w:type="dxa"/>
              </w:tblCellMar>
            </w:tblPr>
            <w:tblGrid>
              <w:gridCol w:w="2103"/>
              <w:gridCol w:w="1742"/>
              <w:gridCol w:w="2840"/>
              <w:gridCol w:w="1776"/>
            </w:tblGrid>
            <w:tr w14:paraId="4D55BEE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90" w:hRule="atLeast"/>
                <w:jc w:val="center"/>
              </w:trPr>
              <w:tc>
                <w:tcPr>
                  <w:tcW w:w="2272" w:type="pct"/>
                  <w:gridSpan w:val="2"/>
                  <w:tcBorders>
                    <w:bottom w:val="single" w:color="000000" w:sz="4" w:space="0"/>
                    <w:right w:val="single" w:color="000000" w:sz="4" w:space="0"/>
                  </w:tcBorders>
                  <w:noWrap w:val="0"/>
                  <w:vAlign w:val="center"/>
                </w:tcPr>
                <w:p w14:paraId="0C7BA6B7">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b/>
                      <w:bCs/>
                      <w:color w:val="auto"/>
                      <w:spacing w:val="2"/>
                      <w:sz w:val="21"/>
                      <w:szCs w:val="21"/>
                    </w:rPr>
                    <w:t>投</w:t>
                  </w:r>
                  <w:r>
                    <w:rPr>
                      <w:rFonts w:hint="eastAsia" w:ascii="宋体" w:hAnsi="宋体" w:eastAsia="宋体" w:cs="宋体"/>
                      <w:b/>
                      <w:bCs/>
                      <w:color w:val="auto"/>
                      <w:sz w:val="21"/>
                      <w:szCs w:val="21"/>
                    </w:rPr>
                    <w:t>入</w:t>
                  </w:r>
                </w:p>
              </w:tc>
              <w:tc>
                <w:tcPr>
                  <w:tcW w:w="2727" w:type="pct"/>
                  <w:gridSpan w:val="2"/>
                  <w:tcBorders>
                    <w:left w:val="single" w:color="000000" w:sz="4" w:space="0"/>
                    <w:bottom w:val="single" w:color="000000" w:sz="4" w:space="0"/>
                  </w:tcBorders>
                  <w:noWrap w:val="0"/>
                  <w:vAlign w:val="center"/>
                </w:tcPr>
                <w:p w14:paraId="5C84FFDD">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b/>
                      <w:bCs/>
                      <w:color w:val="auto"/>
                      <w:spacing w:val="2"/>
                      <w:sz w:val="21"/>
                      <w:szCs w:val="21"/>
                    </w:rPr>
                    <w:t>产</w:t>
                  </w:r>
                  <w:r>
                    <w:rPr>
                      <w:rFonts w:hint="eastAsia" w:ascii="宋体" w:hAnsi="宋体" w:eastAsia="宋体" w:cs="宋体"/>
                      <w:b/>
                      <w:bCs/>
                      <w:color w:val="auto"/>
                      <w:sz w:val="21"/>
                      <w:szCs w:val="21"/>
                    </w:rPr>
                    <w:t>出</w:t>
                  </w:r>
                </w:p>
              </w:tc>
            </w:tr>
            <w:tr w14:paraId="70264A2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23" w:hRule="atLeast"/>
                <w:jc w:val="center"/>
              </w:trPr>
              <w:tc>
                <w:tcPr>
                  <w:tcW w:w="1242" w:type="pct"/>
                  <w:tcBorders>
                    <w:top w:val="single" w:color="000000" w:sz="4" w:space="0"/>
                    <w:bottom w:val="single" w:color="auto" w:sz="4" w:space="0"/>
                    <w:right w:val="single" w:color="000000" w:sz="4" w:space="0"/>
                  </w:tcBorders>
                  <w:noWrap w:val="0"/>
                  <w:vAlign w:val="center"/>
                </w:tcPr>
                <w:p w14:paraId="6A2E52EC">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b/>
                      <w:bCs/>
                      <w:color w:val="auto"/>
                      <w:spacing w:val="1"/>
                      <w:sz w:val="21"/>
                      <w:szCs w:val="21"/>
                    </w:rPr>
                    <w:t>原料名称</w:t>
                  </w:r>
                </w:p>
              </w:tc>
              <w:tc>
                <w:tcPr>
                  <w:tcW w:w="1029" w:type="pct"/>
                  <w:tcBorders>
                    <w:top w:val="single" w:color="000000" w:sz="4" w:space="0"/>
                    <w:left w:val="single" w:color="000000" w:sz="4" w:space="0"/>
                    <w:bottom w:val="single" w:color="auto" w:sz="4" w:space="0"/>
                    <w:right w:val="single" w:color="000000" w:sz="4" w:space="0"/>
                  </w:tcBorders>
                  <w:noWrap w:val="0"/>
                  <w:vAlign w:val="center"/>
                </w:tcPr>
                <w:p w14:paraId="76211DF4">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rPr>
                    <w:t>数量（t/</w:t>
                  </w:r>
                  <w:r>
                    <w:rPr>
                      <w:rFonts w:hint="eastAsia" w:ascii="宋体" w:hAnsi="宋体" w:cs="宋体"/>
                      <w:b/>
                      <w:bCs/>
                      <w:color w:val="auto"/>
                      <w:sz w:val="21"/>
                      <w:szCs w:val="21"/>
                      <w:lang w:val="en-US" w:eastAsia="zh-CN"/>
                    </w:rPr>
                    <w:t>a</w:t>
                  </w:r>
                  <w:r>
                    <w:rPr>
                      <w:rFonts w:hint="eastAsia" w:ascii="宋体" w:hAnsi="宋体" w:eastAsia="宋体" w:cs="宋体"/>
                      <w:b/>
                      <w:bCs/>
                      <w:color w:val="auto"/>
                      <w:sz w:val="21"/>
                      <w:szCs w:val="21"/>
                    </w:rPr>
                    <w:t>）</w:t>
                  </w:r>
                </w:p>
              </w:tc>
              <w:tc>
                <w:tcPr>
                  <w:tcW w:w="1678" w:type="pct"/>
                  <w:tcBorders>
                    <w:top w:val="single" w:color="000000" w:sz="4" w:space="0"/>
                    <w:left w:val="single" w:color="000000" w:sz="4" w:space="0"/>
                    <w:bottom w:val="single" w:color="000000" w:sz="4" w:space="0"/>
                    <w:right w:val="single" w:color="000000" w:sz="4" w:space="0"/>
                  </w:tcBorders>
                  <w:noWrap w:val="0"/>
                  <w:vAlign w:val="center"/>
                </w:tcPr>
                <w:p w14:paraId="1AE5792C">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b/>
                      <w:bCs/>
                      <w:color w:val="auto"/>
                      <w:spacing w:val="1"/>
                      <w:sz w:val="21"/>
                      <w:szCs w:val="21"/>
                    </w:rPr>
                    <w:t>产出物</w:t>
                  </w:r>
                </w:p>
              </w:tc>
              <w:tc>
                <w:tcPr>
                  <w:tcW w:w="1049" w:type="pct"/>
                  <w:tcBorders>
                    <w:top w:val="single" w:color="000000" w:sz="4" w:space="0"/>
                    <w:left w:val="single" w:color="000000" w:sz="4" w:space="0"/>
                    <w:bottom w:val="single" w:color="000000" w:sz="4" w:space="0"/>
                  </w:tcBorders>
                  <w:noWrap w:val="0"/>
                  <w:vAlign w:val="center"/>
                </w:tcPr>
                <w:p w14:paraId="38B7291C">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rPr>
                    <w:t>数量（t/</w:t>
                  </w:r>
                  <w:r>
                    <w:rPr>
                      <w:rFonts w:hint="eastAsia" w:ascii="宋体" w:hAnsi="宋体" w:cs="宋体"/>
                      <w:b/>
                      <w:bCs/>
                      <w:color w:val="auto"/>
                      <w:sz w:val="21"/>
                      <w:szCs w:val="21"/>
                      <w:lang w:val="en-US" w:eastAsia="zh-CN"/>
                    </w:rPr>
                    <w:t>a</w:t>
                  </w:r>
                  <w:r>
                    <w:rPr>
                      <w:rFonts w:hint="eastAsia" w:ascii="宋体" w:hAnsi="宋体" w:eastAsia="宋体" w:cs="宋体"/>
                      <w:b/>
                      <w:bCs/>
                      <w:color w:val="auto"/>
                      <w:sz w:val="21"/>
                      <w:szCs w:val="21"/>
                    </w:rPr>
                    <w:t>）</w:t>
                  </w:r>
                </w:p>
              </w:tc>
            </w:tr>
            <w:tr w14:paraId="34D5BB9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239" w:hRule="atLeast"/>
                <w:jc w:val="center"/>
              </w:trPr>
              <w:tc>
                <w:tcPr>
                  <w:tcW w:w="1242" w:type="pct"/>
                  <w:tcBorders>
                    <w:top w:val="single" w:color="auto" w:sz="4" w:space="0"/>
                    <w:left w:val="single" w:color="auto" w:sz="4" w:space="0"/>
                    <w:bottom w:val="single" w:color="auto" w:sz="4" w:space="0"/>
                    <w:right w:val="single" w:color="auto" w:sz="4" w:space="0"/>
                  </w:tcBorders>
                  <w:noWrap w:val="0"/>
                  <w:vAlign w:val="center"/>
                </w:tcPr>
                <w:p w14:paraId="7493F23B">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餐厨</w:t>
                  </w:r>
                  <w:r>
                    <w:rPr>
                      <w:rFonts w:hint="eastAsia" w:ascii="宋体" w:hAnsi="宋体" w:cs="宋体"/>
                      <w:color w:val="auto"/>
                      <w:sz w:val="21"/>
                      <w:szCs w:val="21"/>
                      <w:lang w:eastAsia="zh-CN"/>
                    </w:rPr>
                    <w:t>垃圾</w:t>
                  </w:r>
                </w:p>
              </w:tc>
              <w:tc>
                <w:tcPr>
                  <w:tcW w:w="1029" w:type="pct"/>
                  <w:tcBorders>
                    <w:top w:val="single" w:color="auto" w:sz="4" w:space="0"/>
                    <w:left w:val="single" w:color="auto" w:sz="4" w:space="0"/>
                    <w:bottom w:val="single" w:color="auto" w:sz="4" w:space="0"/>
                    <w:right w:val="single" w:color="auto" w:sz="4" w:space="0"/>
                  </w:tcBorders>
                  <w:noWrap w:val="0"/>
                  <w:vAlign w:val="center"/>
                </w:tcPr>
                <w:p w14:paraId="39A4C61C">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3000</w:t>
                  </w:r>
                </w:p>
              </w:tc>
              <w:tc>
                <w:tcPr>
                  <w:tcW w:w="1678" w:type="pct"/>
                  <w:tcBorders>
                    <w:top w:val="single" w:color="000000" w:sz="4" w:space="0"/>
                    <w:left w:val="single" w:color="auto" w:sz="4" w:space="0"/>
                    <w:bottom w:val="single" w:color="000000" w:sz="4" w:space="0"/>
                    <w:right w:val="single" w:color="000000" w:sz="4" w:space="0"/>
                  </w:tcBorders>
                  <w:noWrap w:val="0"/>
                  <w:vAlign w:val="center"/>
                </w:tcPr>
                <w:p w14:paraId="426FAE47">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废弃产品油脂</w:t>
                  </w:r>
                </w:p>
              </w:tc>
              <w:tc>
                <w:tcPr>
                  <w:tcW w:w="1049" w:type="pct"/>
                  <w:tcBorders>
                    <w:top w:val="single" w:color="000000" w:sz="4" w:space="0"/>
                    <w:left w:val="single" w:color="000000" w:sz="4" w:space="0"/>
                    <w:bottom w:val="single" w:color="000000" w:sz="4" w:space="0"/>
                  </w:tcBorders>
                  <w:noWrap w:val="0"/>
                  <w:vAlign w:val="center"/>
                </w:tcPr>
                <w:p w14:paraId="7F1CE8AD">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116.40</w:t>
                  </w:r>
                </w:p>
              </w:tc>
            </w:tr>
            <w:tr w14:paraId="5EACC39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90" w:hRule="atLeast"/>
                <w:jc w:val="center"/>
              </w:trPr>
              <w:tc>
                <w:tcPr>
                  <w:tcW w:w="1242" w:type="pct"/>
                  <w:tcBorders>
                    <w:top w:val="single" w:color="auto" w:sz="4" w:space="0"/>
                    <w:left w:val="single" w:color="auto" w:sz="4" w:space="0"/>
                    <w:bottom w:val="single" w:color="auto" w:sz="4" w:space="0"/>
                    <w:right w:val="single" w:color="auto" w:sz="4" w:space="0"/>
                  </w:tcBorders>
                  <w:noWrap w:val="0"/>
                  <w:vAlign w:val="center"/>
                </w:tcPr>
                <w:p w14:paraId="0DF2F3C8">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蒸汽</w:t>
                  </w:r>
                </w:p>
              </w:tc>
              <w:tc>
                <w:tcPr>
                  <w:tcW w:w="1029" w:type="pct"/>
                  <w:tcBorders>
                    <w:top w:val="single" w:color="auto" w:sz="4" w:space="0"/>
                    <w:left w:val="single" w:color="auto" w:sz="4" w:space="0"/>
                    <w:bottom w:val="single" w:color="auto" w:sz="4" w:space="0"/>
                    <w:right w:val="single" w:color="auto" w:sz="4" w:space="0"/>
                  </w:tcBorders>
                  <w:noWrap w:val="0"/>
                  <w:vAlign w:val="center"/>
                </w:tcPr>
                <w:p w14:paraId="32D78563">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177.24</w:t>
                  </w:r>
                </w:p>
              </w:tc>
              <w:tc>
                <w:tcPr>
                  <w:tcW w:w="1678" w:type="pct"/>
                  <w:tcBorders>
                    <w:top w:val="single" w:color="000000" w:sz="4" w:space="0"/>
                    <w:left w:val="single" w:color="auto" w:sz="4" w:space="0"/>
                    <w:bottom w:val="single" w:color="auto" w:sz="4" w:space="0"/>
                    <w:right w:val="single" w:color="000000" w:sz="4" w:space="0"/>
                  </w:tcBorders>
                  <w:noWrap w:val="0"/>
                  <w:vAlign w:val="center"/>
                </w:tcPr>
                <w:p w14:paraId="3DFBF3E4">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cs="宋体"/>
                      <w:color w:val="auto"/>
                      <w:spacing w:val="-1"/>
                      <w:sz w:val="21"/>
                      <w:szCs w:val="21"/>
                      <w:lang w:eastAsia="zh-CN"/>
                    </w:rPr>
                    <w:t>固渣</w:t>
                  </w:r>
                </w:p>
              </w:tc>
              <w:tc>
                <w:tcPr>
                  <w:tcW w:w="1049" w:type="pct"/>
                  <w:tcBorders>
                    <w:top w:val="single" w:color="000000" w:sz="4" w:space="0"/>
                    <w:left w:val="single" w:color="000000" w:sz="4" w:space="0"/>
                    <w:bottom w:val="single" w:color="auto" w:sz="4" w:space="0"/>
                  </w:tcBorders>
                  <w:noWrap w:val="0"/>
                  <w:vAlign w:val="center"/>
                </w:tcPr>
                <w:p w14:paraId="37F545FE">
                  <w:pPr>
                    <w:pStyle w:val="79"/>
                    <w:keepNext w:val="0"/>
                    <w:keepLines w:val="0"/>
                    <w:pageBreakBefore w:val="0"/>
                    <w:widowControl/>
                    <w:kinsoku/>
                    <w:wordWrap/>
                    <w:overflowPunct/>
                    <w:topLinePunct w:val="0"/>
                    <w:autoSpaceDE/>
                    <w:autoSpaceDN/>
                    <w:bidi w:val="0"/>
                    <w:adjustRightInd/>
                    <w:snapToGrid/>
                    <w:spacing w:before="21"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1088.324</w:t>
                  </w:r>
                </w:p>
              </w:tc>
            </w:tr>
            <w:tr w14:paraId="668ACD9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23" w:hRule="atLeast"/>
                <w:jc w:val="center"/>
              </w:trPr>
              <w:tc>
                <w:tcPr>
                  <w:tcW w:w="1242" w:type="pct"/>
                  <w:tcBorders>
                    <w:top w:val="single" w:color="auto" w:sz="4" w:space="0"/>
                    <w:left w:val="single" w:color="auto" w:sz="4" w:space="0"/>
                    <w:bottom w:val="single" w:color="auto" w:sz="4" w:space="0"/>
                    <w:right w:val="single" w:color="auto" w:sz="4" w:space="0"/>
                  </w:tcBorders>
                  <w:noWrap w:val="0"/>
                  <w:vAlign w:val="center"/>
                </w:tcPr>
                <w:p w14:paraId="67F69EAF">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车辆冲洗废水</w:t>
                  </w:r>
                </w:p>
              </w:tc>
              <w:tc>
                <w:tcPr>
                  <w:tcW w:w="1029" w:type="pct"/>
                  <w:tcBorders>
                    <w:top w:val="single" w:color="auto" w:sz="4" w:space="0"/>
                    <w:left w:val="single" w:color="auto" w:sz="4" w:space="0"/>
                    <w:bottom w:val="single" w:color="auto" w:sz="4" w:space="0"/>
                    <w:right w:val="single" w:color="auto" w:sz="4" w:space="0"/>
                  </w:tcBorders>
                  <w:noWrap w:val="0"/>
                  <w:vAlign w:val="center"/>
                </w:tcPr>
                <w:p w14:paraId="21F326A9">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75.9</w:t>
                  </w:r>
                </w:p>
              </w:tc>
              <w:tc>
                <w:tcPr>
                  <w:tcW w:w="1678" w:type="pct"/>
                  <w:tcBorders>
                    <w:top w:val="single" w:color="auto" w:sz="4" w:space="0"/>
                    <w:left w:val="single" w:color="auto" w:sz="4" w:space="0"/>
                    <w:bottom w:val="single" w:color="auto" w:sz="4" w:space="0"/>
                    <w:right w:val="single" w:color="auto" w:sz="4" w:space="0"/>
                  </w:tcBorders>
                  <w:noWrap w:val="0"/>
                  <w:vAlign w:val="center"/>
                </w:tcPr>
                <w:p w14:paraId="60F0596F">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三相分离后的废水</w:t>
                  </w:r>
                </w:p>
              </w:tc>
              <w:tc>
                <w:tcPr>
                  <w:tcW w:w="1049" w:type="pct"/>
                  <w:tcBorders>
                    <w:top w:val="single" w:color="auto" w:sz="4" w:space="0"/>
                    <w:left w:val="single" w:color="auto" w:sz="4" w:space="0"/>
                    <w:bottom w:val="single" w:color="auto" w:sz="4" w:space="0"/>
                  </w:tcBorders>
                  <w:noWrap w:val="0"/>
                  <w:vAlign w:val="center"/>
                </w:tcPr>
                <w:p w14:paraId="34024CE9">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2091.839</w:t>
                  </w:r>
                </w:p>
              </w:tc>
            </w:tr>
            <w:tr w14:paraId="0140F15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23" w:hRule="atLeast"/>
                <w:jc w:val="center"/>
              </w:trPr>
              <w:tc>
                <w:tcPr>
                  <w:tcW w:w="1242" w:type="pct"/>
                  <w:vMerge w:val="restart"/>
                  <w:tcBorders>
                    <w:top w:val="single" w:color="auto" w:sz="4" w:space="0"/>
                    <w:left w:val="single" w:color="auto" w:sz="4" w:space="0"/>
                    <w:right w:val="single" w:color="auto" w:sz="4" w:space="0"/>
                  </w:tcBorders>
                  <w:noWrap w:val="0"/>
                  <w:vAlign w:val="center"/>
                </w:tcPr>
                <w:p w14:paraId="5B04DEF3">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地面冲洗废水</w:t>
                  </w:r>
                </w:p>
              </w:tc>
              <w:tc>
                <w:tcPr>
                  <w:tcW w:w="1029" w:type="pct"/>
                  <w:vMerge w:val="restart"/>
                  <w:tcBorders>
                    <w:top w:val="single" w:color="auto" w:sz="4" w:space="0"/>
                    <w:left w:val="single" w:color="auto" w:sz="4" w:space="0"/>
                    <w:right w:val="single" w:color="auto" w:sz="4" w:space="0"/>
                  </w:tcBorders>
                  <w:noWrap w:val="0"/>
                  <w:vAlign w:val="center"/>
                </w:tcPr>
                <w:p w14:paraId="218F1E57">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44.22</w:t>
                  </w:r>
                </w:p>
              </w:tc>
              <w:tc>
                <w:tcPr>
                  <w:tcW w:w="1678" w:type="pct"/>
                  <w:tcBorders>
                    <w:top w:val="single" w:color="auto" w:sz="4" w:space="0"/>
                    <w:left w:val="single" w:color="auto" w:sz="4" w:space="0"/>
                    <w:bottom w:val="single" w:color="auto" w:sz="4" w:space="0"/>
                    <w:right w:val="single" w:color="auto" w:sz="4" w:space="0"/>
                  </w:tcBorders>
                  <w:noWrap w:val="0"/>
                  <w:vAlign w:val="center"/>
                </w:tcPr>
                <w:p w14:paraId="4E18B3F6">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非甲烷总烃</w:t>
                  </w:r>
                </w:p>
              </w:tc>
              <w:tc>
                <w:tcPr>
                  <w:tcW w:w="1049" w:type="pct"/>
                  <w:tcBorders>
                    <w:top w:val="single" w:color="auto" w:sz="4" w:space="0"/>
                    <w:left w:val="single" w:color="auto" w:sz="4" w:space="0"/>
                    <w:bottom w:val="single" w:color="auto" w:sz="4" w:space="0"/>
                  </w:tcBorders>
                  <w:noWrap w:val="0"/>
                  <w:vAlign w:val="center"/>
                </w:tcPr>
                <w:p w14:paraId="0B20C473">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0.70</w:t>
                  </w:r>
                </w:p>
              </w:tc>
            </w:tr>
            <w:tr w14:paraId="54E6FEA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23" w:hRule="atLeast"/>
                <w:jc w:val="center"/>
              </w:trPr>
              <w:tc>
                <w:tcPr>
                  <w:tcW w:w="1242" w:type="pct"/>
                  <w:vMerge w:val="continue"/>
                  <w:tcBorders>
                    <w:left w:val="single" w:color="auto" w:sz="4" w:space="0"/>
                    <w:right w:val="single" w:color="auto" w:sz="4" w:space="0"/>
                  </w:tcBorders>
                  <w:noWrap w:val="0"/>
                  <w:vAlign w:val="center"/>
                </w:tcPr>
                <w:p w14:paraId="3836A7F9">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eastAsia" w:ascii="宋体" w:hAnsi="宋体" w:cs="宋体"/>
                      <w:color w:val="auto"/>
                      <w:sz w:val="21"/>
                      <w:szCs w:val="21"/>
                      <w:lang w:eastAsia="zh-CN"/>
                    </w:rPr>
                  </w:pPr>
                </w:p>
              </w:tc>
              <w:tc>
                <w:tcPr>
                  <w:tcW w:w="1029" w:type="pct"/>
                  <w:vMerge w:val="continue"/>
                  <w:tcBorders>
                    <w:left w:val="single" w:color="auto" w:sz="4" w:space="0"/>
                    <w:right w:val="single" w:color="auto" w:sz="4" w:space="0"/>
                  </w:tcBorders>
                  <w:noWrap w:val="0"/>
                  <w:vAlign w:val="center"/>
                </w:tcPr>
                <w:p w14:paraId="623B90E7">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eastAsia" w:ascii="宋体" w:hAnsi="宋体" w:cs="宋体"/>
                      <w:color w:val="auto"/>
                      <w:sz w:val="21"/>
                      <w:szCs w:val="21"/>
                      <w:lang w:val="en-US" w:eastAsia="zh-CN"/>
                    </w:rPr>
                  </w:pPr>
                </w:p>
              </w:tc>
              <w:tc>
                <w:tcPr>
                  <w:tcW w:w="16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0B2F8FF">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氨气</w:t>
                  </w:r>
                </w:p>
              </w:tc>
              <w:tc>
                <w:tcPr>
                  <w:tcW w:w="1049" w:type="pct"/>
                  <w:tcBorders>
                    <w:top w:val="single" w:color="auto" w:sz="4" w:space="0"/>
                    <w:left w:val="single" w:color="auto" w:sz="4" w:space="0"/>
                    <w:bottom w:val="single" w:color="auto" w:sz="4" w:space="0"/>
                  </w:tcBorders>
                  <w:noWrap w:val="0"/>
                  <w:vAlign w:val="center"/>
                </w:tcPr>
                <w:p w14:paraId="37C867F1">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0.093</w:t>
                  </w:r>
                </w:p>
              </w:tc>
            </w:tr>
            <w:tr w14:paraId="677AC41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23" w:hRule="atLeast"/>
                <w:jc w:val="center"/>
              </w:trPr>
              <w:tc>
                <w:tcPr>
                  <w:tcW w:w="1242" w:type="pct"/>
                  <w:vMerge w:val="continue"/>
                  <w:tcBorders>
                    <w:left w:val="single" w:color="auto" w:sz="4" w:space="0"/>
                    <w:bottom w:val="single" w:color="auto" w:sz="4" w:space="0"/>
                    <w:right w:val="single" w:color="auto" w:sz="4" w:space="0"/>
                  </w:tcBorders>
                  <w:noWrap w:val="0"/>
                  <w:vAlign w:val="center"/>
                </w:tcPr>
                <w:p w14:paraId="75DA23F5">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eastAsia" w:ascii="宋体" w:hAnsi="宋体" w:cs="宋体"/>
                      <w:color w:val="auto"/>
                      <w:sz w:val="21"/>
                      <w:szCs w:val="21"/>
                      <w:lang w:eastAsia="zh-CN"/>
                    </w:rPr>
                  </w:pPr>
                </w:p>
              </w:tc>
              <w:tc>
                <w:tcPr>
                  <w:tcW w:w="1029" w:type="pct"/>
                  <w:vMerge w:val="continue"/>
                  <w:tcBorders>
                    <w:left w:val="single" w:color="auto" w:sz="4" w:space="0"/>
                    <w:bottom w:val="single" w:color="auto" w:sz="4" w:space="0"/>
                    <w:right w:val="single" w:color="auto" w:sz="4" w:space="0"/>
                  </w:tcBorders>
                  <w:noWrap w:val="0"/>
                  <w:vAlign w:val="center"/>
                </w:tcPr>
                <w:p w14:paraId="34D0F55B">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eastAsia" w:ascii="宋体" w:hAnsi="宋体" w:cs="宋体"/>
                      <w:color w:val="auto"/>
                      <w:sz w:val="21"/>
                      <w:szCs w:val="21"/>
                      <w:lang w:val="en-US" w:eastAsia="zh-CN"/>
                    </w:rPr>
                  </w:pPr>
                </w:p>
              </w:tc>
              <w:tc>
                <w:tcPr>
                  <w:tcW w:w="167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85B1115">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硫化氢</w:t>
                  </w:r>
                </w:p>
              </w:tc>
              <w:tc>
                <w:tcPr>
                  <w:tcW w:w="1049" w:type="pct"/>
                  <w:tcBorders>
                    <w:top w:val="single" w:color="auto" w:sz="4" w:space="0"/>
                    <w:left w:val="single" w:color="auto" w:sz="4" w:space="0"/>
                    <w:bottom w:val="single" w:color="auto" w:sz="4" w:space="0"/>
                  </w:tcBorders>
                  <w:noWrap w:val="0"/>
                  <w:vAlign w:val="center"/>
                </w:tcPr>
                <w:p w14:paraId="50233C2B">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0.004</w:t>
                  </w:r>
                </w:p>
              </w:tc>
            </w:tr>
            <w:tr w14:paraId="677B816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23" w:hRule="atLeast"/>
                <w:jc w:val="center"/>
              </w:trPr>
              <w:tc>
                <w:tcPr>
                  <w:tcW w:w="1242" w:type="pct"/>
                  <w:tcBorders>
                    <w:top w:val="single" w:color="auto" w:sz="4" w:space="0"/>
                    <w:right w:val="single" w:color="000000" w:sz="4" w:space="0"/>
                  </w:tcBorders>
                  <w:noWrap w:val="0"/>
                  <w:vAlign w:val="center"/>
                </w:tcPr>
                <w:p w14:paraId="5443BD6D">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b/>
                      <w:bCs/>
                      <w:color w:val="auto"/>
                      <w:spacing w:val="2"/>
                      <w:sz w:val="21"/>
                      <w:szCs w:val="21"/>
                    </w:rPr>
                    <w:t>合</w:t>
                  </w:r>
                  <w:r>
                    <w:rPr>
                      <w:rFonts w:hint="eastAsia" w:ascii="宋体" w:hAnsi="宋体" w:eastAsia="宋体" w:cs="宋体"/>
                      <w:b/>
                      <w:bCs/>
                      <w:color w:val="auto"/>
                      <w:sz w:val="21"/>
                      <w:szCs w:val="21"/>
                    </w:rPr>
                    <w:t>计</w:t>
                  </w:r>
                </w:p>
              </w:tc>
              <w:tc>
                <w:tcPr>
                  <w:tcW w:w="1029" w:type="pct"/>
                  <w:tcBorders>
                    <w:top w:val="single" w:color="auto" w:sz="4" w:space="0"/>
                    <w:left w:val="single" w:color="000000" w:sz="4" w:space="0"/>
                    <w:right w:val="single" w:color="000000" w:sz="4" w:space="0"/>
                  </w:tcBorders>
                  <w:shd w:val="clear" w:color="auto" w:fill="auto"/>
                  <w:noWrap w:val="0"/>
                  <w:vAlign w:val="center"/>
                </w:tcPr>
                <w:p w14:paraId="5C252292">
                  <w:pPr>
                    <w:keepNext w:val="0"/>
                    <w:keepLines w:val="0"/>
                    <w:widowControl/>
                    <w:suppressLineNumbers w:val="0"/>
                    <w:jc w:val="center"/>
                    <w:textAlignment w:val="center"/>
                    <w:rPr>
                      <w:rFonts w:hint="default" w:ascii="宋体" w:hAnsi="宋体" w:eastAsia="宋体" w:cs="宋体"/>
                      <w:i w:val="0"/>
                      <w:iCs w:val="0"/>
                      <w:color w:val="auto"/>
                      <w:kern w:val="2"/>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3297.36</w:t>
                  </w:r>
                </w:p>
              </w:tc>
              <w:tc>
                <w:tcPr>
                  <w:tcW w:w="1678" w:type="pct"/>
                  <w:tcBorders>
                    <w:top w:val="single" w:color="auto" w:sz="4" w:space="0"/>
                    <w:left w:val="single" w:color="000000" w:sz="4" w:space="0"/>
                    <w:right w:val="single" w:color="000000" w:sz="4" w:space="0"/>
                  </w:tcBorders>
                  <w:noWrap w:val="0"/>
                  <w:vAlign w:val="center"/>
                </w:tcPr>
                <w:p w14:paraId="23F88983">
                  <w:pPr>
                    <w:pStyle w:val="79"/>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b/>
                      <w:bCs/>
                      <w:color w:val="auto"/>
                      <w:spacing w:val="2"/>
                      <w:sz w:val="21"/>
                      <w:szCs w:val="21"/>
                    </w:rPr>
                    <w:t>合</w:t>
                  </w:r>
                  <w:r>
                    <w:rPr>
                      <w:rFonts w:hint="eastAsia" w:ascii="宋体" w:hAnsi="宋体" w:eastAsia="宋体" w:cs="宋体"/>
                      <w:b/>
                      <w:bCs/>
                      <w:color w:val="auto"/>
                      <w:sz w:val="21"/>
                      <w:szCs w:val="21"/>
                    </w:rPr>
                    <w:t>计</w:t>
                  </w:r>
                </w:p>
              </w:tc>
              <w:tc>
                <w:tcPr>
                  <w:tcW w:w="1049" w:type="pct"/>
                  <w:tcBorders>
                    <w:top w:val="single" w:color="auto" w:sz="4" w:space="0"/>
                    <w:left w:val="single" w:color="000000" w:sz="4" w:space="0"/>
                  </w:tcBorders>
                  <w:noWrap w:val="0"/>
                  <w:vAlign w:val="center"/>
                </w:tcPr>
                <w:p w14:paraId="648692B2">
                  <w:pPr>
                    <w:pStyle w:val="79"/>
                    <w:keepNext w:val="0"/>
                    <w:keepLines w:val="0"/>
                    <w:pageBreakBefore w:val="0"/>
                    <w:widowControl/>
                    <w:kinsoku/>
                    <w:wordWrap/>
                    <w:overflowPunct/>
                    <w:topLinePunct w:val="0"/>
                    <w:autoSpaceDE/>
                    <w:autoSpaceDN/>
                    <w:bidi w:val="0"/>
                    <w:adjustRightInd/>
                    <w:snapToGrid/>
                    <w:spacing w:before="22"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3297.36</w:t>
                  </w:r>
                </w:p>
              </w:tc>
            </w:tr>
          </w:tbl>
          <w:p w14:paraId="7726AAA3">
            <w:pPr>
              <w:jc w:val="center"/>
              <w:rPr>
                <w:color w:val="auto"/>
              </w:rPr>
            </w:pPr>
            <w:r>
              <w:rPr>
                <w:color w:val="auto"/>
              </w:rPr>
              <w:drawing>
                <wp:inline distT="0" distB="0" distL="114300" distR="114300">
                  <wp:extent cx="5332095" cy="4787900"/>
                  <wp:effectExtent l="0" t="0" r="1905" b="12700"/>
                  <wp:docPr id="2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6"/>
                          <pic:cNvPicPr>
                            <a:picLocks noChangeAspect="1"/>
                          </pic:cNvPicPr>
                        </pic:nvPicPr>
                        <pic:blipFill>
                          <a:blip r:embed="rId18"/>
                          <a:stretch>
                            <a:fillRect/>
                          </a:stretch>
                        </pic:blipFill>
                        <pic:spPr>
                          <a:xfrm>
                            <a:off x="0" y="0"/>
                            <a:ext cx="5332095" cy="4787900"/>
                          </a:xfrm>
                          <a:prstGeom prst="rect">
                            <a:avLst/>
                          </a:prstGeom>
                          <a:noFill/>
                          <a:ln>
                            <a:noFill/>
                          </a:ln>
                        </pic:spPr>
                      </pic:pic>
                    </a:graphicData>
                  </a:graphic>
                </wp:inline>
              </w:drawing>
            </w:r>
          </w:p>
          <w:p w14:paraId="62A2ABD3">
            <w:pPr>
              <w:pStyle w:val="14"/>
              <w:keepNext w:val="0"/>
              <w:keepLines w:val="0"/>
              <w:pageBreakBefore w:val="0"/>
              <w:widowControl/>
              <w:kinsoku/>
              <w:wordWrap/>
              <w:overflowPunct/>
              <w:topLinePunct w:val="0"/>
              <w:autoSpaceDE/>
              <w:autoSpaceDN/>
              <w:bidi w:val="0"/>
              <w:adjustRightInd/>
              <w:snapToGrid w:val="0"/>
              <w:spacing w:before="0" w:after="0" w:line="360" w:lineRule="auto"/>
              <w:ind w:right="0"/>
              <w:jc w:val="center"/>
              <w:textAlignment w:val="auto"/>
              <w:rPr>
                <w:rFonts w:hint="default" w:eastAsia="宋体"/>
                <w:b/>
                <w:bCs/>
                <w:color w:val="auto"/>
                <w:sz w:val="24"/>
                <w:szCs w:val="28"/>
                <w:lang w:val="en-US" w:eastAsia="zh-CN"/>
              </w:rPr>
            </w:pPr>
            <w:r>
              <w:rPr>
                <w:rFonts w:hint="eastAsia"/>
                <w:b/>
                <w:bCs/>
                <w:color w:val="auto"/>
                <w:sz w:val="24"/>
                <w:szCs w:val="28"/>
                <w:lang w:eastAsia="zh-CN"/>
              </w:rPr>
              <w:t>图</w:t>
            </w:r>
            <w:r>
              <w:rPr>
                <w:rFonts w:hint="eastAsia"/>
                <w:b/>
                <w:bCs/>
                <w:color w:val="auto"/>
                <w:sz w:val="24"/>
                <w:szCs w:val="28"/>
                <w:lang w:val="en-US" w:eastAsia="zh-CN"/>
              </w:rPr>
              <w:t>2-7 物料平衡图 t/a</w:t>
            </w:r>
          </w:p>
          <w:p w14:paraId="5D094AC3">
            <w:pPr>
              <w:keepNext w:val="0"/>
              <w:keepLines w:val="0"/>
              <w:pageBreakBefore w:val="0"/>
              <w:widowControl/>
              <w:suppressLineNumbers w:val="0"/>
              <w:kinsoku/>
              <w:wordWrap/>
              <w:overflowPunct/>
              <w:topLinePunct w:val="0"/>
              <w:autoSpaceDE/>
              <w:autoSpaceDN/>
              <w:bidi w:val="0"/>
              <w:adjustRightInd w:val="0"/>
              <w:snapToGrid/>
              <w:spacing w:before="157" w:beforeLines="50" w:line="360" w:lineRule="auto"/>
              <w:jc w:val="left"/>
              <w:textAlignment w:val="auto"/>
              <w:rPr>
                <w:rFonts w:hint="eastAsia" w:ascii="宋体" w:hAnsi="宋体" w:eastAsia="宋体" w:cs="宋体"/>
                <w:b/>
                <w:bCs/>
                <w:color w:val="auto"/>
                <w:sz w:val="24"/>
                <w:szCs w:val="24"/>
                <w:lang w:val="en-US" w:eastAsia="zh-CN"/>
              </w:rPr>
            </w:pPr>
            <w:r>
              <w:rPr>
                <w:rFonts w:hint="eastAsia" w:cs="Times New Roman"/>
                <w:b w:val="0"/>
                <w:bCs w:val="0"/>
                <w:color w:val="auto"/>
                <w:sz w:val="24"/>
                <w:szCs w:val="24"/>
                <w:lang w:val="en-US" w:eastAsia="zh-CN"/>
              </w:rPr>
              <w:t>3</w:t>
            </w:r>
            <w:r>
              <w:rPr>
                <w:rFonts w:hint="default" w:ascii="Times New Roman" w:hAnsi="Times New Roman" w:eastAsia="宋体" w:cs="Times New Roman"/>
                <w:b w:val="0"/>
                <w:bCs w:val="0"/>
                <w:color w:val="auto"/>
                <w:sz w:val="24"/>
                <w:szCs w:val="24"/>
                <w:lang w:val="en-US" w:eastAsia="zh-CN"/>
              </w:rPr>
              <w:t>、产排污信息汇总</w:t>
            </w:r>
          </w:p>
          <w:p w14:paraId="033940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rPr>
            </w:pPr>
            <w:r>
              <w:rPr>
                <w:rFonts w:hint="default" w:ascii="Times New Roman" w:hAnsi="Times New Roman" w:eastAsia="宋体" w:cs="Times New Roman"/>
                <w:b/>
                <w:bCs/>
                <w:color w:val="auto"/>
                <w:kern w:val="0"/>
                <w:sz w:val="21"/>
                <w:szCs w:val="21"/>
                <w:lang w:val="en-US" w:eastAsia="zh-CN" w:bidi="ar"/>
              </w:rPr>
              <w:t>表2-</w:t>
            </w:r>
            <w:r>
              <w:rPr>
                <w:rFonts w:hint="eastAsia" w:cs="Times New Roman"/>
                <w:b/>
                <w:bCs/>
                <w:color w:val="auto"/>
                <w:kern w:val="0"/>
                <w:sz w:val="21"/>
                <w:szCs w:val="21"/>
                <w:lang w:val="en-US" w:eastAsia="zh-CN" w:bidi="ar"/>
              </w:rPr>
              <w:t xml:space="preserve">13 </w:t>
            </w:r>
            <w:r>
              <w:rPr>
                <w:rFonts w:hint="default" w:ascii="Times New Roman" w:hAnsi="Times New Roman" w:eastAsia="宋体" w:cs="Times New Roman"/>
                <w:b/>
                <w:bCs/>
                <w:color w:val="auto"/>
                <w:kern w:val="0"/>
                <w:sz w:val="21"/>
                <w:szCs w:val="21"/>
                <w:lang w:val="en-US" w:eastAsia="zh-CN" w:bidi="ar"/>
              </w:rPr>
              <w:t>项目污染物产生及处置情况一览表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9"/>
              <w:gridCol w:w="368"/>
              <w:gridCol w:w="1310"/>
              <w:gridCol w:w="2586"/>
              <w:gridCol w:w="1952"/>
              <w:gridCol w:w="1690"/>
            </w:tblGrid>
            <w:tr w14:paraId="1612F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291" w:type="pct"/>
                  <w:tcBorders>
                    <w:top w:val="single" w:color="auto" w:sz="4" w:space="0"/>
                    <w:left w:val="single" w:color="auto" w:sz="4" w:space="0"/>
                    <w:bottom w:val="single" w:color="auto" w:sz="4" w:space="0"/>
                    <w:right w:val="single" w:color="auto" w:sz="4" w:space="0"/>
                  </w:tcBorders>
                  <w:vAlign w:val="center"/>
                </w:tcPr>
                <w:p w14:paraId="1B905264">
                  <w:pPr>
                    <w:adjustRightInd w:val="0"/>
                    <w:snapToGrid w:val="0"/>
                    <w:jc w:val="center"/>
                    <w:rPr>
                      <w:b/>
                      <w:color w:val="auto"/>
                      <w:kern w:val="0"/>
                      <w:szCs w:val="21"/>
                    </w:rPr>
                  </w:pPr>
                  <w:r>
                    <w:rPr>
                      <w:b/>
                      <w:color w:val="auto"/>
                      <w:kern w:val="0"/>
                      <w:szCs w:val="21"/>
                    </w:rPr>
                    <w:t>类别</w:t>
                  </w:r>
                </w:p>
              </w:tc>
              <w:tc>
                <w:tcPr>
                  <w:tcW w:w="999" w:type="pct"/>
                  <w:gridSpan w:val="2"/>
                  <w:tcBorders>
                    <w:top w:val="single" w:color="auto" w:sz="4" w:space="0"/>
                    <w:left w:val="single" w:color="auto" w:sz="4" w:space="0"/>
                    <w:bottom w:val="single" w:color="auto" w:sz="4" w:space="0"/>
                    <w:right w:val="single" w:color="auto" w:sz="4" w:space="0"/>
                  </w:tcBorders>
                  <w:vAlign w:val="center"/>
                </w:tcPr>
                <w:p w14:paraId="0586DE71">
                  <w:pPr>
                    <w:adjustRightInd w:val="0"/>
                    <w:snapToGrid w:val="0"/>
                    <w:jc w:val="center"/>
                    <w:rPr>
                      <w:b/>
                      <w:color w:val="auto"/>
                      <w:kern w:val="0"/>
                      <w:szCs w:val="21"/>
                    </w:rPr>
                  </w:pPr>
                  <w:r>
                    <w:rPr>
                      <w:b/>
                      <w:color w:val="auto"/>
                      <w:kern w:val="0"/>
                      <w:szCs w:val="21"/>
                    </w:rPr>
                    <w:t>产生工序</w:t>
                  </w:r>
                </w:p>
              </w:tc>
              <w:tc>
                <w:tcPr>
                  <w:tcW w:w="1540" w:type="pct"/>
                  <w:tcBorders>
                    <w:top w:val="single" w:color="auto" w:sz="4" w:space="0"/>
                    <w:left w:val="single" w:color="auto" w:sz="4" w:space="0"/>
                    <w:bottom w:val="single" w:color="auto" w:sz="4" w:space="0"/>
                    <w:right w:val="single" w:color="auto" w:sz="4" w:space="0"/>
                  </w:tcBorders>
                  <w:vAlign w:val="center"/>
                </w:tcPr>
                <w:p w14:paraId="213F3C2B">
                  <w:pPr>
                    <w:adjustRightInd w:val="0"/>
                    <w:snapToGrid w:val="0"/>
                    <w:jc w:val="center"/>
                    <w:rPr>
                      <w:b/>
                      <w:color w:val="auto"/>
                      <w:kern w:val="0"/>
                      <w:szCs w:val="21"/>
                    </w:rPr>
                  </w:pPr>
                  <w:r>
                    <w:rPr>
                      <w:b/>
                      <w:color w:val="auto"/>
                      <w:kern w:val="0"/>
                      <w:szCs w:val="21"/>
                    </w:rPr>
                    <w:t>污染物名称</w:t>
                  </w:r>
                </w:p>
              </w:tc>
              <w:tc>
                <w:tcPr>
                  <w:tcW w:w="1162" w:type="pct"/>
                  <w:tcBorders>
                    <w:top w:val="single" w:color="auto" w:sz="4" w:space="0"/>
                    <w:left w:val="single" w:color="auto" w:sz="4" w:space="0"/>
                    <w:bottom w:val="single" w:color="auto" w:sz="4" w:space="0"/>
                    <w:right w:val="single" w:color="auto" w:sz="4" w:space="0"/>
                  </w:tcBorders>
                  <w:vAlign w:val="center"/>
                </w:tcPr>
                <w:p w14:paraId="46EEB28F">
                  <w:pPr>
                    <w:adjustRightInd w:val="0"/>
                    <w:snapToGrid w:val="0"/>
                    <w:jc w:val="center"/>
                    <w:rPr>
                      <w:b/>
                      <w:color w:val="auto"/>
                      <w:kern w:val="0"/>
                      <w:szCs w:val="21"/>
                    </w:rPr>
                  </w:pPr>
                  <w:r>
                    <w:rPr>
                      <w:b/>
                      <w:color w:val="auto"/>
                      <w:kern w:val="0"/>
                      <w:szCs w:val="21"/>
                    </w:rPr>
                    <w:t>编码</w:t>
                  </w:r>
                </w:p>
              </w:tc>
              <w:tc>
                <w:tcPr>
                  <w:tcW w:w="1006" w:type="pct"/>
                  <w:tcBorders>
                    <w:top w:val="single" w:color="auto" w:sz="4" w:space="0"/>
                    <w:left w:val="single" w:color="auto" w:sz="4" w:space="0"/>
                    <w:bottom w:val="single" w:color="auto" w:sz="4" w:space="0"/>
                    <w:right w:val="single" w:color="auto" w:sz="4" w:space="0"/>
                  </w:tcBorders>
                  <w:vAlign w:val="center"/>
                </w:tcPr>
                <w:p w14:paraId="39C37BE7">
                  <w:pPr>
                    <w:adjustRightInd w:val="0"/>
                    <w:snapToGrid w:val="0"/>
                    <w:jc w:val="center"/>
                    <w:rPr>
                      <w:b/>
                      <w:color w:val="auto"/>
                      <w:szCs w:val="21"/>
                    </w:rPr>
                  </w:pPr>
                  <w:r>
                    <w:rPr>
                      <w:b/>
                      <w:color w:val="auto"/>
                      <w:kern w:val="0"/>
                      <w:szCs w:val="21"/>
                    </w:rPr>
                    <w:t>处理措施</w:t>
                  </w:r>
                </w:p>
              </w:tc>
            </w:tr>
            <w:tr w14:paraId="4A508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291" w:type="pct"/>
                  <w:vMerge w:val="restart"/>
                  <w:tcBorders>
                    <w:left w:val="single" w:color="auto" w:sz="4" w:space="0"/>
                    <w:right w:val="single" w:color="auto" w:sz="4" w:space="0"/>
                  </w:tcBorders>
                  <w:vAlign w:val="center"/>
                </w:tcPr>
                <w:p w14:paraId="3DC19D0F">
                  <w:pPr>
                    <w:adjustRightInd w:val="0"/>
                    <w:snapToGrid w:val="0"/>
                    <w:jc w:val="center"/>
                    <w:rPr>
                      <w:color w:val="auto"/>
                      <w:kern w:val="0"/>
                      <w:szCs w:val="21"/>
                    </w:rPr>
                  </w:pPr>
                  <w:r>
                    <w:rPr>
                      <w:color w:val="auto"/>
                      <w:kern w:val="0"/>
                      <w:szCs w:val="21"/>
                    </w:rPr>
                    <w:t>废气</w:t>
                  </w:r>
                </w:p>
              </w:tc>
              <w:tc>
                <w:tcPr>
                  <w:tcW w:w="219" w:type="pct"/>
                  <w:vMerge w:val="restart"/>
                  <w:tcBorders>
                    <w:left w:val="single" w:color="auto" w:sz="4" w:space="0"/>
                    <w:right w:val="single" w:color="auto" w:sz="4" w:space="0"/>
                  </w:tcBorders>
                  <w:shd w:val="clear" w:color="auto" w:fill="auto"/>
                  <w:vAlign w:val="center"/>
                </w:tcPr>
                <w:p w14:paraId="6A4F15B8">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餐厨废油</w:t>
                  </w:r>
                </w:p>
                <w:p w14:paraId="09159F67">
                  <w:pPr>
                    <w:adjustRightInd w:val="0"/>
                    <w:snapToGrid w:val="0"/>
                    <w:jc w:val="center"/>
                    <w:rPr>
                      <w:bCs/>
                      <w:color w:val="auto"/>
                      <w:kern w:val="0"/>
                      <w:szCs w:val="21"/>
                    </w:rPr>
                  </w:pPr>
                </w:p>
              </w:tc>
              <w:tc>
                <w:tcPr>
                  <w:tcW w:w="780" w:type="pct"/>
                  <w:tcBorders>
                    <w:left w:val="single" w:color="auto" w:sz="4" w:space="0"/>
                    <w:bottom w:val="single" w:color="auto" w:sz="4" w:space="0"/>
                    <w:right w:val="single" w:color="auto" w:sz="4" w:space="0"/>
                  </w:tcBorders>
                  <w:shd w:val="clear" w:color="auto" w:fill="auto"/>
                  <w:vAlign w:val="center"/>
                </w:tcPr>
                <w:p w14:paraId="1CB4F17F">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接料送料</w:t>
                  </w:r>
                </w:p>
              </w:tc>
              <w:tc>
                <w:tcPr>
                  <w:tcW w:w="1540" w:type="pct"/>
                  <w:tcBorders>
                    <w:top w:val="single" w:color="auto" w:sz="4" w:space="0"/>
                    <w:left w:val="single" w:color="auto" w:sz="4" w:space="0"/>
                    <w:bottom w:val="single" w:color="auto" w:sz="4" w:space="0"/>
                    <w:right w:val="single" w:color="auto" w:sz="4" w:space="0"/>
                  </w:tcBorders>
                  <w:shd w:val="clear" w:color="auto" w:fill="auto"/>
                  <w:vAlign w:val="center"/>
                </w:tcPr>
                <w:p w14:paraId="5C5905BA">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氨气、硫化氢、臭气浓度</w:t>
                  </w:r>
                </w:p>
              </w:tc>
              <w:tc>
                <w:tcPr>
                  <w:tcW w:w="1162" w:type="pct"/>
                  <w:tcBorders>
                    <w:top w:val="single" w:color="auto" w:sz="4" w:space="0"/>
                    <w:left w:val="single" w:color="auto" w:sz="4" w:space="0"/>
                    <w:bottom w:val="single" w:color="auto" w:sz="4" w:space="0"/>
                    <w:right w:val="single" w:color="auto" w:sz="4" w:space="0"/>
                  </w:tcBorders>
                  <w:vAlign w:val="center"/>
                </w:tcPr>
                <w:p w14:paraId="74ADC5BB">
                  <w:pPr>
                    <w:adjustRightInd w:val="0"/>
                    <w:snapToGrid w:val="0"/>
                    <w:spacing w:line="240" w:lineRule="auto"/>
                    <w:jc w:val="center"/>
                    <w:rPr>
                      <w:bCs/>
                      <w:color w:val="auto"/>
                      <w:kern w:val="0"/>
                      <w:szCs w:val="21"/>
                    </w:rPr>
                  </w:pPr>
                  <w:r>
                    <w:rPr>
                      <w:rFonts w:hint="eastAsia"/>
                      <w:bCs/>
                      <w:color w:val="auto"/>
                      <w:kern w:val="0"/>
                      <w:szCs w:val="21"/>
                    </w:rPr>
                    <w:t>G</w:t>
                  </w:r>
                  <w:r>
                    <w:rPr>
                      <w:bCs/>
                      <w:color w:val="auto"/>
                      <w:kern w:val="0"/>
                      <w:szCs w:val="21"/>
                    </w:rPr>
                    <w:t>1</w:t>
                  </w:r>
                </w:p>
              </w:tc>
              <w:tc>
                <w:tcPr>
                  <w:tcW w:w="1006" w:type="pct"/>
                  <w:vMerge w:val="restart"/>
                  <w:tcBorders>
                    <w:left w:val="single" w:color="auto" w:sz="4" w:space="0"/>
                    <w:right w:val="single" w:color="auto" w:sz="4" w:space="0"/>
                  </w:tcBorders>
                  <w:vAlign w:val="center"/>
                </w:tcPr>
                <w:p w14:paraId="2A24E681">
                  <w:pPr>
                    <w:adjustRightInd w:val="0"/>
                    <w:snapToGrid w:val="0"/>
                    <w:jc w:val="center"/>
                    <w:rPr>
                      <w:rFonts w:hint="default" w:ascii="Times New Roman" w:hAnsi="Times New Roman" w:eastAsia="宋体" w:cs="Times New Roman"/>
                      <w:bCs/>
                      <w:color w:val="auto"/>
                      <w:kern w:val="0"/>
                      <w:szCs w:val="21"/>
                      <w:lang w:val="en-US" w:eastAsia="zh-CN"/>
                    </w:rPr>
                  </w:pPr>
                  <w:r>
                    <w:rPr>
                      <w:rFonts w:hint="eastAsia" w:ascii="Times New Roman" w:hAnsi="Times New Roman" w:eastAsia="宋体" w:cs="Times New Roman"/>
                      <w:bCs/>
                      <w:color w:val="auto"/>
                      <w:kern w:val="0"/>
                      <w:szCs w:val="21"/>
                      <w:lang w:val="en-US" w:eastAsia="zh-CN"/>
                    </w:rPr>
                    <w:t>生产车间加热罐、三相离心设备废气</w:t>
                  </w:r>
                  <w:r>
                    <w:rPr>
                      <w:rFonts w:hint="default" w:ascii="Times New Roman" w:hAnsi="Times New Roman" w:eastAsia="宋体" w:cs="Times New Roman"/>
                      <w:bCs/>
                      <w:color w:val="auto"/>
                      <w:kern w:val="0"/>
                      <w:szCs w:val="21"/>
                      <w:lang w:val="en-US" w:eastAsia="zh-CN"/>
                    </w:rPr>
                    <w:t>经过油雾净化器</w:t>
                  </w:r>
                  <w:r>
                    <w:rPr>
                      <w:rFonts w:hint="eastAsia" w:ascii="Times New Roman" w:hAnsi="Times New Roman" w:eastAsia="宋体" w:cs="Times New Roman"/>
                      <w:bCs/>
                      <w:color w:val="auto"/>
                      <w:kern w:val="0"/>
                      <w:szCs w:val="21"/>
                      <w:lang w:val="en-US" w:eastAsia="zh-CN"/>
                    </w:rPr>
                    <w:t>+管式热交换器处理</w:t>
                  </w:r>
                  <w:r>
                    <w:rPr>
                      <w:rFonts w:hint="default" w:ascii="Times New Roman" w:hAnsi="Times New Roman" w:eastAsia="宋体" w:cs="Times New Roman"/>
                      <w:bCs/>
                      <w:color w:val="auto"/>
                      <w:kern w:val="0"/>
                      <w:szCs w:val="21"/>
                      <w:lang w:val="en-US" w:eastAsia="zh-CN"/>
                    </w:rPr>
                    <w:t>后</w:t>
                  </w:r>
                  <w:r>
                    <w:rPr>
                      <w:rFonts w:hint="eastAsia" w:ascii="Times New Roman" w:hAnsi="Times New Roman" w:eastAsia="宋体" w:cs="Times New Roman"/>
                      <w:bCs/>
                      <w:color w:val="auto"/>
                      <w:kern w:val="0"/>
                      <w:szCs w:val="21"/>
                      <w:lang w:val="en-US" w:eastAsia="zh-CN"/>
                    </w:rPr>
                    <w:t>，</w:t>
                  </w:r>
                  <w:r>
                    <w:rPr>
                      <w:rFonts w:hint="eastAsia" w:cs="Times New Roman"/>
                      <w:bCs/>
                      <w:color w:val="auto"/>
                      <w:kern w:val="0"/>
                      <w:szCs w:val="21"/>
                      <w:lang w:val="en-US" w:eastAsia="zh-CN"/>
                    </w:rPr>
                    <w:t>汇同车间其他</w:t>
                  </w:r>
                  <w:r>
                    <w:rPr>
                      <w:rFonts w:hint="default" w:ascii="Times New Roman" w:hAnsi="Times New Roman" w:eastAsia="宋体" w:cs="Times New Roman"/>
                      <w:bCs/>
                      <w:color w:val="auto"/>
                      <w:kern w:val="0"/>
                      <w:szCs w:val="21"/>
                      <w:lang w:val="en-US" w:eastAsia="zh-CN"/>
                    </w:rPr>
                    <w:t>废气</w:t>
                  </w:r>
                  <w:r>
                    <w:rPr>
                      <w:rFonts w:hint="eastAsia" w:cs="Times New Roman"/>
                      <w:bCs/>
                      <w:color w:val="auto"/>
                      <w:kern w:val="0"/>
                      <w:szCs w:val="21"/>
                      <w:lang w:val="en-US" w:eastAsia="zh-CN"/>
                    </w:rPr>
                    <w:t>、储罐废气收集后</w:t>
                  </w:r>
                  <w:r>
                    <w:rPr>
                      <w:rFonts w:hint="default" w:ascii="Times New Roman" w:hAnsi="Times New Roman" w:eastAsia="宋体" w:cs="Times New Roman"/>
                      <w:bCs/>
                      <w:color w:val="auto"/>
                      <w:kern w:val="0"/>
                      <w:szCs w:val="21"/>
                      <w:lang w:val="en-US" w:eastAsia="zh-CN"/>
                    </w:rPr>
                    <w:t>混合进入酸洗+碱洗+</w:t>
                  </w:r>
                  <w:r>
                    <w:rPr>
                      <w:rFonts w:hint="eastAsia" w:cs="Times New Roman"/>
                      <w:bCs/>
                      <w:color w:val="auto"/>
                      <w:kern w:val="0"/>
                      <w:szCs w:val="21"/>
                      <w:lang w:val="en-US" w:eastAsia="zh-CN"/>
                    </w:rPr>
                    <w:t>次氯酸钠洗+干式过滤器+一级活性炭</w:t>
                  </w:r>
                  <w:r>
                    <w:rPr>
                      <w:rFonts w:hint="default" w:ascii="Times New Roman" w:hAnsi="Times New Roman" w:eastAsia="宋体" w:cs="Times New Roman"/>
                      <w:bCs/>
                      <w:color w:val="auto"/>
                      <w:kern w:val="0"/>
                      <w:szCs w:val="21"/>
                      <w:lang w:val="en-US" w:eastAsia="zh-CN"/>
                    </w:rPr>
                    <w:t>吸附</w:t>
                  </w:r>
                  <w:r>
                    <w:rPr>
                      <w:rFonts w:hint="eastAsia" w:ascii="Times New Roman" w:hAnsi="Times New Roman" w:eastAsia="宋体" w:cs="Times New Roman"/>
                      <w:bCs/>
                      <w:color w:val="auto"/>
                      <w:kern w:val="0"/>
                      <w:szCs w:val="21"/>
                      <w:lang w:val="en-US" w:eastAsia="zh-CN"/>
                    </w:rPr>
                    <w:t>后通过排气筒（DA001，15m）排放</w:t>
                  </w:r>
                </w:p>
              </w:tc>
            </w:tr>
            <w:tr w14:paraId="2931A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291" w:type="pct"/>
                  <w:vMerge w:val="continue"/>
                  <w:tcBorders>
                    <w:left w:val="single" w:color="auto" w:sz="4" w:space="0"/>
                    <w:right w:val="single" w:color="auto" w:sz="4" w:space="0"/>
                  </w:tcBorders>
                  <w:vAlign w:val="center"/>
                </w:tcPr>
                <w:p w14:paraId="1B81519F">
                  <w:pPr>
                    <w:adjustRightInd w:val="0"/>
                    <w:snapToGrid w:val="0"/>
                    <w:jc w:val="center"/>
                    <w:rPr>
                      <w:color w:val="auto"/>
                      <w:kern w:val="0"/>
                      <w:szCs w:val="21"/>
                    </w:rPr>
                  </w:pPr>
                </w:p>
              </w:tc>
              <w:tc>
                <w:tcPr>
                  <w:tcW w:w="219" w:type="pct"/>
                  <w:vMerge w:val="continue"/>
                  <w:tcBorders>
                    <w:left w:val="single" w:color="auto" w:sz="4" w:space="0"/>
                    <w:right w:val="single" w:color="auto" w:sz="4" w:space="0"/>
                  </w:tcBorders>
                  <w:vAlign w:val="center"/>
                </w:tcPr>
                <w:p w14:paraId="7C1BF14B">
                  <w:pPr>
                    <w:adjustRightInd w:val="0"/>
                    <w:snapToGrid w:val="0"/>
                    <w:jc w:val="center"/>
                    <w:rPr>
                      <w:bCs/>
                      <w:color w:val="auto"/>
                      <w:kern w:val="0"/>
                      <w:szCs w:val="21"/>
                    </w:rPr>
                  </w:pPr>
                </w:p>
              </w:tc>
              <w:tc>
                <w:tcPr>
                  <w:tcW w:w="780" w:type="pct"/>
                  <w:tcBorders>
                    <w:left w:val="single" w:color="auto" w:sz="4" w:space="0"/>
                    <w:bottom w:val="single" w:color="auto" w:sz="4" w:space="0"/>
                    <w:right w:val="single" w:color="auto" w:sz="4" w:space="0"/>
                  </w:tcBorders>
                  <w:shd w:val="clear" w:color="auto" w:fill="auto"/>
                  <w:vAlign w:val="center"/>
                </w:tcPr>
                <w:p w14:paraId="2FA7B68E">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除杂</w:t>
                  </w:r>
                </w:p>
              </w:tc>
              <w:tc>
                <w:tcPr>
                  <w:tcW w:w="1540" w:type="pct"/>
                  <w:tcBorders>
                    <w:top w:val="single" w:color="auto" w:sz="4" w:space="0"/>
                    <w:left w:val="single" w:color="auto" w:sz="4" w:space="0"/>
                    <w:bottom w:val="single" w:color="auto" w:sz="4" w:space="0"/>
                    <w:right w:val="single" w:color="auto" w:sz="4" w:space="0"/>
                  </w:tcBorders>
                  <w:shd w:val="clear" w:color="auto" w:fill="auto"/>
                  <w:vAlign w:val="center"/>
                </w:tcPr>
                <w:p w14:paraId="44CC1F64">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氨气、硫化氢、臭气浓度</w:t>
                  </w:r>
                </w:p>
              </w:tc>
              <w:tc>
                <w:tcPr>
                  <w:tcW w:w="1162" w:type="pct"/>
                  <w:tcBorders>
                    <w:top w:val="single" w:color="auto" w:sz="4" w:space="0"/>
                    <w:left w:val="single" w:color="auto" w:sz="4" w:space="0"/>
                    <w:bottom w:val="single" w:color="auto" w:sz="4" w:space="0"/>
                    <w:right w:val="single" w:color="auto" w:sz="4" w:space="0"/>
                  </w:tcBorders>
                  <w:vAlign w:val="center"/>
                </w:tcPr>
                <w:p w14:paraId="1F71775C">
                  <w:pPr>
                    <w:adjustRightInd w:val="0"/>
                    <w:snapToGrid w:val="0"/>
                    <w:spacing w:line="240" w:lineRule="auto"/>
                    <w:jc w:val="center"/>
                    <w:rPr>
                      <w:bCs/>
                      <w:color w:val="auto"/>
                      <w:kern w:val="0"/>
                      <w:szCs w:val="21"/>
                    </w:rPr>
                  </w:pPr>
                  <w:r>
                    <w:rPr>
                      <w:rFonts w:hint="eastAsia"/>
                      <w:bCs/>
                      <w:color w:val="auto"/>
                      <w:kern w:val="0"/>
                      <w:szCs w:val="21"/>
                    </w:rPr>
                    <w:t>G</w:t>
                  </w:r>
                  <w:r>
                    <w:rPr>
                      <w:bCs/>
                      <w:color w:val="auto"/>
                      <w:kern w:val="0"/>
                      <w:szCs w:val="21"/>
                    </w:rPr>
                    <w:t>1</w:t>
                  </w:r>
                </w:p>
              </w:tc>
              <w:tc>
                <w:tcPr>
                  <w:tcW w:w="1006" w:type="pct"/>
                  <w:vMerge w:val="continue"/>
                  <w:tcBorders>
                    <w:left w:val="single" w:color="auto" w:sz="4" w:space="0"/>
                    <w:right w:val="single" w:color="auto" w:sz="4" w:space="0"/>
                  </w:tcBorders>
                  <w:vAlign w:val="center"/>
                </w:tcPr>
                <w:p w14:paraId="11858C2E">
                  <w:pPr>
                    <w:adjustRightInd w:val="0"/>
                    <w:snapToGrid w:val="0"/>
                    <w:jc w:val="center"/>
                    <w:rPr>
                      <w:rFonts w:hint="eastAsia" w:ascii="Times New Roman" w:hAnsi="Times New Roman" w:eastAsia="宋体" w:cs="Times New Roman"/>
                      <w:bCs/>
                      <w:color w:val="auto"/>
                      <w:kern w:val="0"/>
                      <w:szCs w:val="21"/>
                      <w:lang w:val="zh-CN" w:eastAsia="zh-CN"/>
                    </w:rPr>
                  </w:pPr>
                </w:p>
              </w:tc>
            </w:tr>
            <w:tr w14:paraId="2424E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291" w:type="pct"/>
                  <w:vMerge w:val="continue"/>
                  <w:tcBorders>
                    <w:left w:val="single" w:color="auto" w:sz="4" w:space="0"/>
                    <w:right w:val="single" w:color="auto" w:sz="4" w:space="0"/>
                  </w:tcBorders>
                  <w:vAlign w:val="center"/>
                </w:tcPr>
                <w:p w14:paraId="4F36E630">
                  <w:pPr>
                    <w:adjustRightInd w:val="0"/>
                    <w:snapToGrid w:val="0"/>
                    <w:jc w:val="center"/>
                    <w:rPr>
                      <w:color w:val="auto"/>
                      <w:kern w:val="0"/>
                      <w:szCs w:val="21"/>
                    </w:rPr>
                  </w:pPr>
                </w:p>
              </w:tc>
              <w:tc>
                <w:tcPr>
                  <w:tcW w:w="219" w:type="pct"/>
                  <w:vMerge w:val="continue"/>
                  <w:tcBorders>
                    <w:left w:val="single" w:color="auto" w:sz="4" w:space="0"/>
                    <w:right w:val="single" w:color="auto" w:sz="4" w:space="0"/>
                  </w:tcBorders>
                  <w:vAlign w:val="center"/>
                </w:tcPr>
                <w:p w14:paraId="271F885A">
                  <w:pPr>
                    <w:adjustRightInd w:val="0"/>
                    <w:snapToGrid w:val="0"/>
                    <w:jc w:val="center"/>
                    <w:rPr>
                      <w:bCs/>
                      <w:color w:val="auto"/>
                      <w:kern w:val="0"/>
                      <w:szCs w:val="21"/>
                    </w:rPr>
                  </w:pPr>
                </w:p>
              </w:tc>
              <w:tc>
                <w:tcPr>
                  <w:tcW w:w="780" w:type="pct"/>
                  <w:tcBorders>
                    <w:left w:val="single" w:color="auto" w:sz="4" w:space="0"/>
                    <w:bottom w:val="single" w:color="auto" w:sz="4" w:space="0"/>
                    <w:right w:val="single" w:color="auto" w:sz="4" w:space="0"/>
                  </w:tcBorders>
                  <w:shd w:val="clear" w:color="auto" w:fill="auto"/>
                  <w:vAlign w:val="center"/>
                </w:tcPr>
                <w:p w14:paraId="2A170B62">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加热</w:t>
                  </w:r>
                </w:p>
              </w:tc>
              <w:tc>
                <w:tcPr>
                  <w:tcW w:w="1540" w:type="pct"/>
                  <w:tcBorders>
                    <w:top w:val="single" w:color="auto" w:sz="4" w:space="0"/>
                    <w:left w:val="single" w:color="auto" w:sz="4" w:space="0"/>
                    <w:bottom w:val="single" w:color="auto" w:sz="4" w:space="0"/>
                    <w:right w:val="single" w:color="auto" w:sz="4" w:space="0"/>
                  </w:tcBorders>
                  <w:shd w:val="clear" w:color="auto" w:fill="auto"/>
                  <w:vAlign w:val="center"/>
                </w:tcPr>
                <w:p w14:paraId="28B163F1">
                  <w:pPr>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eastAsia="zh-CN"/>
                    </w:rPr>
                    <w:t>氨气、硫化氢、臭气浓度、</w:t>
                  </w:r>
                  <w:r>
                    <w:rPr>
                      <w:rFonts w:hint="eastAsia"/>
                      <w:color w:val="auto"/>
                      <w:szCs w:val="21"/>
                      <w:lang w:val="en-US" w:eastAsia="zh-CN"/>
                    </w:rPr>
                    <w:t>非甲烷总听</w:t>
                  </w:r>
                </w:p>
              </w:tc>
              <w:tc>
                <w:tcPr>
                  <w:tcW w:w="1162" w:type="pct"/>
                  <w:tcBorders>
                    <w:top w:val="single" w:color="auto" w:sz="4" w:space="0"/>
                    <w:left w:val="single" w:color="auto" w:sz="4" w:space="0"/>
                    <w:bottom w:val="single" w:color="auto" w:sz="4" w:space="0"/>
                    <w:right w:val="single" w:color="auto" w:sz="4" w:space="0"/>
                  </w:tcBorders>
                  <w:vAlign w:val="center"/>
                </w:tcPr>
                <w:p w14:paraId="04E3277B">
                  <w:pPr>
                    <w:adjustRightInd w:val="0"/>
                    <w:snapToGrid w:val="0"/>
                    <w:spacing w:line="240" w:lineRule="auto"/>
                    <w:jc w:val="center"/>
                    <w:rPr>
                      <w:bCs/>
                      <w:color w:val="auto"/>
                      <w:kern w:val="0"/>
                      <w:szCs w:val="21"/>
                    </w:rPr>
                  </w:pPr>
                  <w:r>
                    <w:rPr>
                      <w:rFonts w:hint="eastAsia"/>
                      <w:bCs/>
                      <w:color w:val="auto"/>
                      <w:kern w:val="0"/>
                      <w:szCs w:val="21"/>
                    </w:rPr>
                    <w:t>G</w:t>
                  </w:r>
                  <w:r>
                    <w:rPr>
                      <w:bCs/>
                      <w:color w:val="auto"/>
                      <w:kern w:val="0"/>
                      <w:szCs w:val="21"/>
                    </w:rPr>
                    <w:t>1</w:t>
                  </w:r>
                  <w:r>
                    <w:rPr>
                      <w:rFonts w:hint="eastAsia"/>
                      <w:bCs/>
                      <w:color w:val="auto"/>
                      <w:kern w:val="0"/>
                      <w:szCs w:val="21"/>
                      <w:lang w:eastAsia="zh-CN"/>
                    </w:rPr>
                    <w:t>、</w:t>
                  </w:r>
                  <w:r>
                    <w:rPr>
                      <w:rFonts w:hint="eastAsia"/>
                      <w:bCs/>
                      <w:color w:val="auto"/>
                      <w:kern w:val="0"/>
                      <w:szCs w:val="21"/>
                    </w:rPr>
                    <w:t>G</w:t>
                  </w:r>
                  <w:r>
                    <w:rPr>
                      <w:bCs/>
                      <w:color w:val="auto"/>
                      <w:kern w:val="0"/>
                      <w:szCs w:val="21"/>
                    </w:rPr>
                    <w:t>2</w:t>
                  </w:r>
                </w:p>
              </w:tc>
              <w:tc>
                <w:tcPr>
                  <w:tcW w:w="1006" w:type="pct"/>
                  <w:vMerge w:val="continue"/>
                  <w:tcBorders>
                    <w:left w:val="single" w:color="auto" w:sz="4" w:space="0"/>
                    <w:right w:val="single" w:color="auto" w:sz="4" w:space="0"/>
                  </w:tcBorders>
                  <w:vAlign w:val="center"/>
                </w:tcPr>
                <w:p w14:paraId="1AF369AF">
                  <w:pPr>
                    <w:adjustRightInd w:val="0"/>
                    <w:snapToGrid w:val="0"/>
                    <w:jc w:val="center"/>
                    <w:rPr>
                      <w:rFonts w:hint="eastAsia" w:ascii="Times New Roman" w:hAnsi="Times New Roman" w:eastAsia="宋体" w:cs="Times New Roman"/>
                      <w:bCs/>
                      <w:color w:val="auto"/>
                      <w:kern w:val="0"/>
                      <w:szCs w:val="21"/>
                      <w:lang w:val="zh-CN" w:eastAsia="zh-CN"/>
                    </w:rPr>
                  </w:pPr>
                </w:p>
              </w:tc>
            </w:tr>
            <w:tr w14:paraId="75BC6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291" w:type="pct"/>
                  <w:vMerge w:val="continue"/>
                  <w:tcBorders>
                    <w:left w:val="single" w:color="auto" w:sz="4" w:space="0"/>
                    <w:right w:val="single" w:color="auto" w:sz="4" w:space="0"/>
                  </w:tcBorders>
                  <w:vAlign w:val="center"/>
                </w:tcPr>
                <w:p w14:paraId="33AD352F">
                  <w:pPr>
                    <w:adjustRightInd w:val="0"/>
                    <w:snapToGrid w:val="0"/>
                    <w:jc w:val="center"/>
                    <w:rPr>
                      <w:color w:val="auto"/>
                      <w:kern w:val="0"/>
                      <w:szCs w:val="21"/>
                    </w:rPr>
                  </w:pPr>
                </w:p>
              </w:tc>
              <w:tc>
                <w:tcPr>
                  <w:tcW w:w="219" w:type="pct"/>
                  <w:vMerge w:val="continue"/>
                  <w:tcBorders>
                    <w:left w:val="single" w:color="auto" w:sz="4" w:space="0"/>
                    <w:right w:val="single" w:color="auto" w:sz="4" w:space="0"/>
                  </w:tcBorders>
                  <w:vAlign w:val="center"/>
                </w:tcPr>
                <w:p w14:paraId="69FA766B">
                  <w:pPr>
                    <w:adjustRightInd w:val="0"/>
                    <w:snapToGrid w:val="0"/>
                    <w:jc w:val="center"/>
                    <w:rPr>
                      <w:bCs/>
                      <w:color w:val="auto"/>
                      <w:kern w:val="0"/>
                      <w:szCs w:val="21"/>
                    </w:rPr>
                  </w:pPr>
                </w:p>
              </w:tc>
              <w:tc>
                <w:tcPr>
                  <w:tcW w:w="780" w:type="pct"/>
                  <w:tcBorders>
                    <w:left w:val="single" w:color="auto" w:sz="4" w:space="0"/>
                    <w:bottom w:val="single" w:color="auto" w:sz="4" w:space="0"/>
                    <w:right w:val="single" w:color="auto" w:sz="4" w:space="0"/>
                  </w:tcBorders>
                  <w:shd w:val="clear" w:color="auto" w:fill="auto"/>
                  <w:vAlign w:val="center"/>
                </w:tcPr>
                <w:p w14:paraId="397A64DC">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三相离心</w:t>
                  </w:r>
                </w:p>
              </w:tc>
              <w:tc>
                <w:tcPr>
                  <w:tcW w:w="1540" w:type="pct"/>
                  <w:tcBorders>
                    <w:top w:val="single" w:color="auto" w:sz="4" w:space="0"/>
                    <w:left w:val="single" w:color="auto" w:sz="4" w:space="0"/>
                    <w:bottom w:val="single" w:color="auto" w:sz="4" w:space="0"/>
                    <w:right w:val="single" w:color="auto" w:sz="4" w:space="0"/>
                  </w:tcBorders>
                  <w:shd w:val="clear" w:color="auto" w:fill="auto"/>
                  <w:vAlign w:val="center"/>
                </w:tcPr>
                <w:p w14:paraId="0566B4D5">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氨气、硫化氢、臭气浓度、非甲烷总烃</w:t>
                  </w:r>
                </w:p>
              </w:tc>
              <w:tc>
                <w:tcPr>
                  <w:tcW w:w="1162" w:type="pct"/>
                  <w:tcBorders>
                    <w:top w:val="single" w:color="auto" w:sz="4" w:space="0"/>
                    <w:left w:val="single" w:color="auto" w:sz="4" w:space="0"/>
                    <w:bottom w:val="single" w:color="auto" w:sz="4" w:space="0"/>
                    <w:right w:val="single" w:color="auto" w:sz="4" w:space="0"/>
                  </w:tcBorders>
                  <w:vAlign w:val="center"/>
                </w:tcPr>
                <w:p w14:paraId="73A1FA8B">
                  <w:pPr>
                    <w:adjustRightInd w:val="0"/>
                    <w:snapToGrid w:val="0"/>
                    <w:spacing w:line="240" w:lineRule="auto"/>
                    <w:jc w:val="center"/>
                    <w:rPr>
                      <w:bCs/>
                      <w:color w:val="auto"/>
                      <w:kern w:val="0"/>
                      <w:szCs w:val="21"/>
                    </w:rPr>
                  </w:pPr>
                  <w:r>
                    <w:rPr>
                      <w:rFonts w:hint="eastAsia"/>
                      <w:bCs/>
                      <w:color w:val="auto"/>
                      <w:kern w:val="0"/>
                      <w:szCs w:val="21"/>
                    </w:rPr>
                    <w:t>G</w:t>
                  </w:r>
                  <w:r>
                    <w:rPr>
                      <w:bCs/>
                      <w:color w:val="auto"/>
                      <w:kern w:val="0"/>
                      <w:szCs w:val="21"/>
                    </w:rPr>
                    <w:t>1</w:t>
                  </w:r>
                  <w:r>
                    <w:rPr>
                      <w:rFonts w:hint="eastAsia"/>
                      <w:bCs/>
                      <w:color w:val="auto"/>
                      <w:kern w:val="0"/>
                      <w:szCs w:val="21"/>
                      <w:lang w:eastAsia="zh-CN"/>
                    </w:rPr>
                    <w:t>、</w:t>
                  </w:r>
                  <w:r>
                    <w:rPr>
                      <w:rFonts w:hint="eastAsia"/>
                      <w:bCs/>
                      <w:color w:val="auto"/>
                      <w:kern w:val="0"/>
                      <w:szCs w:val="21"/>
                    </w:rPr>
                    <w:t>G</w:t>
                  </w:r>
                  <w:r>
                    <w:rPr>
                      <w:bCs/>
                      <w:color w:val="auto"/>
                      <w:kern w:val="0"/>
                      <w:szCs w:val="21"/>
                    </w:rPr>
                    <w:t>2</w:t>
                  </w:r>
                </w:p>
              </w:tc>
              <w:tc>
                <w:tcPr>
                  <w:tcW w:w="1006" w:type="pct"/>
                  <w:vMerge w:val="continue"/>
                  <w:tcBorders>
                    <w:left w:val="single" w:color="auto" w:sz="4" w:space="0"/>
                    <w:right w:val="single" w:color="auto" w:sz="4" w:space="0"/>
                  </w:tcBorders>
                  <w:vAlign w:val="center"/>
                </w:tcPr>
                <w:p w14:paraId="63189B9A">
                  <w:pPr>
                    <w:adjustRightInd w:val="0"/>
                    <w:snapToGrid w:val="0"/>
                    <w:jc w:val="center"/>
                    <w:rPr>
                      <w:rFonts w:hint="eastAsia" w:ascii="Times New Roman" w:hAnsi="Times New Roman" w:eastAsia="宋体" w:cs="Times New Roman"/>
                      <w:bCs/>
                      <w:color w:val="auto"/>
                      <w:kern w:val="0"/>
                      <w:szCs w:val="21"/>
                      <w:lang w:val="zh-CN" w:eastAsia="zh-CN"/>
                    </w:rPr>
                  </w:pPr>
                </w:p>
              </w:tc>
            </w:tr>
            <w:tr w14:paraId="398C7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291" w:type="pct"/>
                  <w:vMerge w:val="continue"/>
                  <w:tcBorders>
                    <w:left w:val="single" w:color="auto" w:sz="4" w:space="0"/>
                    <w:right w:val="single" w:color="auto" w:sz="4" w:space="0"/>
                  </w:tcBorders>
                  <w:vAlign w:val="center"/>
                </w:tcPr>
                <w:p w14:paraId="5D6DB5DB">
                  <w:pPr>
                    <w:adjustRightInd w:val="0"/>
                    <w:snapToGrid w:val="0"/>
                    <w:jc w:val="center"/>
                    <w:rPr>
                      <w:color w:val="auto"/>
                      <w:kern w:val="0"/>
                      <w:szCs w:val="21"/>
                    </w:rPr>
                  </w:pPr>
                </w:p>
              </w:tc>
              <w:tc>
                <w:tcPr>
                  <w:tcW w:w="219" w:type="pct"/>
                  <w:vMerge w:val="continue"/>
                  <w:tcBorders>
                    <w:left w:val="single" w:color="auto" w:sz="4" w:space="0"/>
                    <w:bottom w:val="single" w:color="auto" w:sz="4" w:space="0"/>
                    <w:right w:val="single" w:color="auto" w:sz="4" w:space="0"/>
                  </w:tcBorders>
                  <w:vAlign w:val="center"/>
                </w:tcPr>
                <w:p w14:paraId="28429BB9">
                  <w:pPr>
                    <w:adjustRightInd w:val="0"/>
                    <w:snapToGrid w:val="0"/>
                    <w:jc w:val="center"/>
                    <w:rPr>
                      <w:bCs/>
                      <w:color w:val="auto"/>
                      <w:kern w:val="0"/>
                      <w:szCs w:val="21"/>
                    </w:rPr>
                  </w:pPr>
                </w:p>
              </w:tc>
              <w:tc>
                <w:tcPr>
                  <w:tcW w:w="780" w:type="pct"/>
                  <w:tcBorders>
                    <w:left w:val="single" w:color="auto" w:sz="4" w:space="0"/>
                    <w:bottom w:val="single" w:color="auto" w:sz="4" w:space="0"/>
                    <w:right w:val="single" w:color="auto" w:sz="4" w:space="0"/>
                  </w:tcBorders>
                  <w:shd w:val="clear" w:color="auto" w:fill="auto"/>
                  <w:vAlign w:val="center"/>
                </w:tcPr>
                <w:p w14:paraId="7C54B128">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沉降分离</w:t>
                  </w:r>
                </w:p>
              </w:tc>
              <w:tc>
                <w:tcPr>
                  <w:tcW w:w="1540" w:type="pct"/>
                  <w:tcBorders>
                    <w:top w:val="single" w:color="auto" w:sz="4" w:space="0"/>
                    <w:left w:val="single" w:color="auto" w:sz="4" w:space="0"/>
                    <w:bottom w:val="single" w:color="auto" w:sz="4" w:space="0"/>
                    <w:right w:val="single" w:color="auto" w:sz="4" w:space="0"/>
                  </w:tcBorders>
                  <w:shd w:val="clear" w:color="auto" w:fill="auto"/>
                  <w:vAlign w:val="center"/>
                </w:tcPr>
                <w:p w14:paraId="1A61659B">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氨气、硫化氢、臭气浓度</w:t>
                  </w:r>
                </w:p>
              </w:tc>
              <w:tc>
                <w:tcPr>
                  <w:tcW w:w="1162" w:type="pct"/>
                  <w:tcBorders>
                    <w:top w:val="single" w:color="auto" w:sz="4" w:space="0"/>
                    <w:left w:val="single" w:color="auto" w:sz="4" w:space="0"/>
                    <w:bottom w:val="single" w:color="auto" w:sz="4" w:space="0"/>
                    <w:right w:val="single" w:color="auto" w:sz="4" w:space="0"/>
                  </w:tcBorders>
                  <w:vAlign w:val="center"/>
                </w:tcPr>
                <w:p w14:paraId="5409D1FA">
                  <w:pPr>
                    <w:adjustRightInd w:val="0"/>
                    <w:snapToGrid w:val="0"/>
                    <w:spacing w:line="240" w:lineRule="auto"/>
                    <w:jc w:val="center"/>
                    <w:rPr>
                      <w:rFonts w:hint="eastAsia"/>
                      <w:bCs/>
                      <w:color w:val="auto"/>
                      <w:kern w:val="0"/>
                      <w:szCs w:val="21"/>
                    </w:rPr>
                  </w:pPr>
                  <w:r>
                    <w:rPr>
                      <w:rFonts w:hint="eastAsia"/>
                      <w:bCs/>
                      <w:color w:val="auto"/>
                      <w:kern w:val="0"/>
                      <w:szCs w:val="21"/>
                    </w:rPr>
                    <w:t>G</w:t>
                  </w:r>
                  <w:r>
                    <w:rPr>
                      <w:bCs/>
                      <w:color w:val="auto"/>
                      <w:kern w:val="0"/>
                      <w:szCs w:val="21"/>
                    </w:rPr>
                    <w:t>1</w:t>
                  </w:r>
                </w:p>
              </w:tc>
              <w:tc>
                <w:tcPr>
                  <w:tcW w:w="1006" w:type="pct"/>
                  <w:vMerge w:val="continue"/>
                  <w:tcBorders>
                    <w:left w:val="single" w:color="auto" w:sz="4" w:space="0"/>
                    <w:right w:val="single" w:color="auto" w:sz="4" w:space="0"/>
                  </w:tcBorders>
                  <w:vAlign w:val="center"/>
                </w:tcPr>
                <w:p w14:paraId="6A961589">
                  <w:pPr>
                    <w:adjustRightInd w:val="0"/>
                    <w:snapToGrid w:val="0"/>
                    <w:jc w:val="center"/>
                    <w:rPr>
                      <w:rFonts w:hint="eastAsia" w:ascii="Times New Roman" w:hAnsi="Times New Roman" w:eastAsia="宋体" w:cs="Times New Roman"/>
                      <w:bCs/>
                      <w:color w:val="auto"/>
                      <w:kern w:val="0"/>
                      <w:szCs w:val="21"/>
                      <w:lang w:val="zh-CN" w:eastAsia="zh-CN"/>
                    </w:rPr>
                  </w:pPr>
                </w:p>
              </w:tc>
            </w:tr>
            <w:tr w14:paraId="70662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291" w:type="pct"/>
                  <w:vMerge w:val="continue"/>
                  <w:tcBorders>
                    <w:left w:val="single" w:color="auto" w:sz="4" w:space="0"/>
                    <w:right w:val="single" w:color="auto" w:sz="4" w:space="0"/>
                  </w:tcBorders>
                  <w:vAlign w:val="center"/>
                </w:tcPr>
                <w:p w14:paraId="352D2813">
                  <w:pPr>
                    <w:adjustRightInd w:val="0"/>
                    <w:snapToGrid w:val="0"/>
                    <w:jc w:val="center"/>
                    <w:rPr>
                      <w:color w:val="auto"/>
                      <w:kern w:val="0"/>
                      <w:szCs w:val="21"/>
                    </w:rPr>
                  </w:pPr>
                </w:p>
              </w:tc>
              <w:tc>
                <w:tcPr>
                  <w:tcW w:w="219" w:type="pct"/>
                  <w:vMerge w:val="restart"/>
                  <w:tcBorders>
                    <w:left w:val="single" w:color="auto" w:sz="4" w:space="0"/>
                    <w:right w:val="single" w:color="auto" w:sz="4" w:space="0"/>
                  </w:tcBorders>
                  <w:shd w:val="clear" w:color="auto" w:fill="auto"/>
                  <w:vAlign w:val="center"/>
                </w:tcPr>
                <w:p w14:paraId="1D48EB94">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餐厨垃圾</w:t>
                  </w:r>
                </w:p>
              </w:tc>
              <w:tc>
                <w:tcPr>
                  <w:tcW w:w="780" w:type="pct"/>
                  <w:tcBorders>
                    <w:left w:val="single" w:color="auto" w:sz="4" w:space="0"/>
                    <w:bottom w:val="single" w:color="auto" w:sz="4" w:space="0"/>
                    <w:right w:val="single" w:color="auto" w:sz="4" w:space="0"/>
                  </w:tcBorders>
                  <w:shd w:val="clear" w:color="auto" w:fill="auto"/>
                  <w:vAlign w:val="center"/>
                </w:tcPr>
                <w:p w14:paraId="6E0449D5">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接料送料</w:t>
                  </w:r>
                </w:p>
              </w:tc>
              <w:tc>
                <w:tcPr>
                  <w:tcW w:w="1540" w:type="pct"/>
                  <w:tcBorders>
                    <w:top w:val="single" w:color="auto" w:sz="4" w:space="0"/>
                    <w:left w:val="single" w:color="auto" w:sz="4" w:space="0"/>
                    <w:bottom w:val="single" w:color="auto" w:sz="4" w:space="0"/>
                    <w:right w:val="single" w:color="auto" w:sz="4" w:space="0"/>
                  </w:tcBorders>
                  <w:shd w:val="clear" w:color="auto" w:fill="auto"/>
                  <w:vAlign w:val="center"/>
                </w:tcPr>
                <w:p w14:paraId="1479F464">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氨气、硫化氢、臭气浓度</w:t>
                  </w:r>
                </w:p>
              </w:tc>
              <w:tc>
                <w:tcPr>
                  <w:tcW w:w="1162" w:type="pct"/>
                  <w:tcBorders>
                    <w:top w:val="single" w:color="auto" w:sz="4" w:space="0"/>
                    <w:left w:val="single" w:color="auto" w:sz="4" w:space="0"/>
                    <w:bottom w:val="single" w:color="auto" w:sz="4" w:space="0"/>
                    <w:right w:val="single" w:color="auto" w:sz="4" w:space="0"/>
                  </w:tcBorders>
                  <w:vAlign w:val="center"/>
                </w:tcPr>
                <w:p w14:paraId="55CE0E4C">
                  <w:pPr>
                    <w:adjustRightInd w:val="0"/>
                    <w:snapToGrid w:val="0"/>
                    <w:spacing w:line="240" w:lineRule="auto"/>
                    <w:jc w:val="center"/>
                    <w:rPr>
                      <w:rFonts w:hint="eastAsia"/>
                      <w:bCs/>
                      <w:color w:val="auto"/>
                      <w:kern w:val="0"/>
                      <w:szCs w:val="21"/>
                    </w:rPr>
                  </w:pPr>
                  <w:r>
                    <w:rPr>
                      <w:rFonts w:hint="eastAsia"/>
                      <w:bCs/>
                      <w:color w:val="auto"/>
                      <w:kern w:val="0"/>
                      <w:szCs w:val="21"/>
                    </w:rPr>
                    <w:t>G</w:t>
                  </w:r>
                  <w:r>
                    <w:rPr>
                      <w:bCs/>
                      <w:color w:val="auto"/>
                      <w:kern w:val="0"/>
                      <w:szCs w:val="21"/>
                    </w:rPr>
                    <w:t>1</w:t>
                  </w:r>
                </w:p>
              </w:tc>
              <w:tc>
                <w:tcPr>
                  <w:tcW w:w="1006" w:type="pct"/>
                  <w:vMerge w:val="continue"/>
                  <w:tcBorders>
                    <w:left w:val="single" w:color="auto" w:sz="4" w:space="0"/>
                    <w:right w:val="single" w:color="auto" w:sz="4" w:space="0"/>
                  </w:tcBorders>
                  <w:vAlign w:val="center"/>
                </w:tcPr>
                <w:p w14:paraId="05485DBF">
                  <w:pPr>
                    <w:adjustRightInd w:val="0"/>
                    <w:snapToGrid w:val="0"/>
                    <w:jc w:val="center"/>
                    <w:rPr>
                      <w:rFonts w:hint="eastAsia" w:ascii="Times New Roman" w:hAnsi="Times New Roman" w:eastAsia="宋体" w:cs="Times New Roman"/>
                      <w:bCs/>
                      <w:color w:val="auto"/>
                      <w:kern w:val="0"/>
                      <w:szCs w:val="21"/>
                      <w:lang w:val="zh-CN" w:eastAsia="zh-CN"/>
                    </w:rPr>
                  </w:pPr>
                </w:p>
              </w:tc>
            </w:tr>
            <w:tr w14:paraId="510E0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blHeader/>
                <w:jc w:val="center"/>
              </w:trPr>
              <w:tc>
                <w:tcPr>
                  <w:tcW w:w="291" w:type="pct"/>
                  <w:vMerge w:val="continue"/>
                  <w:tcBorders>
                    <w:left w:val="single" w:color="auto" w:sz="4" w:space="0"/>
                    <w:right w:val="single" w:color="auto" w:sz="4" w:space="0"/>
                  </w:tcBorders>
                  <w:vAlign w:val="center"/>
                </w:tcPr>
                <w:p w14:paraId="024EAB18">
                  <w:pPr>
                    <w:adjustRightInd w:val="0"/>
                    <w:snapToGrid w:val="0"/>
                    <w:jc w:val="center"/>
                    <w:rPr>
                      <w:color w:val="auto"/>
                      <w:kern w:val="0"/>
                      <w:szCs w:val="21"/>
                    </w:rPr>
                  </w:pPr>
                </w:p>
              </w:tc>
              <w:tc>
                <w:tcPr>
                  <w:tcW w:w="219" w:type="pct"/>
                  <w:vMerge w:val="continue"/>
                  <w:tcBorders>
                    <w:left w:val="single" w:color="auto" w:sz="4" w:space="0"/>
                    <w:right w:val="single" w:color="auto" w:sz="4" w:space="0"/>
                  </w:tcBorders>
                  <w:vAlign w:val="center"/>
                </w:tcPr>
                <w:p w14:paraId="57255D9D">
                  <w:pPr>
                    <w:adjustRightInd w:val="0"/>
                    <w:snapToGrid w:val="0"/>
                    <w:jc w:val="center"/>
                    <w:rPr>
                      <w:bCs/>
                      <w:color w:val="auto"/>
                      <w:kern w:val="0"/>
                      <w:szCs w:val="21"/>
                    </w:rPr>
                  </w:pPr>
                </w:p>
              </w:tc>
              <w:tc>
                <w:tcPr>
                  <w:tcW w:w="780" w:type="pct"/>
                  <w:tcBorders>
                    <w:left w:val="single" w:color="auto" w:sz="4" w:space="0"/>
                    <w:bottom w:val="single" w:color="auto" w:sz="4" w:space="0"/>
                    <w:right w:val="single" w:color="auto" w:sz="4" w:space="0"/>
                  </w:tcBorders>
                  <w:shd w:val="clear" w:color="auto" w:fill="auto"/>
                  <w:vAlign w:val="center"/>
                </w:tcPr>
                <w:p w14:paraId="24447E54">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螺旋输送</w:t>
                  </w:r>
                </w:p>
              </w:tc>
              <w:tc>
                <w:tcPr>
                  <w:tcW w:w="1540" w:type="pct"/>
                  <w:tcBorders>
                    <w:top w:val="single" w:color="auto" w:sz="4" w:space="0"/>
                    <w:left w:val="single" w:color="auto" w:sz="4" w:space="0"/>
                    <w:bottom w:val="single" w:color="auto" w:sz="4" w:space="0"/>
                    <w:right w:val="single" w:color="auto" w:sz="4" w:space="0"/>
                  </w:tcBorders>
                  <w:shd w:val="clear" w:color="auto" w:fill="auto"/>
                  <w:vAlign w:val="center"/>
                </w:tcPr>
                <w:p w14:paraId="74406BBE">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氨气、硫化氢、臭气浓度</w:t>
                  </w:r>
                </w:p>
              </w:tc>
              <w:tc>
                <w:tcPr>
                  <w:tcW w:w="1162" w:type="pct"/>
                  <w:tcBorders>
                    <w:top w:val="single" w:color="auto" w:sz="4" w:space="0"/>
                    <w:left w:val="single" w:color="auto" w:sz="4" w:space="0"/>
                    <w:bottom w:val="single" w:color="auto" w:sz="4" w:space="0"/>
                    <w:right w:val="single" w:color="auto" w:sz="4" w:space="0"/>
                  </w:tcBorders>
                  <w:vAlign w:val="center"/>
                </w:tcPr>
                <w:p w14:paraId="53B368E7">
                  <w:pPr>
                    <w:adjustRightInd w:val="0"/>
                    <w:snapToGrid w:val="0"/>
                    <w:spacing w:line="240" w:lineRule="auto"/>
                    <w:jc w:val="center"/>
                    <w:rPr>
                      <w:rFonts w:hint="eastAsia"/>
                      <w:bCs/>
                      <w:color w:val="auto"/>
                      <w:kern w:val="0"/>
                      <w:szCs w:val="21"/>
                    </w:rPr>
                  </w:pPr>
                  <w:r>
                    <w:rPr>
                      <w:rFonts w:hint="eastAsia"/>
                      <w:bCs/>
                      <w:color w:val="auto"/>
                      <w:kern w:val="0"/>
                      <w:szCs w:val="21"/>
                    </w:rPr>
                    <w:t>G</w:t>
                  </w:r>
                  <w:r>
                    <w:rPr>
                      <w:bCs/>
                      <w:color w:val="auto"/>
                      <w:kern w:val="0"/>
                      <w:szCs w:val="21"/>
                    </w:rPr>
                    <w:t>1</w:t>
                  </w:r>
                </w:p>
              </w:tc>
              <w:tc>
                <w:tcPr>
                  <w:tcW w:w="1006" w:type="pct"/>
                  <w:vMerge w:val="continue"/>
                  <w:tcBorders>
                    <w:left w:val="single" w:color="auto" w:sz="4" w:space="0"/>
                    <w:right w:val="single" w:color="auto" w:sz="4" w:space="0"/>
                  </w:tcBorders>
                  <w:vAlign w:val="center"/>
                </w:tcPr>
                <w:p w14:paraId="6CE04960">
                  <w:pPr>
                    <w:adjustRightInd w:val="0"/>
                    <w:snapToGrid w:val="0"/>
                    <w:jc w:val="center"/>
                    <w:rPr>
                      <w:rFonts w:hint="eastAsia" w:ascii="Times New Roman" w:hAnsi="Times New Roman" w:eastAsia="宋体" w:cs="Times New Roman"/>
                      <w:bCs/>
                      <w:color w:val="auto"/>
                      <w:kern w:val="0"/>
                      <w:szCs w:val="21"/>
                      <w:lang w:val="zh-CN" w:eastAsia="zh-CN"/>
                    </w:rPr>
                  </w:pPr>
                </w:p>
              </w:tc>
            </w:tr>
            <w:tr w14:paraId="40845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blHeader/>
                <w:jc w:val="center"/>
              </w:trPr>
              <w:tc>
                <w:tcPr>
                  <w:tcW w:w="291" w:type="pct"/>
                  <w:vMerge w:val="continue"/>
                  <w:tcBorders>
                    <w:left w:val="single" w:color="auto" w:sz="4" w:space="0"/>
                    <w:right w:val="single" w:color="auto" w:sz="4" w:space="0"/>
                  </w:tcBorders>
                  <w:vAlign w:val="center"/>
                </w:tcPr>
                <w:p w14:paraId="0F481936">
                  <w:pPr>
                    <w:adjustRightInd w:val="0"/>
                    <w:snapToGrid w:val="0"/>
                    <w:jc w:val="center"/>
                    <w:rPr>
                      <w:color w:val="auto"/>
                      <w:kern w:val="0"/>
                      <w:szCs w:val="21"/>
                    </w:rPr>
                  </w:pPr>
                </w:p>
              </w:tc>
              <w:tc>
                <w:tcPr>
                  <w:tcW w:w="219" w:type="pct"/>
                  <w:vMerge w:val="continue"/>
                  <w:tcBorders>
                    <w:left w:val="single" w:color="auto" w:sz="4" w:space="0"/>
                    <w:right w:val="single" w:color="auto" w:sz="4" w:space="0"/>
                  </w:tcBorders>
                  <w:vAlign w:val="center"/>
                </w:tcPr>
                <w:p w14:paraId="759E7011">
                  <w:pPr>
                    <w:adjustRightInd w:val="0"/>
                    <w:snapToGrid w:val="0"/>
                    <w:jc w:val="center"/>
                    <w:rPr>
                      <w:bCs/>
                      <w:color w:val="auto"/>
                      <w:kern w:val="0"/>
                      <w:szCs w:val="21"/>
                    </w:rPr>
                  </w:pPr>
                </w:p>
              </w:tc>
              <w:tc>
                <w:tcPr>
                  <w:tcW w:w="780" w:type="pct"/>
                  <w:tcBorders>
                    <w:left w:val="single" w:color="auto" w:sz="4" w:space="0"/>
                    <w:bottom w:val="single" w:color="auto" w:sz="4" w:space="0"/>
                    <w:right w:val="single" w:color="auto" w:sz="4" w:space="0"/>
                  </w:tcBorders>
                  <w:shd w:val="clear" w:color="auto" w:fill="auto"/>
                  <w:vAlign w:val="center"/>
                </w:tcPr>
                <w:p w14:paraId="6EC9DDAA">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高压挤压</w:t>
                  </w:r>
                </w:p>
              </w:tc>
              <w:tc>
                <w:tcPr>
                  <w:tcW w:w="1540" w:type="pct"/>
                  <w:tcBorders>
                    <w:top w:val="single" w:color="auto" w:sz="4" w:space="0"/>
                    <w:left w:val="single" w:color="auto" w:sz="4" w:space="0"/>
                    <w:bottom w:val="single" w:color="auto" w:sz="4" w:space="0"/>
                    <w:right w:val="single" w:color="auto" w:sz="4" w:space="0"/>
                  </w:tcBorders>
                  <w:shd w:val="clear" w:color="auto" w:fill="auto"/>
                  <w:vAlign w:val="center"/>
                </w:tcPr>
                <w:p w14:paraId="25880DC1">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氨气、硫化氢、臭气浓度</w:t>
                  </w:r>
                </w:p>
              </w:tc>
              <w:tc>
                <w:tcPr>
                  <w:tcW w:w="1162" w:type="pct"/>
                  <w:tcBorders>
                    <w:top w:val="single" w:color="auto" w:sz="4" w:space="0"/>
                    <w:left w:val="single" w:color="auto" w:sz="4" w:space="0"/>
                    <w:bottom w:val="single" w:color="auto" w:sz="4" w:space="0"/>
                    <w:right w:val="single" w:color="auto" w:sz="4" w:space="0"/>
                  </w:tcBorders>
                  <w:vAlign w:val="center"/>
                </w:tcPr>
                <w:p w14:paraId="239DEF10">
                  <w:pPr>
                    <w:adjustRightInd w:val="0"/>
                    <w:snapToGrid w:val="0"/>
                    <w:spacing w:line="240" w:lineRule="auto"/>
                    <w:jc w:val="center"/>
                    <w:rPr>
                      <w:rFonts w:hint="eastAsia"/>
                      <w:bCs/>
                      <w:color w:val="auto"/>
                      <w:kern w:val="0"/>
                      <w:szCs w:val="21"/>
                    </w:rPr>
                  </w:pPr>
                  <w:r>
                    <w:rPr>
                      <w:rFonts w:hint="eastAsia"/>
                      <w:bCs/>
                      <w:color w:val="auto"/>
                      <w:kern w:val="0"/>
                      <w:szCs w:val="21"/>
                    </w:rPr>
                    <w:t>G</w:t>
                  </w:r>
                  <w:r>
                    <w:rPr>
                      <w:bCs/>
                      <w:color w:val="auto"/>
                      <w:kern w:val="0"/>
                      <w:szCs w:val="21"/>
                    </w:rPr>
                    <w:t>1</w:t>
                  </w:r>
                </w:p>
              </w:tc>
              <w:tc>
                <w:tcPr>
                  <w:tcW w:w="1006" w:type="pct"/>
                  <w:vMerge w:val="continue"/>
                  <w:tcBorders>
                    <w:left w:val="single" w:color="auto" w:sz="4" w:space="0"/>
                    <w:right w:val="single" w:color="auto" w:sz="4" w:space="0"/>
                  </w:tcBorders>
                  <w:vAlign w:val="center"/>
                </w:tcPr>
                <w:p w14:paraId="2E442030">
                  <w:pPr>
                    <w:adjustRightInd w:val="0"/>
                    <w:snapToGrid w:val="0"/>
                    <w:jc w:val="center"/>
                    <w:rPr>
                      <w:rFonts w:hint="eastAsia" w:ascii="Times New Roman" w:hAnsi="Times New Roman" w:eastAsia="宋体" w:cs="Times New Roman"/>
                      <w:bCs/>
                      <w:color w:val="auto"/>
                      <w:kern w:val="0"/>
                      <w:szCs w:val="21"/>
                      <w:lang w:val="zh-CN" w:eastAsia="zh-CN"/>
                    </w:rPr>
                  </w:pPr>
                </w:p>
              </w:tc>
            </w:tr>
            <w:tr w14:paraId="345B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291" w:type="pct"/>
                  <w:vMerge w:val="continue"/>
                  <w:tcBorders>
                    <w:left w:val="single" w:color="auto" w:sz="4" w:space="0"/>
                    <w:right w:val="single" w:color="auto" w:sz="4" w:space="0"/>
                  </w:tcBorders>
                  <w:vAlign w:val="center"/>
                </w:tcPr>
                <w:p w14:paraId="4717A3B9">
                  <w:pPr>
                    <w:adjustRightInd w:val="0"/>
                    <w:snapToGrid w:val="0"/>
                    <w:jc w:val="center"/>
                    <w:rPr>
                      <w:color w:val="auto"/>
                      <w:kern w:val="0"/>
                      <w:szCs w:val="21"/>
                    </w:rPr>
                  </w:pPr>
                </w:p>
              </w:tc>
              <w:tc>
                <w:tcPr>
                  <w:tcW w:w="219" w:type="pct"/>
                  <w:vMerge w:val="continue"/>
                  <w:tcBorders>
                    <w:left w:val="single" w:color="auto" w:sz="4" w:space="0"/>
                    <w:right w:val="single" w:color="auto" w:sz="4" w:space="0"/>
                  </w:tcBorders>
                  <w:vAlign w:val="center"/>
                </w:tcPr>
                <w:p w14:paraId="368DCCEC">
                  <w:pPr>
                    <w:adjustRightInd w:val="0"/>
                    <w:snapToGrid w:val="0"/>
                    <w:jc w:val="center"/>
                    <w:rPr>
                      <w:bCs/>
                      <w:color w:val="auto"/>
                      <w:kern w:val="0"/>
                      <w:szCs w:val="21"/>
                    </w:rPr>
                  </w:pPr>
                </w:p>
              </w:tc>
              <w:tc>
                <w:tcPr>
                  <w:tcW w:w="780" w:type="pct"/>
                  <w:tcBorders>
                    <w:left w:val="single" w:color="auto" w:sz="4" w:space="0"/>
                    <w:bottom w:val="single" w:color="auto" w:sz="4" w:space="0"/>
                    <w:right w:val="single" w:color="auto" w:sz="4" w:space="0"/>
                  </w:tcBorders>
                  <w:shd w:val="clear" w:color="auto" w:fill="auto"/>
                  <w:vAlign w:val="center"/>
                </w:tcPr>
                <w:p w14:paraId="6E3A4E56">
                  <w:pPr>
                    <w:jc w:val="center"/>
                    <w:rPr>
                      <w:rFonts w:hint="eastAsia"/>
                      <w:color w:val="auto"/>
                      <w:szCs w:val="21"/>
                      <w:lang w:val="en-US" w:eastAsia="zh-CN"/>
                    </w:rPr>
                  </w:pPr>
                  <w:r>
                    <w:rPr>
                      <w:rFonts w:hint="eastAsia"/>
                      <w:color w:val="auto"/>
                      <w:szCs w:val="21"/>
                      <w:lang w:eastAsia="zh-CN"/>
                    </w:rPr>
                    <w:t>加热</w:t>
                  </w:r>
                </w:p>
              </w:tc>
              <w:tc>
                <w:tcPr>
                  <w:tcW w:w="1540" w:type="pct"/>
                  <w:tcBorders>
                    <w:top w:val="single" w:color="auto" w:sz="4" w:space="0"/>
                    <w:left w:val="single" w:color="auto" w:sz="4" w:space="0"/>
                    <w:bottom w:val="single" w:color="auto" w:sz="4" w:space="0"/>
                    <w:right w:val="single" w:color="auto" w:sz="4" w:space="0"/>
                  </w:tcBorders>
                  <w:shd w:val="clear" w:color="auto" w:fill="auto"/>
                  <w:vAlign w:val="center"/>
                </w:tcPr>
                <w:p w14:paraId="12742476">
                  <w:pPr>
                    <w:jc w:val="center"/>
                    <w:rPr>
                      <w:rFonts w:hint="eastAsia"/>
                      <w:color w:val="auto"/>
                      <w:szCs w:val="21"/>
                      <w:lang w:val="en-US" w:eastAsia="zh-CN"/>
                    </w:rPr>
                  </w:pPr>
                  <w:r>
                    <w:rPr>
                      <w:rFonts w:hint="eastAsia"/>
                      <w:color w:val="auto"/>
                      <w:szCs w:val="21"/>
                      <w:lang w:eastAsia="zh-CN"/>
                    </w:rPr>
                    <w:t>氨气、硫化氢、臭气浓度、非甲烷总烃</w:t>
                  </w:r>
                </w:p>
              </w:tc>
              <w:tc>
                <w:tcPr>
                  <w:tcW w:w="1162" w:type="pct"/>
                  <w:tcBorders>
                    <w:top w:val="single" w:color="auto" w:sz="4" w:space="0"/>
                    <w:left w:val="single" w:color="auto" w:sz="4" w:space="0"/>
                    <w:bottom w:val="single" w:color="auto" w:sz="4" w:space="0"/>
                    <w:right w:val="single" w:color="auto" w:sz="4" w:space="0"/>
                  </w:tcBorders>
                  <w:vAlign w:val="center"/>
                </w:tcPr>
                <w:p w14:paraId="000B9C3E">
                  <w:pPr>
                    <w:adjustRightInd w:val="0"/>
                    <w:snapToGrid w:val="0"/>
                    <w:spacing w:line="240" w:lineRule="auto"/>
                    <w:jc w:val="center"/>
                    <w:rPr>
                      <w:rFonts w:hint="eastAsia"/>
                      <w:bCs/>
                      <w:color w:val="auto"/>
                      <w:kern w:val="0"/>
                      <w:szCs w:val="21"/>
                    </w:rPr>
                  </w:pPr>
                  <w:r>
                    <w:rPr>
                      <w:rFonts w:hint="eastAsia"/>
                      <w:bCs/>
                      <w:color w:val="auto"/>
                      <w:kern w:val="0"/>
                      <w:szCs w:val="21"/>
                    </w:rPr>
                    <w:t>G</w:t>
                  </w:r>
                  <w:r>
                    <w:rPr>
                      <w:bCs/>
                      <w:color w:val="auto"/>
                      <w:kern w:val="0"/>
                      <w:szCs w:val="21"/>
                    </w:rPr>
                    <w:t>1</w:t>
                  </w:r>
                  <w:r>
                    <w:rPr>
                      <w:rFonts w:hint="eastAsia"/>
                      <w:bCs/>
                      <w:color w:val="auto"/>
                      <w:kern w:val="0"/>
                      <w:szCs w:val="21"/>
                      <w:lang w:eastAsia="zh-CN"/>
                    </w:rPr>
                    <w:t>、</w:t>
                  </w:r>
                  <w:r>
                    <w:rPr>
                      <w:rFonts w:hint="eastAsia"/>
                      <w:bCs/>
                      <w:color w:val="auto"/>
                      <w:kern w:val="0"/>
                      <w:szCs w:val="21"/>
                    </w:rPr>
                    <w:t>G</w:t>
                  </w:r>
                  <w:r>
                    <w:rPr>
                      <w:bCs/>
                      <w:color w:val="auto"/>
                      <w:kern w:val="0"/>
                      <w:szCs w:val="21"/>
                    </w:rPr>
                    <w:t>2</w:t>
                  </w:r>
                </w:p>
              </w:tc>
              <w:tc>
                <w:tcPr>
                  <w:tcW w:w="1006" w:type="pct"/>
                  <w:vMerge w:val="continue"/>
                  <w:tcBorders>
                    <w:left w:val="single" w:color="auto" w:sz="4" w:space="0"/>
                    <w:right w:val="single" w:color="auto" w:sz="4" w:space="0"/>
                  </w:tcBorders>
                  <w:vAlign w:val="center"/>
                </w:tcPr>
                <w:p w14:paraId="54E6D0A9">
                  <w:pPr>
                    <w:adjustRightInd w:val="0"/>
                    <w:snapToGrid w:val="0"/>
                    <w:jc w:val="center"/>
                    <w:rPr>
                      <w:rFonts w:hint="eastAsia" w:ascii="Times New Roman" w:hAnsi="Times New Roman" w:eastAsia="宋体" w:cs="Times New Roman"/>
                      <w:bCs/>
                      <w:color w:val="auto"/>
                      <w:kern w:val="0"/>
                      <w:szCs w:val="21"/>
                      <w:lang w:val="zh-CN" w:eastAsia="zh-CN"/>
                    </w:rPr>
                  </w:pPr>
                </w:p>
              </w:tc>
            </w:tr>
            <w:tr w14:paraId="14027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291" w:type="pct"/>
                  <w:vMerge w:val="continue"/>
                  <w:tcBorders>
                    <w:left w:val="single" w:color="auto" w:sz="4" w:space="0"/>
                    <w:right w:val="single" w:color="auto" w:sz="4" w:space="0"/>
                  </w:tcBorders>
                  <w:vAlign w:val="center"/>
                </w:tcPr>
                <w:p w14:paraId="1357F31D">
                  <w:pPr>
                    <w:adjustRightInd w:val="0"/>
                    <w:snapToGrid w:val="0"/>
                    <w:jc w:val="center"/>
                    <w:rPr>
                      <w:color w:val="auto"/>
                      <w:kern w:val="0"/>
                      <w:szCs w:val="21"/>
                    </w:rPr>
                  </w:pPr>
                </w:p>
              </w:tc>
              <w:tc>
                <w:tcPr>
                  <w:tcW w:w="219" w:type="pct"/>
                  <w:vMerge w:val="continue"/>
                  <w:tcBorders>
                    <w:left w:val="single" w:color="auto" w:sz="4" w:space="0"/>
                    <w:right w:val="single" w:color="auto" w:sz="4" w:space="0"/>
                  </w:tcBorders>
                  <w:vAlign w:val="center"/>
                </w:tcPr>
                <w:p w14:paraId="4A8CAF9D">
                  <w:pPr>
                    <w:adjustRightInd w:val="0"/>
                    <w:snapToGrid w:val="0"/>
                    <w:jc w:val="center"/>
                    <w:rPr>
                      <w:bCs/>
                      <w:color w:val="auto"/>
                      <w:kern w:val="0"/>
                      <w:szCs w:val="21"/>
                    </w:rPr>
                  </w:pPr>
                </w:p>
              </w:tc>
              <w:tc>
                <w:tcPr>
                  <w:tcW w:w="780" w:type="pct"/>
                  <w:tcBorders>
                    <w:left w:val="single" w:color="auto" w:sz="4" w:space="0"/>
                    <w:bottom w:val="single" w:color="auto" w:sz="4" w:space="0"/>
                    <w:right w:val="single" w:color="auto" w:sz="4" w:space="0"/>
                  </w:tcBorders>
                  <w:shd w:val="clear" w:color="auto" w:fill="auto"/>
                  <w:vAlign w:val="center"/>
                </w:tcPr>
                <w:p w14:paraId="67E41381">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三相离心</w:t>
                  </w:r>
                </w:p>
              </w:tc>
              <w:tc>
                <w:tcPr>
                  <w:tcW w:w="1540" w:type="pct"/>
                  <w:tcBorders>
                    <w:top w:val="single" w:color="auto" w:sz="4" w:space="0"/>
                    <w:left w:val="single" w:color="auto" w:sz="4" w:space="0"/>
                    <w:bottom w:val="single" w:color="auto" w:sz="4" w:space="0"/>
                    <w:right w:val="single" w:color="auto" w:sz="4" w:space="0"/>
                  </w:tcBorders>
                  <w:shd w:val="clear" w:color="auto" w:fill="auto"/>
                  <w:vAlign w:val="center"/>
                </w:tcPr>
                <w:p w14:paraId="3CE0246B">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氨气、硫化氢、臭气浓度、非甲烷总烃</w:t>
                  </w:r>
                </w:p>
              </w:tc>
              <w:tc>
                <w:tcPr>
                  <w:tcW w:w="1162" w:type="pct"/>
                  <w:tcBorders>
                    <w:top w:val="single" w:color="auto" w:sz="4" w:space="0"/>
                    <w:left w:val="single" w:color="auto" w:sz="4" w:space="0"/>
                    <w:bottom w:val="single" w:color="auto" w:sz="4" w:space="0"/>
                    <w:right w:val="single" w:color="auto" w:sz="4" w:space="0"/>
                  </w:tcBorders>
                  <w:vAlign w:val="center"/>
                </w:tcPr>
                <w:p w14:paraId="29EDB320">
                  <w:pPr>
                    <w:adjustRightInd w:val="0"/>
                    <w:snapToGrid w:val="0"/>
                    <w:spacing w:line="240" w:lineRule="auto"/>
                    <w:jc w:val="center"/>
                    <w:rPr>
                      <w:rFonts w:hint="eastAsia"/>
                      <w:bCs/>
                      <w:color w:val="auto"/>
                      <w:kern w:val="0"/>
                      <w:szCs w:val="21"/>
                    </w:rPr>
                  </w:pPr>
                  <w:r>
                    <w:rPr>
                      <w:rFonts w:hint="eastAsia"/>
                      <w:bCs/>
                      <w:color w:val="auto"/>
                      <w:kern w:val="0"/>
                      <w:szCs w:val="21"/>
                    </w:rPr>
                    <w:t>G</w:t>
                  </w:r>
                  <w:r>
                    <w:rPr>
                      <w:bCs/>
                      <w:color w:val="auto"/>
                      <w:kern w:val="0"/>
                      <w:szCs w:val="21"/>
                    </w:rPr>
                    <w:t>1</w:t>
                  </w:r>
                  <w:r>
                    <w:rPr>
                      <w:rFonts w:hint="eastAsia"/>
                      <w:bCs/>
                      <w:color w:val="auto"/>
                      <w:kern w:val="0"/>
                      <w:szCs w:val="21"/>
                      <w:lang w:eastAsia="zh-CN"/>
                    </w:rPr>
                    <w:t>、</w:t>
                  </w:r>
                  <w:r>
                    <w:rPr>
                      <w:rFonts w:hint="eastAsia"/>
                      <w:bCs/>
                      <w:color w:val="auto"/>
                      <w:kern w:val="0"/>
                      <w:szCs w:val="21"/>
                    </w:rPr>
                    <w:t>G</w:t>
                  </w:r>
                  <w:r>
                    <w:rPr>
                      <w:bCs/>
                      <w:color w:val="auto"/>
                      <w:kern w:val="0"/>
                      <w:szCs w:val="21"/>
                    </w:rPr>
                    <w:t>2</w:t>
                  </w:r>
                </w:p>
              </w:tc>
              <w:tc>
                <w:tcPr>
                  <w:tcW w:w="1006" w:type="pct"/>
                  <w:vMerge w:val="continue"/>
                  <w:tcBorders>
                    <w:left w:val="single" w:color="auto" w:sz="4" w:space="0"/>
                    <w:right w:val="single" w:color="auto" w:sz="4" w:space="0"/>
                  </w:tcBorders>
                  <w:vAlign w:val="center"/>
                </w:tcPr>
                <w:p w14:paraId="255EB014">
                  <w:pPr>
                    <w:adjustRightInd w:val="0"/>
                    <w:snapToGrid w:val="0"/>
                    <w:jc w:val="center"/>
                    <w:rPr>
                      <w:rFonts w:hint="eastAsia" w:ascii="Times New Roman" w:hAnsi="Times New Roman" w:eastAsia="宋体" w:cs="Times New Roman"/>
                      <w:bCs/>
                      <w:color w:val="auto"/>
                      <w:kern w:val="0"/>
                      <w:szCs w:val="21"/>
                      <w:lang w:val="zh-CN" w:eastAsia="zh-CN"/>
                    </w:rPr>
                  </w:pPr>
                </w:p>
              </w:tc>
            </w:tr>
            <w:tr w14:paraId="3A7D4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291" w:type="pct"/>
                  <w:vMerge w:val="continue"/>
                  <w:tcBorders>
                    <w:left w:val="single" w:color="auto" w:sz="4" w:space="0"/>
                    <w:right w:val="single" w:color="auto" w:sz="4" w:space="0"/>
                  </w:tcBorders>
                  <w:vAlign w:val="center"/>
                </w:tcPr>
                <w:p w14:paraId="0D59B77D">
                  <w:pPr>
                    <w:adjustRightInd w:val="0"/>
                    <w:snapToGrid w:val="0"/>
                    <w:jc w:val="center"/>
                    <w:rPr>
                      <w:color w:val="auto"/>
                      <w:kern w:val="0"/>
                      <w:szCs w:val="21"/>
                    </w:rPr>
                  </w:pPr>
                </w:p>
              </w:tc>
              <w:tc>
                <w:tcPr>
                  <w:tcW w:w="219" w:type="pct"/>
                  <w:vMerge w:val="continue"/>
                  <w:tcBorders>
                    <w:left w:val="single" w:color="auto" w:sz="4" w:space="0"/>
                    <w:right w:val="single" w:color="auto" w:sz="4" w:space="0"/>
                  </w:tcBorders>
                  <w:vAlign w:val="center"/>
                </w:tcPr>
                <w:p w14:paraId="79F40778">
                  <w:pPr>
                    <w:adjustRightInd w:val="0"/>
                    <w:snapToGrid w:val="0"/>
                    <w:jc w:val="center"/>
                    <w:rPr>
                      <w:bCs/>
                      <w:color w:val="auto"/>
                      <w:kern w:val="0"/>
                      <w:szCs w:val="21"/>
                    </w:rPr>
                  </w:pPr>
                </w:p>
              </w:tc>
              <w:tc>
                <w:tcPr>
                  <w:tcW w:w="780" w:type="pct"/>
                  <w:tcBorders>
                    <w:left w:val="single" w:color="auto" w:sz="4" w:space="0"/>
                    <w:bottom w:val="single" w:color="auto" w:sz="4" w:space="0"/>
                    <w:right w:val="single" w:color="auto" w:sz="4" w:space="0"/>
                  </w:tcBorders>
                  <w:shd w:val="clear" w:color="auto" w:fill="auto"/>
                  <w:vAlign w:val="center"/>
                </w:tcPr>
                <w:p w14:paraId="0D2BBF3C">
                  <w:pPr>
                    <w:jc w:val="center"/>
                    <w:rPr>
                      <w:rFonts w:hint="eastAsia"/>
                      <w:color w:val="auto"/>
                      <w:szCs w:val="21"/>
                      <w:lang w:eastAsia="zh-CN"/>
                    </w:rPr>
                  </w:pPr>
                  <w:r>
                    <w:rPr>
                      <w:rFonts w:hint="eastAsia"/>
                      <w:color w:val="auto"/>
                      <w:szCs w:val="21"/>
                      <w:lang w:eastAsia="zh-CN"/>
                    </w:rPr>
                    <w:t>沉降</w:t>
                  </w:r>
                </w:p>
              </w:tc>
              <w:tc>
                <w:tcPr>
                  <w:tcW w:w="1540" w:type="pct"/>
                  <w:tcBorders>
                    <w:top w:val="single" w:color="auto" w:sz="4" w:space="0"/>
                    <w:left w:val="single" w:color="auto" w:sz="4" w:space="0"/>
                    <w:bottom w:val="single" w:color="auto" w:sz="4" w:space="0"/>
                    <w:right w:val="single" w:color="auto" w:sz="4" w:space="0"/>
                  </w:tcBorders>
                  <w:shd w:val="clear" w:color="auto" w:fill="auto"/>
                  <w:vAlign w:val="center"/>
                </w:tcPr>
                <w:p w14:paraId="0369783E">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氨气、硫化氢、臭气浓度</w:t>
                  </w:r>
                </w:p>
              </w:tc>
              <w:tc>
                <w:tcPr>
                  <w:tcW w:w="1162" w:type="pct"/>
                  <w:tcBorders>
                    <w:top w:val="single" w:color="auto" w:sz="4" w:space="0"/>
                    <w:left w:val="single" w:color="auto" w:sz="4" w:space="0"/>
                    <w:bottom w:val="single" w:color="auto" w:sz="4" w:space="0"/>
                    <w:right w:val="single" w:color="auto" w:sz="4" w:space="0"/>
                  </w:tcBorders>
                  <w:vAlign w:val="center"/>
                </w:tcPr>
                <w:p w14:paraId="24E9DEAC">
                  <w:pPr>
                    <w:adjustRightInd w:val="0"/>
                    <w:snapToGrid w:val="0"/>
                    <w:jc w:val="center"/>
                    <w:rPr>
                      <w:rFonts w:hint="eastAsia"/>
                      <w:b/>
                      <w:bCs w:val="0"/>
                      <w:color w:val="auto"/>
                      <w:kern w:val="0"/>
                      <w:szCs w:val="21"/>
                    </w:rPr>
                  </w:pPr>
                  <w:r>
                    <w:rPr>
                      <w:rFonts w:hint="eastAsia"/>
                      <w:bCs/>
                      <w:color w:val="auto"/>
                      <w:kern w:val="0"/>
                      <w:szCs w:val="21"/>
                    </w:rPr>
                    <w:t>G</w:t>
                  </w:r>
                  <w:r>
                    <w:rPr>
                      <w:bCs/>
                      <w:color w:val="auto"/>
                      <w:kern w:val="0"/>
                      <w:szCs w:val="21"/>
                    </w:rPr>
                    <w:t>1</w:t>
                  </w:r>
                </w:p>
              </w:tc>
              <w:tc>
                <w:tcPr>
                  <w:tcW w:w="1006" w:type="pct"/>
                  <w:vMerge w:val="continue"/>
                  <w:tcBorders>
                    <w:left w:val="single" w:color="auto" w:sz="4" w:space="0"/>
                    <w:right w:val="single" w:color="auto" w:sz="4" w:space="0"/>
                  </w:tcBorders>
                  <w:vAlign w:val="center"/>
                </w:tcPr>
                <w:p w14:paraId="248C4D37">
                  <w:pPr>
                    <w:adjustRightInd w:val="0"/>
                    <w:snapToGrid w:val="0"/>
                    <w:jc w:val="center"/>
                    <w:rPr>
                      <w:rFonts w:hint="eastAsia" w:ascii="Times New Roman" w:hAnsi="Times New Roman" w:eastAsia="宋体" w:cs="Times New Roman"/>
                      <w:bCs/>
                      <w:color w:val="auto"/>
                      <w:kern w:val="0"/>
                      <w:szCs w:val="21"/>
                      <w:lang w:val="zh-CN" w:eastAsia="zh-CN"/>
                    </w:rPr>
                  </w:pPr>
                </w:p>
              </w:tc>
            </w:tr>
            <w:tr w14:paraId="20FE7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blHeader/>
                <w:jc w:val="center"/>
              </w:trPr>
              <w:tc>
                <w:tcPr>
                  <w:tcW w:w="291" w:type="pct"/>
                  <w:vMerge w:val="restart"/>
                  <w:tcBorders>
                    <w:left w:val="single" w:color="auto" w:sz="4" w:space="0"/>
                    <w:right w:val="single" w:color="auto" w:sz="4" w:space="0"/>
                  </w:tcBorders>
                  <w:vAlign w:val="center"/>
                </w:tcPr>
                <w:p w14:paraId="01D01D4A">
                  <w:pPr>
                    <w:adjustRightInd w:val="0"/>
                    <w:snapToGrid w:val="0"/>
                    <w:jc w:val="center"/>
                    <w:rPr>
                      <w:color w:val="auto"/>
                      <w:kern w:val="0"/>
                      <w:szCs w:val="21"/>
                    </w:rPr>
                  </w:pPr>
                  <w:r>
                    <w:rPr>
                      <w:color w:val="auto"/>
                      <w:kern w:val="0"/>
                      <w:szCs w:val="21"/>
                    </w:rPr>
                    <w:t>废水</w:t>
                  </w:r>
                </w:p>
              </w:tc>
              <w:tc>
                <w:tcPr>
                  <w:tcW w:w="999" w:type="pct"/>
                  <w:gridSpan w:val="2"/>
                  <w:tcBorders>
                    <w:left w:val="single" w:color="auto" w:sz="4" w:space="0"/>
                    <w:bottom w:val="single" w:color="auto" w:sz="4" w:space="0"/>
                    <w:right w:val="single" w:color="auto" w:sz="4" w:space="0"/>
                  </w:tcBorders>
                  <w:shd w:val="clear" w:color="auto" w:fill="auto"/>
                  <w:vAlign w:val="center"/>
                </w:tcPr>
                <w:p w14:paraId="7566D4C8">
                  <w:pPr>
                    <w:adjustRightInd w:val="0"/>
                    <w:snapToGrid w:val="0"/>
                    <w:jc w:val="center"/>
                    <w:rPr>
                      <w:rFonts w:hint="eastAsia" w:ascii="Times New Roman" w:hAnsi="Times New Roman" w:eastAsia="宋体" w:cs="Times New Roman"/>
                      <w:bCs/>
                      <w:color w:val="auto"/>
                      <w:kern w:val="0"/>
                      <w:sz w:val="21"/>
                      <w:szCs w:val="21"/>
                      <w:lang w:val="en-US" w:eastAsia="zh-CN" w:bidi="ar-SA"/>
                    </w:rPr>
                  </w:pPr>
                  <w:r>
                    <w:rPr>
                      <w:rFonts w:hint="eastAsia"/>
                      <w:bCs/>
                      <w:color w:val="auto"/>
                      <w:kern w:val="0"/>
                      <w:szCs w:val="21"/>
                      <w:lang w:eastAsia="zh-CN"/>
                    </w:rPr>
                    <w:t>车辆冲洗废水</w:t>
                  </w:r>
                </w:p>
              </w:tc>
              <w:tc>
                <w:tcPr>
                  <w:tcW w:w="1540" w:type="pct"/>
                  <w:tcBorders>
                    <w:left w:val="single" w:color="auto" w:sz="4" w:space="0"/>
                    <w:right w:val="single" w:color="auto" w:sz="4" w:space="0"/>
                  </w:tcBorders>
                  <w:shd w:val="clear" w:color="auto" w:fill="auto"/>
                  <w:vAlign w:val="center"/>
                </w:tcPr>
                <w:p w14:paraId="2DE379AC">
                  <w:pPr>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车辆冲洗</w:t>
                  </w:r>
                </w:p>
              </w:tc>
              <w:tc>
                <w:tcPr>
                  <w:tcW w:w="1162" w:type="pct"/>
                  <w:tcBorders>
                    <w:top w:val="single" w:color="auto" w:sz="4" w:space="0"/>
                    <w:left w:val="single" w:color="auto" w:sz="4" w:space="0"/>
                    <w:bottom w:val="single" w:color="auto" w:sz="4" w:space="0"/>
                    <w:right w:val="single" w:color="auto" w:sz="4" w:space="0"/>
                  </w:tcBorders>
                  <w:shd w:val="clear" w:color="auto" w:fill="auto"/>
                  <w:vAlign w:val="center"/>
                </w:tcPr>
                <w:p w14:paraId="444F678B">
                  <w:pPr>
                    <w:adjustRightInd w:val="0"/>
                    <w:snapToGrid w:val="0"/>
                    <w:jc w:val="center"/>
                    <w:rPr>
                      <w:rFonts w:hint="eastAsia" w:ascii="Times New Roman" w:hAnsi="Times New Roman" w:eastAsia="宋体" w:cs="Times New Roman"/>
                      <w:bCs/>
                      <w:color w:val="auto"/>
                      <w:kern w:val="2"/>
                      <w:sz w:val="21"/>
                      <w:szCs w:val="21"/>
                      <w:highlight w:val="none"/>
                      <w:lang w:val="en-US" w:eastAsia="zh-CN" w:bidi="ar-SA"/>
                    </w:rPr>
                  </w:pPr>
                  <w:r>
                    <w:rPr>
                      <w:rFonts w:hint="eastAsia"/>
                      <w:bCs/>
                      <w:color w:val="auto"/>
                      <w:szCs w:val="21"/>
                      <w:highlight w:val="none"/>
                      <w:lang w:val="en-US" w:eastAsia="zh-CN"/>
                    </w:rPr>
                    <w:t>-</w:t>
                  </w:r>
                </w:p>
              </w:tc>
              <w:tc>
                <w:tcPr>
                  <w:tcW w:w="1006" w:type="pct"/>
                  <w:vMerge w:val="restart"/>
                  <w:tcBorders>
                    <w:left w:val="single" w:color="auto" w:sz="4" w:space="0"/>
                    <w:right w:val="single" w:color="auto" w:sz="4" w:space="0"/>
                  </w:tcBorders>
                  <w:shd w:val="clear" w:color="auto" w:fill="auto"/>
                  <w:vAlign w:val="center"/>
                </w:tcPr>
                <w:p w14:paraId="1C017FD4">
                  <w:pPr>
                    <w:adjustRightInd w:val="0"/>
                    <w:snapToGrid w:val="0"/>
                    <w:jc w:val="center"/>
                    <w:rPr>
                      <w:rFonts w:hint="eastAsia" w:ascii="Times New Roman" w:hAnsi="Times New Roman" w:eastAsia="宋体" w:cs="Times New Roman"/>
                      <w:color w:val="auto"/>
                      <w:kern w:val="2"/>
                      <w:sz w:val="21"/>
                      <w:szCs w:val="21"/>
                      <w:lang w:val="zh-CN" w:eastAsia="zh-CN" w:bidi="ar-SA"/>
                    </w:rPr>
                  </w:pPr>
                  <w:r>
                    <w:rPr>
                      <w:rFonts w:hint="eastAsia"/>
                      <w:color w:val="auto"/>
                      <w:szCs w:val="21"/>
                      <w:lang w:val="zh-CN"/>
                    </w:rPr>
                    <w:t>进餐厨废弃物处理工艺中进行处理</w:t>
                  </w:r>
                </w:p>
              </w:tc>
            </w:tr>
            <w:tr w14:paraId="4869A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291" w:type="pct"/>
                  <w:vMerge w:val="continue"/>
                  <w:tcBorders>
                    <w:left w:val="single" w:color="auto" w:sz="4" w:space="0"/>
                    <w:right w:val="single" w:color="auto" w:sz="4" w:space="0"/>
                  </w:tcBorders>
                  <w:vAlign w:val="center"/>
                </w:tcPr>
                <w:p w14:paraId="7630AE3C">
                  <w:pPr>
                    <w:adjustRightInd w:val="0"/>
                    <w:snapToGrid w:val="0"/>
                    <w:jc w:val="center"/>
                    <w:rPr>
                      <w:color w:val="auto"/>
                      <w:kern w:val="0"/>
                      <w:szCs w:val="21"/>
                    </w:rPr>
                  </w:pPr>
                </w:p>
              </w:tc>
              <w:tc>
                <w:tcPr>
                  <w:tcW w:w="999" w:type="pct"/>
                  <w:gridSpan w:val="2"/>
                  <w:tcBorders>
                    <w:left w:val="single" w:color="auto" w:sz="4" w:space="0"/>
                    <w:bottom w:val="single" w:color="auto" w:sz="4" w:space="0"/>
                    <w:right w:val="single" w:color="auto" w:sz="4" w:space="0"/>
                  </w:tcBorders>
                  <w:shd w:val="clear" w:color="auto" w:fill="auto"/>
                  <w:vAlign w:val="center"/>
                </w:tcPr>
                <w:p w14:paraId="14D85175">
                  <w:pPr>
                    <w:adjustRightInd w:val="0"/>
                    <w:snapToGrid w:val="0"/>
                    <w:jc w:val="center"/>
                    <w:rPr>
                      <w:rFonts w:hint="eastAsia" w:ascii="Times New Roman" w:hAnsi="Times New Roman" w:eastAsia="宋体" w:cs="Times New Roman"/>
                      <w:bCs/>
                      <w:color w:val="auto"/>
                      <w:kern w:val="0"/>
                      <w:sz w:val="21"/>
                      <w:szCs w:val="21"/>
                      <w:lang w:val="en-US" w:eastAsia="zh-CN" w:bidi="ar-SA"/>
                    </w:rPr>
                  </w:pPr>
                  <w:r>
                    <w:rPr>
                      <w:rFonts w:hint="eastAsia"/>
                      <w:bCs/>
                      <w:color w:val="auto"/>
                      <w:kern w:val="0"/>
                      <w:szCs w:val="21"/>
                      <w:lang w:eastAsia="zh-CN"/>
                    </w:rPr>
                    <w:t>设备冲洗废水</w:t>
                  </w:r>
                </w:p>
              </w:tc>
              <w:tc>
                <w:tcPr>
                  <w:tcW w:w="1540" w:type="pct"/>
                  <w:tcBorders>
                    <w:left w:val="single" w:color="auto" w:sz="4" w:space="0"/>
                    <w:right w:val="single" w:color="auto" w:sz="4" w:space="0"/>
                  </w:tcBorders>
                  <w:shd w:val="clear" w:color="auto" w:fill="auto"/>
                  <w:vAlign w:val="center"/>
                </w:tcPr>
                <w:p w14:paraId="366420DD">
                  <w:pPr>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设备冲洗</w:t>
                  </w:r>
                </w:p>
              </w:tc>
              <w:tc>
                <w:tcPr>
                  <w:tcW w:w="1162" w:type="pct"/>
                  <w:tcBorders>
                    <w:top w:val="single" w:color="auto" w:sz="4" w:space="0"/>
                    <w:left w:val="single" w:color="auto" w:sz="4" w:space="0"/>
                    <w:bottom w:val="single" w:color="auto" w:sz="4" w:space="0"/>
                    <w:right w:val="single" w:color="auto" w:sz="4" w:space="0"/>
                  </w:tcBorders>
                  <w:shd w:val="clear" w:color="auto" w:fill="auto"/>
                  <w:vAlign w:val="center"/>
                </w:tcPr>
                <w:p w14:paraId="06A80D93">
                  <w:pPr>
                    <w:adjustRightInd w:val="0"/>
                    <w:snapToGrid w:val="0"/>
                    <w:jc w:val="center"/>
                    <w:rPr>
                      <w:rFonts w:hint="eastAsia" w:ascii="Times New Roman" w:hAnsi="Times New Roman" w:eastAsia="宋体" w:cs="Times New Roman"/>
                      <w:bCs/>
                      <w:color w:val="auto"/>
                      <w:kern w:val="2"/>
                      <w:sz w:val="21"/>
                      <w:szCs w:val="21"/>
                      <w:highlight w:val="none"/>
                      <w:lang w:val="en-US" w:eastAsia="zh-CN" w:bidi="ar-SA"/>
                    </w:rPr>
                  </w:pPr>
                  <w:r>
                    <w:rPr>
                      <w:rFonts w:hint="eastAsia"/>
                      <w:bCs/>
                      <w:color w:val="auto"/>
                      <w:szCs w:val="21"/>
                      <w:highlight w:val="none"/>
                      <w:lang w:val="en-US" w:eastAsia="zh-CN"/>
                    </w:rPr>
                    <w:t>-</w:t>
                  </w:r>
                </w:p>
              </w:tc>
              <w:tc>
                <w:tcPr>
                  <w:tcW w:w="1006" w:type="pct"/>
                  <w:vMerge w:val="continue"/>
                  <w:tcBorders>
                    <w:left w:val="single" w:color="auto" w:sz="4" w:space="0"/>
                    <w:right w:val="single" w:color="auto" w:sz="4" w:space="0"/>
                  </w:tcBorders>
                  <w:vAlign w:val="center"/>
                </w:tcPr>
                <w:p w14:paraId="5AA97E1F">
                  <w:pPr>
                    <w:adjustRightInd w:val="0"/>
                    <w:snapToGrid w:val="0"/>
                    <w:jc w:val="center"/>
                    <w:rPr>
                      <w:rFonts w:hint="eastAsia"/>
                      <w:color w:val="auto"/>
                      <w:szCs w:val="21"/>
                      <w:lang w:val="zh-CN"/>
                    </w:rPr>
                  </w:pPr>
                </w:p>
              </w:tc>
            </w:tr>
            <w:tr w14:paraId="63650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291" w:type="pct"/>
                  <w:vMerge w:val="continue"/>
                  <w:tcBorders>
                    <w:left w:val="single" w:color="auto" w:sz="4" w:space="0"/>
                    <w:right w:val="single" w:color="auto" w:sz="4" w:space="0"/>
                  </w:tcBorders>
                  <w:vAlign w:val="center"/>
                </w:tcPr>
                <w:p w14:paraId="2FA828F6">
                  <w:pPr>
                    <w:adjustRightInd w:val="0"/>
                    <w:snapToGrid w:val="0"/>
                    <w:jc w:val="center"/>
                    <w:rPr>
                      <w:color w:val="auto"/>
                      <w:kern w:val="0"/>
                      <w:szCs w:val="21"/>
                    </w:rPr>
                  </w:pPr>
                </w:p>
              </w:tc>
              <w:tc>
                <w:tcPr>
                  <w:tcW w:w="999" w:type="pct"/>
                  <w:gridSpan w:val="2"/>
                  <w:tcBorders>
                    <w:left w:val="single" w:color="auto" w:sz="4" w:space="0"/>
                    <w:bottom w:val="single" w:color="auto" w:sz="4" w:space="0"/>
                    <w:right w:val="single" w:color="auto" w:sz="4" w:space="0"/>
                  </w:tcBorders>
                  <w:vAlign w:val="center"/>
                </w:tcPr>
                <w:p w14:paraId="7378B147">
                  <w:pPr>
                    <w:adjustRightInd w:val="0"/>
                    <w:snapToGrid w:val="0"/>
                    <w:jc w:val="center"/>
                    <w:rPr>
                      <w:rFonts w:hint="eastAsia" w:eastAsia="宋体"/>
                      <w:bCs/>
                      <w:color w:val="auto"/>
                      <w:kern w:val="0"/>
                      <w:szCs w:val="21"/>
                      <w:lang w:val="en-US" w:eastAsia="zh-CN"/>
                    </w:rPr>
                  </w:pPr>
                  <w:r>
                    <w:rPr>
                      <w:rFonts w:hint="eastAsia"/>
                      <w:bCs/>
                      <w:color w:val="auto"/>
                      <w:kern w:val="0"/>
                      <w:szCs w:val="21"/>
                      <w:lang w:val="en-US" w:eastAsia="zh-CN"/>
                    </w:rPr>
                    <w:t>地面冲洗废水</w:t>
                  </w:r>
                </w:p>
              </w:tc>
              <w:tc>
                <w:tcPr>
                  <w:tcW w:w="1540" w:type="pct"/>
                  <w:tcBorders>
                    <w:left w:val="single" w:color="auto" w:sz="4" w:space="0"/>
                    <w:right w:val="single" w:color="auto" w:sz="4" w:space="0"/>
                  </w:tcBorders>
                  <w:shd w:val="clear" w:color="auto" w:fill="auto"/>
                  <w:vAlign w:val="center"/>
                </w:tcPr>
                <w:p w14:paraId="1C82B425">
                  <w:pPr>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地面冲洗</w:t>
                  </w:r>
                </w:p>
              </w:tc>
              <w:tc>
                <w:tcPr>
                  <w:tcW w:w="1162" w:type="pct"/>
                  <w:tcBorders>
                    <w:top w:val="single" w:color="auto" w:sz="4" w:space="0"/>
                    <w:left w:val="single" w:color="auto" w:sz="4" w:space="0"/>
                    <w:bottom w:val="single" w:color="auto" w:sz="4" w:space="0"/>
                    <w:right w:val="single" w:color="auto" w:sz="4" w:space="0"/>
                  </w:tcBorders>
                  <w:vAlign w:val="center"/>
                </w:tcPr>
                <w:p w14:paraId="5AB21672">
                  <w:pPr>
                    <w:adjustRightInd w:val="0"/>
                    <w:snapToGrid w:val="0"/>
                    <w:jc w:val="center"/>
                    <w:rPr>
                      <w:rFonts w:hint="eastAsia" w:eastAsia="宋体"/>
                      <w:bCs/>
                      <w:color w:val="auto"/>
                      <w:szCs w:val="21"/>
                      <w:highlight w:val="none"/>
                      <w:lang w:val="en-US" w:eastAsia="zh-CN"/>
                    </w:rPr>
                  </w:pPr>
                  <w:r>
                    <w:rPr>
                      <w:rFonts w:hint="eastAsia"/>
                      <w:bCs/>
                      <w:color w:val="auto"/>
                      <w:szCs w:val="21"/>
                      <w:highlight w:val="none"/>
                      <w:lang w:val="en-US" w:eastAsia="zh-CN"/>
                    </w:rPr>
                    <w:t>-</w:t>
                  </w:r>
                </w:p>
              </w:tc>
              <w:tc>
                <w:tcPr>
                  <w:tcW w:w="1006" w:type="pct"/>
                  <w:vMerge w:val="continue"/>
                  <w:tcBorders>
                    <w:left w:val="single" w:color="auto" w:sz="4" w:space="0"/>
                    <w:right w:val="single" w:color="auto" w:sz="4" w:space="0"/>
                  </w:tcBorders>
                  <w:vAlign w:val="center"/>
                </w:tcPr>
                <w:p w14:paraId="5B36A96C">
                  <w:pPr>
                    <w:adjustRightInd w:val="0"/>
                    <w:snapToGrid w:val="0"/>
                    <w:jc w:val="center"/>
                    <w:rPr>
                      <w:rFonts w:hint="eastAsia"/>
                      <w:color w:val="auto"/>
                      <w:szCs w:val="21"/>
                      <w:lang w:val="zh-CN"/>
                    </w:rPr>
                  </w:pPr>
                </w:p>
              </w:tc>
            </w:tr>
            <w:tr w14:paraId="12A8E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291" w:type="pct"/>
                  <w:vMerge w:val="continue"/>
                  <w:tcBorders>
                    <w:left w:val="single" w:color="auto" w:sz="4" w:space="0"/>
                    <w:right w:val="single" w:color="auto" w:sz="4" w:space="0"/>
                  </w:tcBorders>
                  <w:vAlign w:val="center"/>
                </w:tcPr>
                <w:p w14:paraId="65A72DE5">
                  <w:pPr>
                    <w:adjustRightInd w:val="0"/>
                    <w:snapToGrid w:val="0"/>
                    <w:jc w:val="center"/>
                    <w:rPr>
                      <w:color w:val="auto"/>
                      <w:kern w:val="0"/>
                      <w:szCs w:val="21"/>
                    </w:rPr>
                  </w:pPr>
                </w:p>
              </w:tc>
              <w:tc>
                <w:tcPr>
                  <w:tcW w:w="999" w:type="pct"/>
                  <w:gridSpan w:val="2"/>
                  <w:tcBorders>
                    <w:left w:val="single" w:color="auto" w:sz="4" w:space="0"/>
                    <w:bottom w:val="single" w:color="auto" w:sz="4" w:space="0"/>
                    <w:right w:val="single" w:color="auto" w:sz="4" w:space="0"/>
                  </w:tcBorders>
                  <w:shd w:val="clear" w:color="auto" w:fill="auto"/>
                  <w:vAlign w:val="center"/>
                </w:tcPr>
                <w:p w14:paraId="4CF3D932">
                  <w:pPr>
                    <w:adjustRightInd w:val="0"/>
                    <w:snapToGrid w:val="0"/>
                    <w:jc w:val="center"/>
                    <w:rPr>
                      <w:rFonts w:hint="eastAsia" w:ascii="Times New Roman" w:hAnsi="Times New Roman" w:eastAsia="宋体" w:cs="Times New Roman"/>
                      <w:bCs/>
                      <w:color w:val="auto"/>
                      <w:kern w:val="0"/>
                      <w:sz w:val="21"/>
                      <w:szCs w:val="21"/>
                      <w:lang w:val="en-US" w:eastAsia="zh-CN" w:bidi="ar-SA"/>
                    </w:rPr>
                  </w:pPr>
                  <w:r>
                    <w:rPr>
                      <w:rFonts w:hint="eastAsia"/>
                      <w:bCs/>
                      <w:color w:val="auto"/>
                      <w:kern w:val="0"/>
                      <w:szCs w:val="21"/>
                    </w:rPr>
                    <w:t>生活污水</w:t>
                  </w:r>
                </w:p>
              </w:tc>
              <w:tc>
                <w:tcPr>
                  <w:tcW w:w="1540" w:type="pct"/>
                  <w:tcBorders>
                    <w:left w:val="single" w:color="auto" w:sz="4" w:space="0"/>
                    <w:right w:val="single" w:color="auto" w:sz="4" w:space="0"/>
                  </w:tcBorders>
                  <w:shd w:val="clear" w:color="auto" w:fill="auto"/>
                  <w:vAlign w:val="center"/>
                </w:tcPr>
                <w:p w14:paraId="0555A1C1">
                  <w:pPr>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生活办公</w:t>
                  </w:r>
                </w:p>
              </w:tc>
              <w:tc>
                <w:tcPr>
                  <w:tcW w:w="1162" w:type="pct"/>
                  <w:tcBorders>
                    <w:top w:val="single" w:color="auto" w:sz="4" w:space="0"/>
                    <w:left w:val="single" w:color="auto" w:sz="4" w:space="0"/>
                    <w:bottom w:val="single" w:color="auto" w:sz="4" w:space="0"/>
                    <w:right w:val="single" w:color="auto" w:sz="4" w:space="0"/>
                  </w:tcBorders>
                  <w:shd w:val="clear" w:color="auto" w:fill="auto"/>
                  <w:vAlign w:val="center"/>
                </w:tcPr>
                <w:p w14:paraId="21B886FD">
                  <w:pPr>
                    <w:adjustRightInd w:val="0"/>
                    <w:snapToGrid w:val="0"/>
                    <w:jc w:val="center"/>
                    <w:rPr>
                      <w:rFonts w:hint="eastAsia" w:ascii="Times New Roman" w:hAnsi="Times New Roman" w:eastAsia="宋体" w:cs="Times New Roman"/>
                      <w:bCs/>
                      <w:color w:val="auto"/>
                      <w:kern w:val="0"/>
                      <w:sz w:val="21"/>
                      <w:szCs w:val="21"/>
                      <w:highlight w:val="none"/>
                      <w:lang w:val="en-US" w:eastAsia="zh-CN" w:bidi="ar-SA"/>
                    </w:rPr>
                  </w:pPr>
                  <w:r>
                    <w:rPr>
                      <w:rFonts w:hint="eastAsia"/>
                      <w:bCs/>
                      <w:color w:val="auto"/>
                      <w:szCs w:val="21"/>
                      <w:highlight w:val="none"/>
                      <w:lang w:val="en-US" w:eastAsia="zh-CN"/>
                    </w:rPr>
                    <w:t>-</w:t>
                  </w:r>
                </w:p>
              </w:tc>
              <w:tc>
                <w:tcPr>
                  <w:tcW w:w="1006" w:type="pct"/>
                  <w:vMerge w:val="restart"/>
                  <w:tcBorders>
                    <w:left w:val="single" w:color="auto" w:sz="4" w:space="0"/>
                    <w:right w:val="single" w:color="auto" w:sz="4" w:space="0"/>
                  </w:tcBorders>
                  <w:shd w:val="clear" w:color="auto" w:fill="auto"/>
                  <w:vAlign w:val="center"/>
                </w:tcPr>
                <w:p w14:paraId="505AFF17">
                  <w:pPr>
                    <w:adjustRightInd w:val="0"/>
                    <w:snapToGrid w:val="0"/>
                    <w:jc w:val="center"/>
                    <w:rPr>
                      <w:rFonts w:hint="eastAsia" w:ascii="Times New Roman" w:hAnsi="Times New Roman" w:eastAsia="宋体" w:cs="Times New Roman"/>
                      <w:bCs/>
                      <w:color w:val="auto"/>
                      <w:kern w:val="0"/>
                      <w:sz w:val="21"/>
                      <w:szCs w:val="21"/>
                      <w:lang w:val="zh-CN" w:eastAsia="zh-CN" w:bidi="ar-SA"/>
                    </w:rPr>
                  </w:pPr>
                  <w:r>
                    <w:rPr>
                      <w:rFonts w:hint="eastAsia" w:ascii="Times New Roman" w:hAnsi="Times New Roman" w:eastAsia="宋体" w:cs="Times New Roman"/>
                      <w:bCs/>
                      <w:color w:val="auto"/>
                      <w:kern w:val="0"/>
                      <w:szCs w:val="21"/>
                      <w:lang w:val="zh-CN" w:eastAsia="zh-CN"/>
                    </w:rPr>
                    <w:t>生活污水经化粪池收集后与初期雨水、循环冷却排水和高浓废水（三相分离的废水（含沉降罐沥液）和</w:t>
                  </w:r>
                  <w:r>
                    <w:rPr>
                      <w:rFonts w:hint="eastAsia" w:ascii="Times New Roman" w:hAnsi="Times New Roman" w:eastAsia="宋体" w:cs="Times New Roman"/>
                      <w:bCs/>
                      <w:color w:val="auto"/>
                      <w:kern w:val="0"/>
                      <w:szCs w:val="21"/>
                      <w:lang w:val="en-US" w:eastAsia="zh-CN"/>
                    </w:rPr>
                    <w:t>喷淋废水</w:t>
                  </w:r>
                  <w:r>
                    <w:rPr>
                      <w:rFonts w:hint="eastAsia" w:ascii="Times New Roman" w:hAnsi="Times New Roman" w:eastAsia="宋体" w:cs="Times New Roman"/>
                      <w:bCs/>
                      <w:color w:val="auto"/>
                      <w:kern w:val="0"/>
                      <w:szCs w:val="21"/>
                      <w:lang w:val="zh-CN" w:eastAsia="zh-CN"/>
                    </w:rPr>
                    <w:t>）利用新建管道</w:t>
                  </w:r>
                  <w:r>
                    <w:rPr>
                      <w:rFonts w:hint="eastAsia" w:cs="Times New Roman"/>
                      <w:bCs/>
                      <w:color w:val="auto"/>
                      <w:kern w:val="0"/>
                      <w:szCs w:val="21"/>
                      <w:lang w:val="zh-CN" w:eastAsia="zh-CN"/>
                    </w:rPr>
                    <w:t>输送</w:t>
                  </w:r>
                  <w:r>
                    <w:rPr>
                      <w:rFonts w:hint="eastAsia" w:ascii="Times New Roman" w:hAnsi="Times New Roman" w:eastAsia="宋体" w:cs="Times New Roman"/>
                      <w:bCs/>
                      <w:color w:val="auto"/>
                      <w:kern w:val="0"/>
                      <w:szCs w:val="21"/>
                      <w:lang w:val="zh-CN" w:eastAsia="zh-CN"/>
                    </w:rPr>
                    <w:t>至池州中器环保科技有限公司的污水处理设施进行处理，处理后接管东至经开区污水处理厂</w:t>
                  </w:r>
                </w:p>
              </w:tc>
            </w:tr>
            <w:tr w14:paraId="1993F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291" w:type="pct"/>
                  <w:vMerge w:val="continue"/>
                  <w:tcBorders>
                    <w:left w:val="single" w:color="auto" w:sz="4" w:space="0"/>
                    <w:right w:val="single" w:color="auto" w:sz="4" w:space="0"/>
                  </w:tcBorders>
                  <w:vAlign w:val="center"/>
                </w:tcPr>
                <w:p w14:paraId="69F92D0F">
                  <w:pPr>
                    <w:adjustRightInd w:val="0"/>
                    <w:snapToGrid w:val="0"/>
                    <w:jc w:val="center"/>
                    <w:rPr>
                      <w:color w:val="auto"/>
                      <w:kern w:val="0"/>
                      <w:szCs w:val="21"/>
                    </w:rPr>
                  </w:pPr>
                </w:p>
              </w:tc>
              <w:tc>
                <w:tcPr>
                  <w:tcW w:w="999" w:type="pct"/>
                  <w:gridSpan w:val="2"/>
                  <w:tcBorders>
                    <w:left w:val="single" w:color="auto" w:sz="4" w:space="0"/>
                    <w:bottom w:val="single" w:color="auto" w:sz="4" w:space="0"/>
                    <w:right w:val="single" w:color="auto" w:sz="4" w:space="0"/>
                  </w:tcBorders>
                  <w:shd w:val="clear" w:color="auto" w:fill="auto"/>
                  <w:vAlign w:val="center"/>
                </w:tcPr>
                <w:p w14:paraId="64FCEEEE">
                  <w:pPr>
                    <w:adjustRightInd w:val="0"/>
                    <w:snapToGrid w:val="0"/>
                    <w:jc w:val="center"/>
                    <w:rPr>
                      <w:rFonts w:hint="eastAsia" w:ascii="Times New Roman" w:hAnsi="Times New Roman" w:eastAsia="宋体" w:cs="Times New Roman"/>
                      <w:bCs/>
                      <w:strike/>
                      <w:dstrike w:val="0"/>
                      <w:color w:val="auto"/>
                      <w:kern w:val="0"/>
                      <w:sz w:val="21"/>
                      <w:szCs w:val="21"/>
                      <w:highlight w:val="yellow"/>
                      <w:lang w:val="en-US" w:eastAsia="zh-CN" w:bidi="ar-SA"/>
                    </w:rPr>
                  </w:pPr>
                  <w:r>
                    <w:rPr>
                      <w:rFonts w:hint="eastAsia"/>
                      <w:bCs/>
                      <w:strike w:val="0"/>
                      <w:dstrike w:val="0"/>
                      <w:color w:val="auto"/>
                      <w:kern w:val="0"/>
                      <w:szCs w:val="21"/>
                      <w:highlight w:val="none"/>
                      <w:lang w:eastAsia="zh-CN"/>
                    </w:rPr>
                    <w:t>三相分离后的废液</w:t>
                  </w:r>
                </w:p>
              </w:tc>
              <w:tc>
                <w:tcPr>
                  <w:tcW w:w="1540" w:type="pct"/>
                  <w:tcBorders>
                    <w:left w:val="single" w:color="auto" w:sz="4" w:space="0"/>
                    <w:right w:val="single" w:color="auto" w:sz="4" w:space="0"/>
                  </w:tcBorders>
                  <w:shd w:val="clear" w:color="auto" w:fill="auto"/>
                  <w:vAlign w:val="center"/>
                </w:tcPr>
                <w:p w14:paraId="63E35926">
                  <w:pPr>
                    <w:jc w:val="center"/>
                    <w:rPr>
                      <w:rFonts w:hint="eastAsia" w:ascii="Times New Roman" w:hAnsi="Times New Roman" w:eastAsia="宋体" w:cs="Times New Roman"/>
                      <w:strike/>
                      <w:dstrike w:val="0"/>
                      <w:color w:val="auto"/>
                      <w:kern w:val="2"/>
                      <w:sz w:val="21"/>
                      <w:szCs w:val="21"/>
                      <w:highlight w:val="yellow"/>
                      <w:lang w:val="en-US" w:eastAsia="zh-CN" w:bidi="ar-SA"/>
                    </w:rPr>
                  </w:pPr>
                  <w:r>
                    <w:rPr>
                      <w:rFonts w:hint="eastAsia" w:cs="Times New Roman"/>
                      <w:strike w:val="0"/>
                      <w:dstrike w:val="0"/>
                      <w:color w:val="auto"/>
                      <w:kern w:val="2"/>
                      <w:sz w:val="21"/>
                      <w:szCs w:val="21"/>
                      <w:highlight w:val="none"/>
                      <w:lang w:val="en-US" w:eastAsia="zh-CN" w:bidi="ar-SA"/>
                    </w:rPr>
                    <w:t>生产</w:t>
                  </w:r>
                </w:p>
              </w:tc>
              <w:tc>
                <w:tcPr>
                  <w:tcW w:w="1162" w:type="pct"/>
                  <w:tcBorders>
                    <w:top w:val="single" w:color="auto" w:sz="4" w:space="0"/>
                    <w:left w:val="single" w:color="auto" w:sz="4" w:space="0"/>
                    <w:bottom w:val="single" w:color="auto" w:sz="4" w:space="0"/>
                    <w:right w:val="single" w:color="auto" w:sz="4" w:space="0"/>
                  </w:tcBorders>
                  <w:shd w:val="clear" w:color="auto" w:fill="auto"/>
                  <w:vAlign w:val="center"/>
                </w:tcPr>
                <w:p w14:paraId="73D6C726">
                  <w:pPr>
                    <w:adjustRightInd w:val="0"/>
                    <w:snapToGrid w:val="0"/>
                    <w:jc w:val="center"/>
                    <w:rPr>
                      <w:rFonts w:hint="eastAsia" w:ascii="Times New Roman" w:hAnsi="Times New Roman" w:eastAsia="宋体" w:cs="Times New Roman"/>
                      <w:bCs/>
                      <w:color w:val="auto"/>
                      <w:kern w:val="2"/>
                      <w:sz w:val="21"/>
                      <w:szCs w:val="21"/>
                      <w:highlight w:val="none"/>
                      <w:lang w:val="en-US" w:eastAsia="zh-CN" w:bidi="ar-SA"/>
                    </w:rPr>
                  </w:pPr>
                  <w:r>
                    <w:rPr>
                      <w:rFonts w:hint="eastAsia"/>
                      <w:bCs/>
                      <w:color w:val="auto"/>
                      <w:szCs w:val="21"/>
                      <w:highlight w:val="none"/>
                      <w:lang w:val="en-US" w:eastAsia="zh-CN"/>
                    </w:rPr>
                    <w:t>-</w:t>
                  </w:r>
                </w:p>
              </w:tc>
              <w:tc>
                <w:tcPr>
                  <w:tcW w:w="1006" w:type="pct"/>
                  <w:vMerge w:val="continue"/>
                  <w:tcBorders>
                    <w:left w:val="single" w:color="auto" w:sz="4" w:space="0"/>
                    <w:right w:val="single" w:color="auto" w:sz="4" w:space="0"/>
                  </w:tcBorders>
                  <w:vAlign w:val="center"/>
                </w:tcPr>
                <w:p w14:paraId="68D4CD62">
                  <w:pPr>
                    <w:adjustRightInd w:val="0"/>
                    <w:snapToGrid w:val="0"/>
                    <w:jc w:val="center"/>
                    <w:rPr>
                      <w:rFonts w:hint="eastAsia"/>
                      <w:color w:val="auto"/>
                      <w:szCs w:val="21"/>
                      <w:lang w:val="zh-CN"/>
                    </w:rPr>
                  </w:pPr>
                </w:p>
              </w:tc>
            </w:tr>
            <w:tr w14:paraId="78D57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jc w:val="center"/>
              </w:trPr>
              <w:tc>
                <w:tcPr>
                  <w:tcW w:w="291" w:type="pct"/>
                  <w:vMerge w:val="continue"/>
                  <w:tcBorders>
                    <w:left w:val="single" w:color="auto" w:sz="4" w:space="0"/>
                    <w:right w:val="single" w:color="auto" w:sz="4" w:space="0"/>
                  </w:tcBorders>
                  <w:vAlign w:val="center"/>
                </w:tcPr>
                <w:p w14:paraId="0C5008CE">
                  <w:pPr>
                    <w:adjustRightInd w:val="0"/>
                    <w:snapToGrid w:val="0"/>
                    <w:jc w:val="center"/>
                    <w:rPr>
                      <w:color w:val="auto"/>
                      <w:kern w:val="0"/>
                      <w:szCs w:val="21"/>
                    </w:rPr>
                  </w:pPr>
                </w:p>
              </w:tc>
              <w:tc>
                <w:tcPr>
                  <w:tcW w:w="999" w:type="pct"/>
                  <w:gridSpan w:val="2"/>
                  <w:tcBorders>
                    <w:left w:val="single" w:color="auto" w:sz="4" w:space="0"/>
                    <w:bottom w:val="single" w:color="auto" w:sz="4" w:space="0"/>
                    <w:right w:val="single" w:color="auto" w:sz="4" w:space="0"/>
                  </w:tcBorders>
                  <w:shd w:val="clear" w:color="auto" w:fill="auto"/>
                  <w:vAlign w:val="center"/>
                </w:tcPr>
                <w:p w14:paraId="70C4A9A7">
                  <w:pPr>
                    <w:adjustRightInd w:val="0"/>
                    <w:snapToGrid w:val="0"/>
                    <w:jc w:val="center"/>
                    <w:rPr>
                      <w:rFonts w:hint="eastAsia" w:ascii="Times New Roman" w:hAnsi="Times New Roman" w:eastAsia="宋体" w:cs="Times New Roman"/>
                      <w:bCs/>
                      <w:color w:val="auto"/>
                      <w:kern w:val="0"/>
                      <w:sz w:val="21"/>
                      <w:szCs w:val="21"/>
                      <w:lang w:val="en-US" w:eastAsia="zh-CN" w:bidi="ar-SA"/>
                    </w:rPr>
                  </w:pPr>
                  <w:r>
                    <w:rPr>
                      <w:rFonts w:hint="eastAsia"/>
                      <w:bCs/>
                      <w:color w:val="auto"/>
                      <w:kern w:val="0"/>
                      <w:szCs w:val="21"/>
                      <w:lang w:eastAsia="zh-CN"/>
                    </w:rPr>
                    <w:t>喷淋废水</w:t>
                  </w:r>
                </w:p>
              </w:tc>
              <w:tc>
                <w:tcPr>
                  <w:tcW w:w="1540" w:type="pct"/>
                  <w:tcBorders>
                    <w:left w:val="single" w:color="auto" w:sz="4" w:space="0"/>
                    <w:right w:val="single" w:color="auto" w:sz="4" w:space="0"/>
                  </w:tcBorders>
                  <w:shd w:val="clear" w:color="auto" w:fill="auto"/>
                  <w:vAlign w:val="center"/>
                </w:tcPr>
                <w:p w14:paraId="202F1EFD">
                  <w:pPr>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化学喷淋</w:t>
                  </w:r>
                </w:p>
              </w:tc>
              <w:tc>
                <w:tcPr>
                  <w:tcW w:w="1162" w:type="pct"/>
                  <w:tcBorders>
                    <w:top w:val="single" w:color="auto" w:sz="4" w:space="0"/>
                    <w:left w:val="single" w:color="auto" w:sz="4" w:space="0"/>
                    <w:bottom w:val="single" w:color="auto" w:sz="4" w:space="0"/>
                    <w:right w:val="single" w:color="auto" w:sz="4" w:space="0"/>
                  </w:tcBorders>
                  <w:shd w:val="clear" w:color="auto" w:fill="auto"/>
                  <w:vAlign w:val="center"/>
                </w:tcPr>
                <w:p w14:paraId="2ACC18F6">
                  <w:pPr>
                    <w:adjustRightInd w:val="0"/>
                    <w:snapToGrid w:val="0"/>
                    <w:jc w:val="center"/>
                    <w:rPr>
                      <w:rFonts w:hint="eastAsia" w:ascii="Times New Roman" w:hAnsi="Times New Roman" w:eastAsia="宋体" w:cs="Times New Roman"/>
                      <w:bCs/>
                      <w:color w:val="auto"/>
                      <w:kern w:val="2"/>
                      <w:sz w:val="21"/>
                      <w:szCs w:val="21"/>
                      <w:highlight w:val="none"/>
                      <w:lang w:val="en-US" w:eastAsia="zh-CN" w:bidi="ar-SA"/>
                    </w:rPr>
                  </w:pPr>
                  <w:r>
                    <w:rPr>
                      <w:rFonts w:hint="eastAsia"/>
                      <w:bCs/>
                      <w:color w:val="auto"/>
                      <w:szCs w:val="21"/>
                      <w:highlight w:val="none"/>
                      <w:lang w:val="en-US" w:eastAsia="zh-CN"/>
                    </w:rPr>
                    <w:t>-</w:t>
                  </w:r>
                </w:p>
              </w:tc>
              <w:tc>
                <w:tcPr>
                  <w:tcW w:w="1006" w:type="pct"/>
                  <w:vMerge w:val="continue"/>
                  <w:tcBorders>
                    <w:left w:val="single" w:color="auto" w:sz="4" w:space="0"/>
                    <w:right w:val="single" w:color="auto" w:sz="4" w:space="0"/>
                  </w:tcBorders>
                  <w:vAlign w:val="center"/>
                </w:tcPr>
                <w:p w14:paraId="40DA6056">
                  <w:pPr>
                    <w:adjustRightInd w:val="0"/>
                    <w:snapToGrid w:val="0"/>
                    <w:jc w:val="center"/>
                    <w:rPr>
                      <w:rFonts w:hint="eastAsia"/>
                      <w:color w:val="auto"/>
                      <w:szCs w:val="21"/>
                      <w:lang w:val="zh-CN"/>
                    </w:rPr>
                  </w:pPr>
                </w:p>
              </w:tc>
            </w:tr>
            <w:tr w14:paraId="00E5F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blHeader/>
                <w:jc w:val="center"/>
              </w:trPr>
              <w:tc>
                <w:tcPr>
                  <w:tcW w:w="291" w:type="pct"/>
                  <w:vMerge w:val="continue"/>
                  <w:tcBorders>
                    <w:left w:val="single" w:color="auto" w:sz="4" w:space="0"/>
                    <w:right w:val="single" w:color="auto" w:sz="4" w:space="0"/>
                  </w:tcBorders>
                  <w:vAlign w:val="center"/>
                </w:tcPr>
                <w:p w14:paraId="606A434B">
                  <w:pPr>
                    <w:adjustRightInd w:val="0"/>
                    <w:snapToGrid w:val="0"/>
                    <w:jc w:val="center"/>
                    <w:rPr>
                      <w:color w:val="auto"/>
                      <w:kern w:val="0"/>
                      <w:szCs w:val="21"/>
                    </w:rPr>
                  </w:pPr>
                </w:p>
              </w:tc>
              <w:tc>
                <w:tcPr>
                  <w:tcW w:w="999" w:type="pct"/>
                  <w:gridSpan w:val="2"/>
                  <w:tcBorders>
                    <w:left w:val="single" w:color="auto" w:sz="4" w:space="0"/>
                    <w:bottom w:val="single" w:color="auto" w:sz="4" w:space="0"/>
                    <w:right w:val="single" w:color="auto" w:sz="4" w:space="0"/>
                  </w:tcBorders>
                  <w:vAlign w:val="center"/>
                </w:tcPr>
                <w:p w14:paraId="14C33059">
                  <w:pPr>
                    <w:adjustRightInd w:val="0"/>
                    <w:snapToGrid w:val="0"/>
                    <w:jc w:val="center"/>
                    <w:rPr>
                      <w:rFonts w:hint="eastAsia" w:ascii="Times New Roman" w:hAnsi="Times New Roman" w:eastAsia="宋体" w:cs="Times New Roman"/>
                      <w:bCs/>
                      <w:color w:val="auto"/>
                      <w:kern w:val="0"/>
                      <w:szCs w:val="21"/>
                      <w:lang w:eastAsia="zh-CN"/>
                    </w:rPr>
                  </w:pPr>
                  <w:r>
                    <w:rPr>
                      <w:rFonts w:hint="eastAsia" w:ascii="Times New Roman" w:hAnsi="Times New Roman" w:eastAsia="宋体" w:cs="Times New Roman"/>
                      <w:bCs/>
                      <w:color w:val="auto"/>
                      <w:kern w:val="0"/>
                      <w:szCs w:val="21"/>
                      <w:lang w:eastAsia="zh-CN"/>
                    </w:rPr>
                    <w:t>初期雨水</w:t>
                  </w:r>
                </w:p>
              </w:tc>
              <w:tc>
                <w:tcPr>
                  <w:tcW w:w="1540" w:type="pct"/>
                  <w:tcBorders>
                    <w:left w:val="single" w:color="auto" w:sz="4" w:space="0"/>
                    <w:right w:val="single" w:color="auto" w:sz="4" w:space="0"/>
                  </w:tcBorders>
                  <w:shd w:val="clear" w:color="auto" w:fill="auto"/>
                  <w:vAlign w:val="center"/>
                </w:tcPr>
                <w:p w14:paraId="233BBC52">
                  <w:pPr>
                    <w:adjustRightInd w:val="0"/>
                    <w:snapToGrid w:val="0"/>
                    <w:jc w:val="center"/>
                    <w:rPr>
                      <w:rFonts w:hint="default" w:ascii="Times New Roman" w:hAnsi="Times New Roman" w:eastAsia="宋体" w:cs="Times New Roman"/>
                      <w:bCs/>
                      <w:color w:val="auto"/>
                      <w:kern w:val="0"/>
                      <w:szCs w:val="21"/>
                      <w:lang w:val="en-US" w:eastAsia="zh-CN"/>
                    </w:rPr>
                  </w:pPr>
                  <w:r>
                    <w:rPr>
                      <w:rFonts w:hint="eastAsia" w:ascii="Times New Roman" w:hAnsi="Times New Roman" w:eastAsia="宋体" w:cs="Times New Roman"/>
                      <w:bCs/>
                      <w:color w:val="auto"/>
                      <w:kern w:val="0"/>
                      <w:szCs w:val="21"/>
                      <w:lang w:val="en-US" w:eastAsia="zh-CN"/>
                    </w:rPr>
                    <w:t>-</w:t>
                  </w:r>
                </w:p>
              </w:tc>
              <w:tc>
                <w:tcPr>
                  <w:tcW w:w="1162" w:type="pct"/>
                  <w:tcBorders>
                    <w:top w:val="single" w:color="auto" w:sz="4" w:space="0"/>
                    <w:left w:val="single" w:color="auto" w:sz="4" w:space="0"/>
                    <w:bottom w:val="single" w:color="auto" w:sz="4" w:space="0"/>
                    <w:right w:val="single" w:color="auto" w:sz="4" w:space="0"/>
                  </w:tcBorders>
                  <w:vAlign w:val="center"/>
                </w:tcPr>
                <w:p w14:paraId="7349C3AF">
                  <w:pPr>
                    <w:adjustRightInd w:val="0"/>
                    <w:snapToGrid w:val="0"/>
                    <w:jc w:val="center"/>
                    <w:rPr>
                      <w:rFonts w:hint="default" w:ascii="Times New Roman" w:hAnsi="Times New Roman" w:eastAsia="宋体" w:cs="Times New Roman"/>
                      <w:bCs/>
                      <w:color w:val="auto"/>
                      <w:kern w:val="0"/>
                      <w:szCs w:val="21"/>
                      <w:lang w:val="en-US" w:eastAsia="zh-CN"/>
                    </w:rPr>
                  </w:pPr>
                  <w:r>
                    <w:rPr>
                      <w:rFonts w:hint="eastAsia" w:ascii="Times New Roman" w:hAnsi="Times New Roman" w:eastAsia="宋体" w:cs="Times New Roman"/>
                      <w:bCs/>
                      <w:color w:val="auto"/>
                      <w:kern w:val="0"/>
                      <w:szCs w:val="21"/>
                      <w:lang w:val="en-US" w:eastAsia="zh-CN"/>
                    </w:rPr>
                    <w:t>-</w:t>
                  </w:r>
                </w:p>
              </w:tc>
              <w:tc>
                <w:tcPr>
                  <w:tcW w:w="1006" w:type="pct"/>
                  <w:vMerge w:val="continue"/>
                  <w:tcBorders>
                    <w:left w:val="single" w:color="auto" w:sz="4" w:space="0"/>
                    <w:right w:val="single" w:color="auto" w:sz="4" w:space="0"/>
                  </w:tcBorders>
                  <w:vAlign w:val="center"/>
                </w:tcPr>
                <w:p w14:paraId="3E9883C9">
                  <w:pPr>
                    <w:adjustRightInd w:val="0"/>
                    <w:snapToGrid w:val="0"/>
                    <w:jc w:val="center"/>
                    <w:rPr>
                      <w:rFonts w:hint="eastAsia" w:ascii="Times New Roman" w:hAnsi="Times New Roman" w:eastAsia="宋体" w:cs="Times New Roman"/>
                      <w:bCs/>
                      <w:color w:val="auto"/>
                      <w:kern w:val="0"/>
                      <w:szCs w:val="21"/>
                      <w:lang w:val="zh-CN" w:eastAsia="zh-CN"/>
                    </w:rPr>
                  </w:pPr>
                </w:p>
              </w:tc>
            </w:tr>
            <w:tr w14:paraId="0BE3E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blHeader/>
                <w:jc w:val="center"/>
              </w:trPr>
              <w:tc>
                <w:tcPr>
                  <w:tcW w:w="291" w:type="pct"/>
                  <w:vMerge w:val="continue"/>
                  <w:tcBorders>
                    <w:left w:val="single" w:color="auto" w:sz="4" w:space="0"/>
                    <w:right w:val="single" w:color="auto" w:sz="4" w:space="0"/>
                  </w:tcBorders>
                  <w:vAlign w:val="center"/>
                </w:tcPr>
                <w:p w14:paraId="479559C6">
                  <w:pPr>
                    <w:adjustRightInd w:val="0"/>
                    <w:snapToGrid w:val="0"/>
                    <w:jc w:val="center"/>
                    <w:rPr>
                      <w:color w:val="auto"/>
                    </w:rPr>
                  </w:pPr>
                </w:p>
              </w:tc>
              <w:tc>
                <w:tcPr>
                  <w:tcW w:w="999" w:type="pct"/>
                  <w:gridSpan w:val="2"/>
                  <w:tcBorders>
                    <w:left w:val="single" w:color="auto" w:sz="4" w:space="0"/>
                    <w:bottom w:val="single" w:color="auto" w:sz="4" w:space="0"/>
                    <w:right w:val="single" w:color="auto" w:sz="4" w:space="0"/>
                  </w:tcBorders>
                  <w:vAlign w:val="center"/>
                </w:tcPr>
                <w:p w14:paraId="58F9D6EE">
                  <w:pPr>
                    <w:adjustRightInd w:val="0"/>
                    <w:snapToGrid w:val="0"/>
                    <w:jc w:val="center"/>
                    <w:rPr>
                      <w:rFonts w:hint="eastAsia" w:ascii="Times New Roman" w:hAnsi="Times New Roman" w:eastAsia="宋体" w:cs="Times New Roman"/>
                      <w:bCs/>
                      <w:color w:val="auto"/>
                      <w:kern w:val="0"/>
                      <w:szCs w:val="21"/>
                      <w:lang w:eastAsia="zh-CN"/>
                    </w:rPr>
                  </w:pPr>
                  <w:r>
                    <w:rPr>
                      <w:rFonts w:hint="eastAsia" w:cs="Times New Roman"/>
                      <w:bCs/>
                      <w:color w:val="auto"/>
                      <w:kern w:val="0"/>
                      <w:szCs w:val="21"/>
                      <w:lang w:eastAsia="zh-CN"/>
                    </w:rPr>
                    <w:t>循环冷却排水</w:t>
                  </w:r>
                </w:p>
              </w:tc>
              <w:tc>
                <w:tcPr>
                  <w:tcW w:w="1540" w:type="pct"/>
                  <w:tcBorders>
                    <w:left w:val="single" w:color="auto" w:sz="4" w:space="0"/>
                    <w:right w:val="single" w:color="auto" w:sz="4" w:space="0"/>
                  </w:tcBorders>
                  <w:shd w:val="clear" w:color="auto" w:fill="auto"/>
                  <w:vAlign w:val="center"/>
                </w:tcPr>
                <w:p w14:paraId="5BB3DF3A">
                  <w:pPr>
                    <w:adjustRightInd w:val="0"/>
                    <w:snapToGrid w:val="0"/>
                    <w:jc w:val="center"/>
                    <w:rPr>
                      <w:rFonts w:hint="eastAsia" w:ascii="Times New Roman" w:hAnsi="Times New Roman" w:eastAsia="宋体" w:cs="Times New Roman"/>
                      <w:bCs/>
                      <w:color w:val="auto"/>
                      <w:kern w:val="0"/>
                      <w:szCs w:val="21"/>
                      <w:lang w:eastAsia="zh-CN"/>
                    </w:rPr>
                  </w:pPr>
                  <w:r>
                    <w:rPr>
                      <w:rFonts w:hint="eastAsia" w:cs="Times New Roman"/>
                      <w:bCs/>
                      <w:color w:val="auto"/>
                      <w:kern w:val="0"/>
                      <w:szCs w:val="21"/>
                      <w:lang w:eastAsia="zh-CN"/>
                    </w:rPr>
                    <w:t>循环冷却</w:t>
                  </w:r>
                </w:p>
              </w:tc>
              <w:tc>
                <w:tcPr>
                  <w:tcW w:w="1162" w:type="pct"/>
                  <w:tcBorders>
                    <w:top w:val="single" w:color="auto" w:sz="4" w:space="0"/>
                    <w:left w:val="single" w:color="auto" w:sz="4" w:space="0"/>
                    <w:bottom w:val="single" w:color="auto" w:sz="4" w:space="0"/>
                    <w:right w:val="single" w:color="auto" w:sz="4" w:space="0"/>
                  </w:tcBorders>
                  <w:vAlign w:val="center"/>
                </w:tcPr>
                <w:p w14:paraId="45772F8C">
                  <w:pPr>
                    <w:adjustRightInd w:val="0"/>
                    <w:snapToGrid w:val="0"/>
                    <w:jc w:val="center"/>
                    <w:rPr>
                      <w:rFonts w:hint="default" w:ascii="Times New Roman" w:hAnsi="Times New Roman" w:eastAsia="宋体" w:cs="Times New Roman"/>
                      <w:bCs/>
                      <w:color w:val="auto"/>
                      <w:kern w:val="0"/>
                      <w:szCs w:val="21"/>
                      <w:lang w:val="en-US" w:eastAsia="zh-CN"/>
                    </w:rPr>
                  </w:pPr>
                  <w:r>
                    <w:rPr>
                      <w:rFonts w:hint="eastAsia" w:cs="Times New Roman"/>
                      <w:bCs/>
                      <w:color w:val="auto"/>
                      <w:kern w:val="0"/>
                      <w:szCs w:val="21"/>
                      <w:lang w:val="en-US" w:eastAsia="zh-CN"/>
                    </w:rPr>
                    <w:t>-</w:t>
                  </w:r>
                </w:p>
              </w:tc>
              <w:tc>
                <w:tcPr>
                  <w:tcW w:w="1006" w:type="pct"/>
                  <w:vMerge w:val="continue"/>
                  <w:tcBorders>
                    <w:left w:val="single" w:color="auto" w:sz="4" w:space="0"/>
                    <w:right w:val="single" w:color="auto" w:sz="4" w:space="0"/>
                  </w:tcBorders>
                  <w:vAlign w:val="center"/>
                </w:tcPr>
                <w:p w14:paraId="161F94F7">
                  <w:pPr>
                    <w:adjustRightInd w:val="0"/>
                    <w:snapToGrid w:val="0"/>
                    <w:jc w:val="center"/>
                    <w:rPr>
                      <w:rFonts w:hint="eastAsia" w:ascii="Times New Roman" w:hAnsi="Times New Roman" w:eastAsia="宋体" w:cs="Times New Roman"/>
                      <w:bCs/>
                      <w:color w:val="auto"/>
                      <w:kern w:val="0"/>
                      <w:szCs w:val="21"/>
                      <w:lang w:eastAsia="zh-CN"/>
                    </w:rPr>
                  </w:pPr>
                </w:p>
              </w:tc>
            </w:tr>
            <w:tr w14:paraId="49D17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91" w:type="pct"/>
                  <w:vMerge w:val="restart"/>
                  <w:tcBorders>
                    <w:top w:val="single" w:color="auto" w:sz="4" w:space="0"/>
                    <w:left w:val="single" w:color="auto" w:sz="4" w:space="0"/>
                    <w:right w:val="single" w:color="auto" w:sz="4" w:space="0"/>
                  </w:tcBorders>
                  <w:vAlign w:val="center"/>
                </w:tcPr>
                <w:p w14:paraId="0AF78B58">
                  <w:pPr>
                    <w:adjustRightInd w:val="0"/>
                    <w:snapToGrid w:val="0"/>
                    <w:jc w:val="center"/>
                    <w:rPr>
                      <w:color w:val="auto"/>
                      <w:kern w:val="0"/>
                      <w:szCs w:val="21"/>
                    </w:rPr>
                  </w:pPr>
                  <w:r>
                    <w:rPr>
                      <w:color w:val="auto"/>
                      <w:kern w:val="0"/>
                      <w:szCs w:val="21"/>
                    </w:rPr>
                    <w:t>固废</w:t>
                  </w:r>
                </w:p>
              </w:tc>
              <w:tc>
                <w:tcPr>
                  <w:tcW w:w="999" w:type="pct"/>
                  <w:gridSpan w:val="2"/>
                  <w:vMerge w:val="restart"/>
                  <w:tcBorders>
                    <w:top w:val="single" w:color="auto" w:sz="4" w:space="0"/>
                    <w:left w:val="single" w:color="auto" w:sz="4" w:space="0"/>
                    <w:right w:val="single" w:color="auto" w:sz="4" w:space="0"/>
                  </w:tcBorders>
                  <w:vAlign w:val="center"/>
                </w:tcPr>
                <w:p w14:paraId="294497DC">
                  <w:pPr>
                    <w:adjustRightInd w:val="0"/>
                    <w:snapToGrid w:val="0"/>
                    <w:jc w:val="center"/>
                    <w:rPr>
                      <w:color w:val="auto"/>
                      <w:szCs w:val="21"/>
                    </w:rPr>
                  </w:pPr>
                  <w:r>
                    <w:rPr>
                      <w:rFonts w:hint="eastAsia"/>
                      <w:bCs/>
                      <w:color w:val="auto"/>
                      <w:kern w:val="0"/>
                      <w:szCs w:val="21"/>
                    </w:rPr>
                    <w:t>生产</w:t>
                  </w:r>
                </w:p>
              </w:tc>
              <w:tc>
                <w:tcPr>
                  <w:tcW w:w="1540" w:type="pct"/>
                  <w:tcBorders>
                    <w:top w:val="single" w:color="auto" w:sz="4" w:space="0"/>
                    <w:left w:val="single" w:color="auto" w:sz="4" w:space="0"/>
                    <w:bottom w:val="single" w:color="auto" w:sz="4" w:space="0"/>
                    <w:right w:val="single" w:color="auto" w:sz="4" w:space="0"/>
                  </w:tcBorders>
                  <w:vAlign w:val="center"/>
                </w:tcPr>
                <w:p w14:paraId="65626731">
                  <w:pPr>
                    <w:adjustRightInd w:val="0"/>
                    <w:snapToGrid w:val="0"/>
                    <w:jc w:val="center"/>
                    <w:rPr>
                      <w:rFonts w:hint="eastAsia" w:eastAsia="宋体"/>
                      <w:color w:val="auto"/>
                      <w:szCs w:val="21"/>
                      <w:lang w:eastAsia="zh-CN"/>
                    </w:rPr>
                  </w:pPr>
                  <w:r>
                    <w:rPr>
                      <w:rFonts w:hint="eastAsia"/>
                      <w:color w:val="auto"/>
                      <w:szCs w:val="21"/>
                      <w:lang w:eastAsia="zh-CN"/>
                    </w:rPr>
                    <w:t>固渣</w:t>
                  </w:r>
                </w:p>
              </w:tc>
              <w:tc>
                <w:tcPr>
                  <w:tcW w:w="1162" w:type="pct"/>
                  <w:tcBorders>
                    <w:top w:val="single" w:color="auto" w:sz="4" w:space="0"/>
                    <w:left w:val="single" w:color="auto" w:sz="4" w:space="0"/>
                    <w:bottom w:val="single" w:color="auto" w:sz="4" w:space="0"/>
                    <w:right w:val="single" w:color="auto" w:sz="4" w:space="0"/>
                  </w:tcBorders>
                  <w:vAlign w:val="center"/>
                </w:tcPr>
                <w:p w14:paraId="039F570D">
                  <w:pPr>
                    <w:adjustRightInd w:val="0"/>
                    <w:snapToGrid w:val="0"/>
                    <w:jc w:val="center"/>
                    <w:rPr>
                      <w:rFonts w:hint="default" w:eastAsia="宋体"/>
                      <w:bCs/>
                      <w:color w:val="auto"/>
                      <w:szCs w:val="21"/>
                      <w:highlight w:val="none"/>
                      <w:lang w:val="en-US" w:eastAsia="zh-CN"/>
                    </w:rPr>
                  </w:pPr>
                  <w:r>
                    <w:rPr>
                      <w:rFonts w:hint="eastAsia"/>
                      <w:bCs/>
                      <w:color w:val="auto"/>
                      <w:szCs w:val="21"/>
                      <w:highlight w:val="none"/>
                      <w:lang w:val="en-US" w:eastAsia="zh-CN"/>
                    </w:rPr>
                    <w:t>-</w:t>
                  </w:r>
                </w:p>
              </w:tc>
              <w:tc>
                <w:tcPr>
                  <w:tcW w:w="1006" w:type="pct"/>
                  <w:tcBorders>
                    <w:top w:val="single" w:color="auto" w:sz="4" w:space="0"/>
                    <w:left w:val="single" w:color="auto" w:sz="4" w:space="0"/>
                    <w:right w:val="single" w:color="auto" w:sz="4" w:space="0"/>
                  </w:tcBorders>
                  <w:vAlign w:val="center"/>
                </w:tcPr>
                <w:p w14:paraId="097ED191">
                  <w:pPr>
                    <w:adjustRightInd w:val="0"/>
                    <w:snapToGrid w:val="0"/>
                    <w:jc w:val="center"/>
                    <w:rPr>
                      <w:rFonts w:hint="default" w:eastAsia="宋体"/>
                      <w:color w:val="auto"/>
                      <w:szCs w:val="21"/>
                      <w:highlight w:val="none"/>
                      <w:lang w:val="en-US" w:eastAsia="zh-CN"/>
                    </w:rPr>
                  </w:pPr>
                  <w:r>
                    <w:rPr>
                      <w:rFonts w:hint="eastAsia"/>
                      <w:color w:val="auto"/>
                      <w:highlight w:val="none"/>
                      <w:lang w:val="en-US" w:eastAsia="zh-CN"/>
                    </w:rPr>
                    <w:t>进入到东至海创垃圾焚烧厂处理</w:t>
                  </w:r>
                </w:p>
              </w:tc>
            </w:tr>
            <w:tr w14:paraId="05A86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91" w:type="pct"/>
                  <w:vMerge w:val="continue"/>
                  <w:tcBorders>
                    <w:left w:val="single" w:color="auto" w:sz="4" w:space="0"/>
                    <w:right w:val="single" w:color="auto" w:sz="4" w:space="0"/>
                  </w:tcBorders>
                  <w:vAlign w:val="center"/>
                </w:tcPr>
                <w:p w14:paraId="6D4A9B0D">
                  <w:pPr>
                    <w:adjustRightInd w:val="0"/>
                    <w:snapToGrid w:val="0"/>
                    <w:jc w:val="center"/>
                    <w:rPr>
                      <w:color w:val="auto"/>
                      <w:kern w:val="0"/>
                      <w:szCs w:val="21"/>
                    </w:rPr>
                  </w:pPr>
                </w:p>
              </w:tc>
              <w:tc>
                <w:tcPr>
                  <w:tcW w:w="999" w:type="pct"/>
                  <w:gridSpan w:val="2"/>
                  <w:vMerge w:val="continue"/>
                  <w:tcBorders>
                    <w:left w:val="single" w:color="auto" w:sz="4" w:space="0"/>
                    <w:right w:val="single" w:color="auto" w:sz="4" w:space="0"/>
                  </w:tcBorders>
                  <w:vAlign w:val="center"/>
                </w:tcPr>
                <w:p w14:paraId="4C7EB3EE">
                  <w:pPr>
                    <w:adjustRightInd w:val="0"/>
                    <w:snapToGrid w:val="0"/>
                    <w:jc w:val="center"/>
                    <w:rPr>
                      <w:rFonts w:hint="eastAsia"/>
                      <w:bCs/>
                      <w:color w:val="auto"/>
                      <w:kern w:val="0"/>
                      <w:szCs w:val="21"/>
                    </w:rPr>
                  </w:pPr>
                </w:p>
              </w:tc>
              <w:tc>
                <w:tcPr>
                  <w:tcW w:w="1540" w:type="pct"/>
                  <w:tcBorders>
                    <w:top w:val="single" w:color="auto" w:sz="4" w:space="0"/>
                    <w:left w:val="single" w:color="auto" w:sz="4" w:space="0"/>
                    <w:bottom w:val="single" w:color="auto" w:sz="4" w:space="0"/>
                    <w:right w:val="single" w:color="auto" w:sz="4" w:space="0"/>
                  </w:tcBorders>
                  <w:shd w:val="clear" w:color="auto" w:fill="auto"/>
                  <w:vAlign w:val="center"/>
                </w:tcPr>
                <w:p w14:paraId="6CE2612C">
                  <w:pPr>
                    <w:adjustRightInd w:val="0"/>
                    <w:snapToGrid w:val="0"/>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废化学药剂包装物</w:t>
                  </w:r>
                </w:p>
              </w:tc>
              <w:tc>
                <w:tcPr>
                  <w:tcW w:w="1162" w:type="pct"/>
                  <w:tcBorders>
                    <w:top w:val="single" w:color="auto" w:sz="4" w:space="0"/>
                    <w:left w:val="single" w:color="auto" w:sz="4" w:space="0"/>
                    <w:bottom w:val="single" w:color="auto" w:sz="4" w:space="0"/>
                    <w:right w:val="single" w:color="auto" w:sz="4" w:space="0"/>
                  </w:tcBorders>
                  <w:vAlign w:val="center"/>
                </w:tcPr>
                <w:p w14:paraId="6A2920A3">
                  <w:pPr>
                    <w:adjustRightInd w:val="0"/>
                    <w:snapToGrid w:val="0"/>
                    <w:jc w:val="center"/>
                    <w:rPr>
                      <w:rFonts w:hint="eastAsia"/>
                      <w:bCs/>
                      <w:color w:val="auto"/>
                      <w:szCs w:val="21"/>
                      <w:highlight w:val="none"/>
                      <w:lang w:val="en-US" w:eastAsia="zh-CN"/>
                    </w:rPr>
                  </w:pPr>
                  <w:r>
                    <w:rPr>
                      <w:rFonts w:hint="eastAsia"/>
                      <w:bCs/>
                      <w:color w:val="auto"/>
                      <w:szCs w:val="21"/>
                      <w:highlight w:val="none"/>
                      <w:lang w:val="en-US" w:eastAsia="zh-CN"/>
                    </w:rPr>
                    <w:t>-</w:t>
                  </w:r>
                </w:p>
              </w:tc>
              <w:tc>
                <w:tcPr>
                  <w:tcW w:w="1006" w:type="pct"/>
                  <w:vMerge w:val="restart"/>
                  <w:tcBorders>
                    <w:top w:val="single" w:color="auto" w:sz="4" w:space="0"/>
                    <w:left w:val="single" w:color="auto" w:sz="4" w:space="0"/>
                    <w:right w:val="single" w:color="auto" w:sz="4" w:space="0"/>
                  </w:tcBorders>
                  <w:vAlign w:val="center"/>
                </w:tcPr>
                <w:p w14:paraId="066DF4B4">
                  <w:pPr>
                    <w:adjustRightInd w:val="0"/>
                    <w:snapToGrid w:val="0"/>
                    <w:jc w:val="center"/>
                    <w:rPr>
                      <w:rFonts w:hint="eastAsia" w:eastAsia="宋体"/>
                      <w:color w:val="auto"/>
                      <w:lang w:eastAsia="zh-CN"/>
                    </w:rPr>
                  </w:pPr>
                  <w:r>
                    <w:rPr>
                      <w:rFonts w:hint="eastAsia"/>
                      <w:color w:val="auto"/>
                      <w:lang w:eastAsia="zh-CN"/>
                    </w:rPr>
                    <w:t>委托有资质单位进行处理</w:t>
                  </w:r>
                </w:p>
              </w:tc>
            </w:tr>
            <w:tr w14:paraId="18BAA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91" w:type="pct"/>
                  <w:vMerge w:val="continue"/>
                  <w:tcBorders>
                    <w:left w:val="single" w:color="auto" w:sz="4" w:space="0"/>
                    <w:right w:val="single" w:color="auto" w:sz="4" w:space="0"/>
                  </w:tcBorders>
                  <w:vAlign w:val="center"/>
                </w:tcPr>
                <w:p w14:paraId="7C6C1F6A">
                  <w:pPr>
                    <w:adjustRightInd w:val="0"/>
                    <w:snapToGrid w:val="0"/>
                    <w:jc w:val="center"/>
                    <w:rPr>
                      <w:color w:val="auto"/>
                      <w:kern w:val="0"/>
                      <w:szCs w:val="21"/>
                    </w:rPr>
                  </w:pPr>
                </w:p>
              </w:tc>
              <w:tc>
                <w:tcPr>
                  <w:tcW w:w="999" w:type="pct"/>
                  <w:gridSpan w:val="2"/>
                  <w:vMerge w:val="continue"/>
                  <w:tcBorders>
                    <w:left w:val="single" w:color="auto" w:sz="4" w:space="0"/>
                    <w:right w:val="single" w:color="auto" w:sz="4" w:space="0"/>
                  </w:tcBorders>
                  <w:vAlign w:val="center"/>
                </w:tcPr>
                <w:p w14:paraId="0AEECCCE">
                  <w:pPr>
                    <w:adjustRightInd w:val="0"/>
                    <w:snapToGrid w:val="0"/>
                    <w:jc w:val="center"/>
                    <w:rPr>
                      <w:rFonts w:hint="eastAsia"/>
                      <w:bCs/>
                      <w:color w:val="auto"/>
                      <w:kern w:val="0"/>
                      <w:szCs w:val="21"/>
                    </w:rPr>
                  </w:pPr>
                </w:p>
              </w:tc>
              <w:tc>
                <w:tcPr>
                  <w:tcW w:w="1540" w:type="pct"/>
                  <w:tcBorders>
                    <w:top w:val="single" w:color="auto" w:sz="4" w:space="0"/>
                    <w:left w:val="single" w:color="auto" w:sz="4" w:space="0"/>
                    <w:bottom w:val="single" w:color="auto" w:sz="4" w:space="0"/>
                    <w:right w:val="single" w:color="auto" w:sz="4" w:space="0"/>
                  </w:tcBorders>
                  <w:vAlign w:val="center"/>
                </w:tcPr>
                <w:p w14:paraId="1BF4834B">
                  <w:pPr>
                    <w:adjustRightInd w:val="0"/>
                    <w:snapToGrid w:val="0"/>
                    <w:jc w:val="center"/>
                    <w:rPr>
                      <w:rFonts w:hint="eastAsia"/>
                      <w:color w:val="auto"/>
                      <w:szCs w:val="21"/>
                      <w:lang w:eastAsia="zh-CN"/>
                    </w:rPr>
                  </w:pPr>
                  <w:r>
                    <w:rPr>
                      <w:rFonts w:hint="eastAsia"/>
                      <w:color w:val="auto"/>
                      <w:szCs w:val="21"/>
                      <w:lang w:eastAsia="zh-CN"/>
                    </w:rPr>
                    <w:t>废润滑油、废含油抹布和手套</w:t>
                  </w:r>
                </w:p>
              </w:tc>
              <w:tc>
                <w:tcPr>
                  <w:tcW w:w="1162" w:type="pct"/>
                  <w:tcBorders>
                    <w:top w:val="single" w:color="auto" w:sz="4" w:space="0"/>
                    <w:left w:val="single" w:color="auto" w:sz="4" w:space="0"/>
                    <w:bottom w:val="single" w:color="auto" w:sz="4" w:space="0"/>
                    <w:right w:val="single" w:color="auto" w:sz="4" w:space="0"/>
                  </w:tcBorders>
                  <w:vAlign w:val="center"/>
                </w:tcPr>
                <w:p w14:paraId="0AE15EE1">
                  <w:pPr>
                    <w:adjustRightInd w:val="0"/>
                    <w:snapToGrid w:val="0"/>
                    <w:jc w:val="center"/>
                    <w:rPr>
                      <w:rFonts w:hint="eastAsia"/>
                      <w:bCs/>
                      <w:color w:val="auto"/>
                      <w:szCs w:val="21"/>
                      <w:highlight w:val="none"/>
                      <w:lang w:val="en-US" w:eastAsia="zh-CN"/>
                    </w:rPr>
                  </w:pPr>
                  <w:r>
                    <w:rPr>
                      <w:rFonts w:hint="eastAsia"/>
                      <w:bCs/>
                      <w:color w:val="auto"/>
                      <w:szCs w:val="21"/>
                      <w:highlight w:val="none"/>
                      <w:lang w:val="en-US" w:eastAsia="zh-CN"/>
                    </w:rPr>
                    <w:t>-</w:t>
                  </w:r>
                </w:p>
              </w:tc>
              <w:tc>
                <w:tcPr>
                  <w:tcW w:w="1006" w:type="pct"/>
                  <w:vMerge w:val="continue"/>
                  <w:tcBorders>
                    <w:left w:val="single" w:color="auto" w:sz="4" w:space="0"/>
                    <w:right w:val="single" w:color="auto" w:sz="4" w:space="0"/>
                  </w:tcBorders>
                  <w:vAlign w:val="center"/>
                </w:tcPr>
                <w:p w14:paraId="5AFB6E69">
                  <w:pPr>
                    <w:adjustRightInd w:val="0"/>
                    <w:snapToGrid w:val="0"/>
                    <w:jc w:val="center"/>
                    <w:rPr>
                      <w:rFonts w:hint="eastAsia"/>
                      <w:color w:val="auto"/>
                      <w:highlight w:val="none"/>
                      <w:lang w:val="en-US" w:eastAsia="zh-CN"/>
                    </w:rPr>
                  </w:pPr>
                </w:p>
              </w:tc>
            </w:tr>
            <w:tr w14:paraId="0A2CD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91" w:type="pct"/>
                  <w:vMerge w:val="continue"/>
                  <w:tcBorders>
                    <w:left w:val="single" w:color="auto" w:sz="4" w:space="0"/>
                    <w:right w:val="single" w:color="auto" w:sz="4" w:space="0"/>
                  </w:tcBorders>
                  <w:vAlign w:val="center"/>
                </w:tcPr>
                <w:p w14:paraId="1A19A3F2">
                  <w:pPr>
                    <w:adjustRightInd w:val="0"/>
                    <w:snapToGrid w:val="0"/>
                    <w:jc w:val="center"/>
                    <w:rPr>
                      <w:color w:val="auto"/>
                      <w:kern w:val="0"/>
                      <w:szCs w:val="21"/>
                    </w:rPr>
                  </w:pPr>
                </w:p>
              </w:tc>
              <w:tc>
                <w:tcPr>
                  <w:tcW w:w="999" w:type="pct"/>
                  <w:gridSpan w:val="2"/>
                  <w:vMerge w:val="continue"/>
                  <w:tcBorders>
                    <w:left w:val="single" w:color="auto" w:sz="4" w:space="0"/>
                    <w:right w:val="single" w:color="auto" w:sz="4" w:space="0"/>
                  </w:tcBorders>
                  <w:vAlign w:val="center"/>
                </w:tcPr>
                <w:p w14:paraId="763D3A68">
                  <w:pPr>
                    <w:adjustRightInd w:val="0"/>
                    <w:snapToGrid w:val="0"/>
                    <w:jc w:val="center"/>
                    <w:rPr>
                      <w:rFonts w:hint="eastAsia"/>
                      <w:bCs/>
                      <w:color w:val="auto"/>
                      <w:kern w:val="0"/>
                      <w:szCs w:val="21"/>
                    </w:rPr>
                  </w:pPr>
                </w:p>
              </w:tc>
              <w:tc>
                <w:tcPr>
                  <w:tcW w:w="1540" w:type="pct"/>
                  <w:tcBorders>
                    <w:top w:val="single" w:color="auto" w:sz="4" w:space="0"/>
                    <w:left w:val="single" w:color="auto" w:sz="4" w:space="0"/>
                    <w:bottom w:val="single" w:color="auto" w:sz="4" w:space="0"/>
                    <w:right w:val="single" w:color="auto" w:sz="4" w:space="0"/>
                  </w:tcBorders>
                  <w:vAlign w:val="center"/>
                </w:tcPr>
                <w:p w14:paraId="03BD9404">
                  <w:pPr>
                    <w:adjustRightInd w:val="0"/>
                    <w:snapToGrid w:val="0"/>
                    <w:jc w:val="center"/>
                    <w:rPr>
                      <w:rFonts w:hint="eastAsia"/>
                      <w:color w:val="auto"/>
                      <w:szCs w:val="21"/>
                      <w:lang w:eastAsia="zh-CN"/>
                    </w:rPr>
                  </w:pPr>
                  <w:r>
                    <w:rPr>
                      <w:rFonts w:hint="eastAsia"/>
                      <w:color w:val="auto"/>
                      <w:szCs w:val="21"/>
                      <w:lang w:eastAsia="zh-CN"/>
                    </w:rPr>
                    <w:t>废活性炭</w:t>
                  </w:r>
                </w:p>
              </w:tc>
              <w:tc>
                <w:tcPr>
                  <w:tcW w:w="1162" w:type="pct"/>
                  <w:tcBorders>
                    <w:top w:val="single" w:color="auto" w:sz="4" w:space="0"/>
                    <w:left w:val="single" w:color="auto" w:sz="4" w:space="0"/>
                    <w:bottom w:val="single" w:color="auto" w:sz="4" w:space="0"/>
                    <w:right w:val="single" w:color="auto" w:sz="4" w:space="0"/>
                  </w:tcBorders>
                  <w:vAlign w:val="center"/>
                </w:tcPr>
                <w:p w14:paraId="0578371C">
                  <w:pPr>
                    <w:adjustRightInd w:val="0"/>
                    <w:snapToGrid w:val="0"/>
                    <w:jc w:val="center"/>
                    <w:rPr>
                      <w:rFonts w:hint="default"/>
                      <w:bCs/>
                      <w:color w:val="auto"/>
                      <w:szCs w:val="21"/>
                      <w:highlight w:val="none"/>
                      <w:lang w:val="en-US" w:eastAsia="zh-CN"/>
                    </w:rPr>
                  </w:pPr>
                  <w:r>
                    <w:rPr>
                      <w:rFonts w:hint="eastAsia"/>
                      <w:bCs/>
                      <w:color w:val="auto"/>
                      <w:szCs w:val="21"/>
                      <w:highlight w:val="none"/>
                      <w:lang w:val="en-US" w:eastAsia="zh-CN"/>
                    </w:rPr>
                    <w:t>-</w:t>
                  </w:r>
                </w:p>
              </w:tc>
              <w:tc>
                <w:tcPr>
                  <w:tcW w:w="1006" w:type="pct"/>
                  <w:vMerge w:val="continue"/>
                  <w:tcBorders>
                    <w:left w:val="single" w:color="auto" w:sz="4" w:space="0"/>
                    <w:right w:val="single" w:color="auto" w:sz="4" w:space="0"/>
                  </w:tcBorders>
                  <w:vAlign w:val="center"/>
                </w:tcPr>
                <w:p w14:paraId="3FF2A856">
                  <w:pPr>
                    <w:adjustRightInd w:val="0"/>
                    <w:snapToGrid w:val="0"/>
                    <w:jc w:val="center"/>
                    <w:rPr>
                      <w:rFonts w:hint="eastAsia" w:eastAsia="宋体"/>
                      <w:color w:val="auto"/>
                      <w:lang w:eastAsia="zh-CN"/>
                    </w:rPr>
                  </w:pPr>
                </w:p>
              </w:tc>
            </w:tr>
            <w:tr w14:paraId="4F109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91" w:type="pct"/>
                  <w:vMerge w:val="continue"/>
                  <w:tcBorders>
                    <w:left w:val="single" w:color="auto" w:sz="4" w:space="0"/>
                    <w:right w:val="single" w:color="auto" w:sz="4" w:space="0"/>
                  </w:tcBorders>
                  <w:vAlign w:val="center"/>
                </w:tcPr>
                <w:p w14:paraId="175F932E">
                  <w:pPr>
                    <w:adjustRightInd w:val="0"/>
                    <w:snapToGrid w:val="0"/>
                    <w:jc w:val="center"/>
                    <w:rPr>
                      <w:color w:val="auto"/>
                      <w:kern w:val="0"/>
                      <w:szCs w:val="21"/>
                    </w:rPr>
                  </w:pPr>
                </w:p>
              </w:tc>
              <w:tc>
                <w:tcPr>
                  <w:tcW w:w="999" w:type="pct"/>
                  <w:gridSpan w:val="2"/>
                  <w:tcBorders>
                    <w:left w:val="single" w:color="auto" w:sz="4" w:space="0"/>
                    <w:bottom w:val="single" w:color="auto" w:sz="4" w:space="0"/>
                    <w:right w:val="single" w:color="auto" w:sz="4" w:space="0"/>
                  </w:tcBorders>
                  <w:vAlign w:val="center"/>
                </w:tcPr>
                <w:p w14:paraId="1ADEDDFA">
                  <w:pPr>
                    <w:adjustRightInd w:val="0"/>
                    <w:snapToGrid w:val="0"/>
                    <w:jc w:val="center"/>
                    <w:rPr>
                      <w:bCs/>
                      <w:color w:val="auto"/>
                      <w:kern w:val="0"/>
                      <w:szCs w:val="21"/>
                    </w:rPr>
                  </w:pPr>
                  <w:r>
                    <w:rPr>
                      <w:bCs/>
                      <w:color w:val="auto"/>
                      <w:kern w:val="0"/>
                      <w:szCs w:val="21"/>
                    </w:rPr>
                    <w:t>办公生活</w:t>
                  </w:r>
                </w:p>
              </w:tc>
              <w:tc>
                <w:tcPr>
                  <w:tcW w:w="1540" w:type="pct"/>
                  <w:tcBorders>
                    <w:top w:val="single" w:color="auto" w:sz="4" w:space="0"/>
                    <w:left w:val="single" w:color="auto" w:sz="4" w:space="0"/>
                    <w:bottom w:val="single" w:color="auto" w:sz="4" w:space="0"/>
                    <w:right w:val="single" w:color="auto" w:sz="4" w:space="0"/>
                  </w:tcBorders>
                  <w:vAlign w:val="center"/>
                </w:tcPr>
                <w:p w14:paraId="5EF8EBD4">
                  <w:pPr>
                    <w:adjustRightInd w:val="0"/>
                    <w:snapToGrid w:val="0"/>
                    <w:jc w:val="center"/>
                    <w:rPr>
                      <w:bCs/>
                      <w:color w:val="auto"/>
                      <w:kern w:val="0"/>
                      <w:szCs w:val="21"/>
                    </w:rPr>
                  </w:pPr>
                  <w:r>
                    <w:rPr>
                      <w:bCs/>
                      <w:color w:val="auto"/>
                      <w:kern w:val="0"/>
                      <w:szCs w:val="21"/>
                    </w:rPr>
                    <w:t>生活垃圾</w:t>
                  </w:r>
                </w:p>
              </w:tc>
              <w:tc>
                <w:tcPr>
                  <w:tcW w:w="1162" w:type="pct"/>
                  <w:tcBorders>
                    <w:top w:val="single" w:color="auto" w:sz="4" w:space="0"/>
                    <w:left w:val="single" w:color="auto" w:sz="4" w:space="0"/>
                    <w:bottom w:val="single" w:color="auto" w:sz="4" w:space="0"/>
                    <w:right w:val="single" w:color="auto" w:sz="4" w:space="0"/>
                  </w:tcBorders>
                  <w:vAlign w:val="center"/>
                </w:tcPr>
                <w:p w14:paraId="737F1B03">
                  <w:pPr>
                    <w:adjustRightInd w:val="0"/>
                    <w:snapToGrid w:val="0"/>
                    <w:jc w:val="center"/>
                    <w:rPr>
                      <w:rFonts w:hint="eastAsia" w:eastAsia="宋体"/>
                      <w:bCs/>
                      <w:color w:val="auto"/>
                      <w:szCs w:val="21"/>
                      <w:highlight w:val="none"/>
                      <w:lang w:eastAsia="zh-CN"/>
                    </w:rPr>
                  </w:pPr>
                  <w:r>
                    <w:rPr>
                      <w:rFonts w:hint="eastAsia"/>
                      <w:bCs/>
                      <w:color w:val="auto"/>
                      <w:szCs w:val="21"/>
                      <w:highlight w:val="none"/>
                      <w:lang w:val="en-US" w:eastAsia="zh-CN"/>
                    </w:rPr>
                    <w:t>-</w:t>
                  </w:r>
                </w:p>
              </w:tc>
              <w:tc>
                <w:tcPr>
                  <w:tcW w:w="1006" w:type="pct"/>
                  <w:tcBorders>
                    <w:left w:val="single" w:color="auto" w:sz="4" w:space="0"/>
                    <w:bottom w:val="single" w:color="auto" w:sz="4" w:space="0"/>
                    <w:right w:val="single" w:color="auto" w:sz="4" w:space="0"/>
                  </w:tcBorders>
                  <w:vAlign w:val="center"/>
                </w:tcPr>
                <w:p w14:paraId="3D214DF9">
                  <w:pPr>
                    <w:adjustRightInd w:val="0"/>
                    <w:snapToGrid w:val="0"/>
                    <w:jc w:val="center"/>
                    <w:rPr>
                      <w:color w:val="auto"/>
                      <w:szCs w:val="21"/>
                    </w:rPr>
                  </w:pPr>
                  <w:r>
                    <w:rPr>
                      <w:color w:val="auto"/>
                      <w:szCs w:val="21"/>
                    </w:rPr>
                    <w:t>环卫部门清运处置</w:t>
                  </w:r>
                </w:p>
              </w:tc>
            </w:tr>
          </w:tbl>
          <w:p w14:paraId="0AA93AF0">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b/>
                <w:bCs/>
                <w:color w:val="auto"/>
                <w:sz w:val="21"/>
                <w:szCs w:val="24"/>
                <w:lang w:val="en-US" w:eastAsia="zh-CN"/>
              </w:rPr>
            </w:pPr>
          </w:p>
        </w:tc>
      </w:tr>
      <w:tr w14:paraId="197245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55" w:hRule="atLeast"/>
          <w:jc w:val="center"/>
        </w:trPr>
        <w:tc>
          <w:tcPr>
            <w:tcW w:w="439" w:type="dxa"/>
            <w:vAlign w:val="center"/>
          </w:tcPr>
          <w:p w14:paraId="71D0E798">
            <w:pPr>
              <w:jc w:val="center"/>
              <w:rPr>
                <w:color w:val="auto"/>
                <w:sz w:val="22"/>
                <w:szCs w:val="28"/>
              </w:rPr>
            </w:pPr>
            <w:r>
              <w:rPr>
                <w:color w:val="auto"/>
                <w:sz w:val="22"/>
                <w:szCs w:val="28"/>
              </w:rPr>
              <w:t>与项目有关的原有环境污染问题</w:t>
            </w:r>
          </w:p>
        </w:tc>
        <w:tc>
          <w:tcPr>
            <w:tcW w:w="8621" w:type="dxa"/>
            <w:vAlign w:val="center"/>
          </w:tcPr>
          <w:p w14:paraId="15AAFA00">
            <w:pPr>
              <w:pStyle w:val="40"/>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rPr>
            </w:pPr>
            <w:r>
              <w:rPr>
                <w:rFonts w:hint="eastAsia"/>
                <w:color w:val="auto"/>
                <w:sz w:val="24"/>
                <w:szCs w:val="24"/>
                <w:lang w:eastAsia="zh-CN"/>
              </w:rPr>
              <w:t>根据现场踏勘，项目目前为一片空地，无与项目有关的原有环境问题</w:t>
            </w:r>
            <w:r>
              <w:rPr>
                <w:rFonts w:hint="eastAsia"/>
                <w:color w:val="auto"/>
                <w:sz w:val="24"/>
                <w:szCs w:val="24"/>
                <w:vertAlign w:val="baseline"/>
                <w:lang w:val="en-US" w:eastAsia="zh-CN"/>
              </w:rPr>
              <w:t>。</w:t>
            </w:r>
          </w:p>
          <w:p w14:paraId="36F66269">
            <w:pPr>
              <w:pStyle w:val="4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eastAsia="宋体"/>
                <w:color w:val="auto"/>
                <w:lang w:val="en-US" w:eastAsia="zh-CN"/>
              </w:rPr>
            </w:pPr>
            <w:r>
              <w:rPr>
                <w:rFonts w:hint="eastAsia" w:eastAsia="宋体"/>
                <w:color w:val="auto"/>
                <w:lang w:eastAsia="zh-CN"/>
              </w:rPr>
              <w:drawing>
                <wp:inline distT="0" distB="0" distL="114300" distR="114300">
                  <wp:extent cx="5306060" cy="3979545"/>
                  <wp:effectExtent l="0" t="0" r="8890" b="1905"/>
                  <wp:docPr id="22" name="图片 22" descr="86973f873abeba496564cebc5c72ff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86973f873abeba496564cebc5c72ff64"/>
                          <pic:cNvPicPr>
                            <a:picLocks noChangeAspect="1"/>
                          </pic:cNvPicPr>
                        </pic:nvPicPr>
                        <pic:blipFill>
                          <a:blip r:embed="rId19"/>
                          <a:stretch>
                            <a:fillRect/>
                          </a:stretch>
                        </pic:blipFill>
                        <pic:spPr>
                          <a:xfrm>
                            <a:off x="0" y="0"/>
                            <a:ext cx="5306060" cy="3979545"/>
                          </a:xfrm>
                          <a:prstGeom prst="rect">
                            <a:avLst/>
                          </a:prstGeom>
                        </pic:spPr>
                      </pic:pic>
                    </a:graphicData>
                  </a:graphic>
                </wp:inline>
              </w:drawing>
            </w:r>
          </w:p>
        </w:tc>
      </w:tr>
    </w:tbl>
    <w:p w14:paraId="116089EE">
      <w:pPr>
        <w:pStyle w:val="25"/>
        <w:jc w:val="center"/>
        <w:rPr>
          <w:rFonts w:ascii="黑体" w:hAnsi="黑体" w:eastAsia="黑体"/>
          <w:snapToGrid w:val="0"/>
          <w:color w:val="auto"/>
          <w:sz w:val="36"/>
          <w:szCs w:val="36"/>
        </w:rPr>
        <w:sectPr>
          <w:pgSz w:w="11906" w:h="16838"/>
          <w:pgMar w:top="1587" w:right="1531" w:bottom="1587" w:left="1531" w:header="851" w:footer="851" w:gutter="0"/>
          <w:cols w:space="720" w:num="1"/>
          <w:docGrid w:linePitch="312" w:charSpace="0"/>
        </w:sectPr>
      </w:pPr>
    </w:p>
    <w:p w14:paraId="3C7D212C">
      <w:pPr>
        <w:pStyle w:val="25"/>
        <w:jc w:val="center"/>
        <w:outlineLvl w:val="0"/>
        <w:rPr>
          <w:rFonts w:ascii="黑体" w:hAnsi="黑体" w:eastAsia="黑体"/>
          <w:snapToGrid w:val="0"/>
          <w:color w:val="auto"/>
          <w:sz w:val="30"/>
          <w:szCs w:val="30"/>
        </w:rPr>
      </w:pPr>
      <w:r>
        <w:rPr>
          <w:rFonts w:hint="eastAsia" w:ascii="黑体" w:hAnsi="黑体" w:eastAsia="黑体"/>
          <w:snapToGrid w:val="0"/>
          <w:color w:val="auto"/>
          <w:sz w:val="30"/>
          <w:szCs w:val="30"/>
        </w:rPr>
        <w:t>三、区域环境质量现状、环境保护目标及评价标准</w:t>
      </w:r>
    </w:p>
    <w:tbl>
      <w:tblPr>
        <w:tblStyle w:val="28"/>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8325"/>
      </w:tblGrid>
      <w:tr w14:paraId="680C9D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46" w:hRule="atLeast"/>
          <w:jc w:val="center"/>
        </w:trPr>
        <w:tc>
          <w:tcPr>
            <w:tcW w:w="736" w:type="dxa"/>
            <w:vAlign w:val="center"/>
          </w:tcPr>
          <w:p w14:paraId="4E270E16">
            <w:pPr>
              <w:adjustRightInd w:val="0"/>
              <w:snapToGrid w:val="0"/>
              <w:jc w:val="center"/>
              <w:rPr>
                <w:color w:val="auto"/>
                <w:kern w:val="0"/>
                <w:sz w:val="24"/>
              </w:rPr>
            </w:pPr>
            <w:r>
              <w:rPr>
                <w:color w:val="auto"/>
                <w:kern w:val="0"/>
                <w:sz w:val="24"/>
              </w:rPr>
              <w:t>区域</w:t>
            </w:r>
          </w:p>
          <w:p w14:paraId="16127FCB">
            <w:pPr>
              <w:adjustRightInd w:val="0"/>
              <w:snapToGrid w:val="0"/>
              <w:jc w:val="center"/>
              <w:rPr>
                <w:color w:val="auto"/>
                <w:kern w:val="0"/>
                <w:sz w:val="24"/>
              </w:rPr>
            </w:pPr>
            <w:r>
              <w:rPr>
                <w:color w:val="auto"/>
                <w:kern w:val="0"/>
                <w:sz w:val="24"/>
              </w:rPr>
              <w:t>环境</w:t>
            </w:r>
          </w:p>
          <w:p w14:paraId="4120AFC5">
            <w:pPr>
              <w:adjustRightInd w:val="0"/>
              <w:snapToGrid w:val="0"/>
              <w:jc w:val="center"/>
              <w:rPr>
                <w:color w:val="auto"/>
                <w:kern w:val="0"/>
                <w:sz w:val="24"/>
              </w:rPr>
            </w:pPr>
            <w:r>
              <w:rPr>
                <w:color w:val="auto"/>
                <w:kern w:val="0"/>
                <w:sz w:val="24"/>
              </w:rPr>
              <w:t>质量</w:t>
            </w:r>
          </w:p>
          <w:p w14:paraId="5D5CC009">
            <w:pPr>
              <w:adjustRightInd w:val="0"/>
              <w:snapToGrid w:val="0"/>
              <w:jc w:val="center"/>
              <w:rPr>
                <w:color w:val="auto"/>
                <w:kern w:val="0"/>
                <w:sz w:val="24"/>
              </w:rPr>
            </w:pPr>
            <w:r>
              <w:rPr>
                <w:color w:val="auto"/>
                <w:kern w:val="0"/>
                <w:sz w:val="24"/>
              </w:rPr>
              <w:t>现状</w:t>
            </w:r>
          </w:p>
        </w:tc>
        <w:tc>
          <w:tcPr>
            <w:tcW w:w="8325" w:type="dxa"/>
            <w:vAlign w:val="center"/>
          </w:tcPr>
          <w:p w14:paraId="0095B949">
            <w:pPr>
              <w:adjustRightInd w:val="0"/>
              <w:snapToGrid w:val="0"/>
              <w:spacing w:line="360" w:lineRule="auto"/>
              <w:ind w:firstLine="480" w:firstLineChars="200"/>
              <w:rPr>
                <w:color w:val="auto"/>
                <w:sz w:val="24"/>
              </w:rPr>
            </w:pPr>
            <w:r>
              <w:rPr>
                <w:color w:val="auto"/>
                <w:sz w:val="24"/>
              </w:rPr>
              <w:t>建设项目所在地区域环境现状及主要环境问题（环境空气、地表水、地下水、声环境、生态环境等）。</w:t>
            </w:r>
          </w:p>
          <w:p w14:paraId="4ECCBEDA">
            <w:pPr>
              <w:pStyle w:val="93"/>
              <w:widowControl w:val="0"/>
              <w:numPr>
                <w:ilvl w:val="0"/>
                <w:numId w:val="5"/>
              </w:numPr>
              <w:ind w:left="0" w:firstLineChars="0"/>
              <w:jc w:val="both"/>
              <w:rPr>
                <w:rFonts w:cs="Times New Roman"/>
                <w:bCs/>
                <w:color w:val="auto"/>
              </w:rPr>
            </w:pPr>
            <w:r>
              <w:rPr>
                <w:rFonts w:cs="Times New Roman"/>
                <w:bCs/>
                <w:color w:val="auto"/>
              </w:rPr>
              <w:t>1、大气环境质量现状</w:t>
            </w:r>
          </w:p>
          <w:p w14:paraId="6ADD605A">
            <w:pPr>
              <w:pStyle w:val="14"/>
              <w:widowControl w:val="0"/>
              <w:spacing w:after="0" w:line="360" w:lineRule="auto"/>
              <w:rPr>
                <w:color w:val="auto"/>
                <w:sz w:val="24"/>
                <w:szCs w:val="24"/>
              </w:rPr>
            </w:pPr>
            <w:r>
              <w:rPr>
                <w:color w:val="auto"/>
                <w:sz w:val="24"/>
                <w:szCs w:val="24"/>
              </w:rPr>
              <w:t>（1）空气环境质量达标区判定及基本污染物环境质量现状</w:t>
            </w:r>
          </w:p>
          <w:p w14:paraId="7F0C8265">
            <w:pPr>
              <w:widowControl/>
              <w:spacing w:line="360" w:lineRule="auto"/>
              <w:ind w:firstLine="480" w:firstLineChars="200"/>
              <w:jc w:val="left"/>
              <w:rPr>
                <w:color w:val="auto"/>
                <w:sz w:val="24"/>
              </w:rPr>
            </w:pPr>
            <w:r>
              <w:rPr>
                <w:color w:val="auto"/>
                <w:sz w:val="24"/>
              </w:rPr>
              <w:t>根据《环境影响评价技术导则大气环境》（HJ2.2-2018）要求，项目所在区域达标判定，优先采用国家或地方生态环境主管部门公开发布的评价基准年环境质量公告或环境质量报告中的数据或结论。</w:t>
            </w:r>
          </w:p>
          <w:p w14:paraId="66DEC30C">
            <w:pPr>
              <w:widowControl/>
              <w:spacing w:line="360" w:lineRule="auto"/>
              <w:ind w:firstLine="480" w:firstLineChars="200"/>
              <w:jc w:val="left"/>
              <w:rPr>
                <w:color w:val="auto"/>
                <w:sz w:val="24"/>
              </w:rPr>
            </w:pPr>
            <w:r>
              <w:rPr>
                <w:color w:val="auto"/>
                <w:sz w:val="24"/>
              </w:rPr>
              <w:t>根据</w:t>
            </w:r>
            <w:r>
              <w:rPr>
                <w:rFonts w:hint="eastAsia"/>
                <w:color w:val="auto"/>
                <w:sz w:val="24"/>
                <w:lang w:eastAsia="zh-CN"/>
              </w:rPr>
              <w:t>东至县生态环境分局</w:t>
            </w:r>
            <w:r>
              <w:rPr>
                <w:color w:val="auto"/>
                <w:sz w:val="24"/>
              </w:rPr>
              <w:t>发布的《202</w:t>
            </w:r>
            <w:r>
              <w:rPr>
                <w:rFonts w:hint="eastAsia"/>
                <w:color w:val="auto"/>
                <w:sz w:val="24"/>
                <w:lang w:val="en-US" w:eastAsia="zh-CN"/>
              </w:rPr>
              <w:t>4</w:t>
            </w:r>
            <w:r>
              <w:rPr>
                <w:color w:val="auto"/>
                <w:sz w:val="24"/>
              </w:rPr>
              <w:t>年</w:t>
            </w:r>
            <w:r>
              <w:rPr>
                <w:rFonts w:hint="eastAsia"/>
                <w:color w:val="auto"/>
                <w:sz w:val="24"/>
                <w:lang w:eastAsia="zh-CN"/>
              </w:rPr>
              <w:t>东至</w:t>
            </w:r>
            <w:r>
              <w:rPr>
                <w:rFonts w:hint="eastAsia"/>
                <w:color w:val="auto"/>
                <w:sz w:val="24"/>
              </w:rPr>
              <w:t>环境质量状况公报</w:t>
            </w:r>
            <w:r>
              <w:rPr>
                <w:color w:val="auto"/>
                <w:sz w:val="24"/>
              </w:rPr>
              <w:t>》中相关数据，</w:t>
            </w:r>
            <w:r>
              <w:rPr>
                <w:rFonts w:hint="eastAsia"/>
                <w:color w:val="auto"/>
                <w:sz w:val="24"/>
                <w:lang w:eastAsia="zh-CN"/>
              </w:rPr>
              <w:t>东至县</w:t>
            </w:r>
            <w:r>
              <w:rPr>
                <w:color w:val="auto"/>
                <w:sz w:val="24"/>
              </w:rPr>
              <w:t>202</w:t>
            </w:r>
            <w:r>
              <w:rPr>
                <w:rFonts w:hint="eastAsia"/>
                <w:color w:val="auto"/>
                <w:sz w:val="24"/>
                <w:lang w:val="en-US" w:eastAsia="zh-CN"/>
              </w:rPr>
              <w:t>4</w:t>
            </w:r>
            <w:r>
              <w:rPr>
                <w:color w:val="auto"/>
                <w:sz w:val="24"/>
              </w:rPr>
              <w:t>年的空气环境质量现状见下表。</w:t>
            </w:r>
          </w:p>
          <w:p w14:paraId="34AC0B0D">
            <w:pPr>
              <w:widowControl/>
              <w:ind w:firstLine="422" w:firstLineChars="200"/>
              <w:jc w:val="center"/>
              <w:rPr>
                <w:b/>
                <w:bCs/>
                <w:color w:val="auto"/>
                <w:sz w:val="21"/>
                <w:szCs w:val="21"/>
              </w:rPr>
            </w:pPr>
            <w:r>
              <w:rPr>
                <w:b/>
                <w:bCs/>
                <w:color w:val="auto"/>
                <w:sz w:val="21"/>
                <w:szCs w:val="21"/>
              </w:rPr>
              <w:t>表3-1  202</w:t>
            </w:r>
            <w:r>
              <w:rPr>
                <w:rFonts w:hint="eastAsia"/>
                <w:b/>
                <w:bCs/>
                <w:color w:val="auto"/>
                <w:sz w:val="21"/>
                <w:szCs w:val="21"/>
                <w:lang w:val="en-US" w:eastAsia="zh-CN"/>
              </w:rPr>
              <w:t>4</w:t>
            </w:r>
            <w:r>
              <w:rPr>
                <w:b/>
                <w:bCs/>
                <w:color w:val="auto"/>
                <w:sz w:val="21"/>
                <w:szCs w:val="21"/>
              </w:rPr>
              <w:t>年度</w:t>
            </w:r>
            <w:r>
              <w:rPr>
                <w:rFonts w:hint="eastAsia"/>
                <w:b/>
                <w:bCs/>
                <w:color w:val="auto"/>
                <w:sz w:val="21"/>
                <w:szCs w:val="21"/>
                <w:lang w:eastAsia="zh-CN"/>
              </w:rPr>
              <w:t>东至县</w:t>
            </w:r>
            <w:r>
              <w:rPr>
                <w:b/>
                <w:bCs/>
                <w:color w:val="auto"/>
                <w:sz w:val="21"/>
                <w:szCs w:val="21"/>
              </w:rPr>
              <w:t>环境空气质量现状评价表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5"/>
              <w:gridCol w:w="1963"/>
              <w:gridCol w:w="1242"/>
              <w:gridCol w:w="1242"/>
              <w:gridCol w:w="1229"/>
              <w:gridCol w:w="1228"/>
            </w:tblGrid>
            <w:tr w14:paraId="0446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5961FB26">
                  <w:pPr>
                    <w:widowControl/>
                    <w:jc w:val="center"/>
                    <w:rPr>
                      <w:color w:val="auto"/>
                      <w:szCs w:val="21"/>
                    </w:rPr>
                  </w:pPr>
                  <w:r>
                    <w:rPr>
                      <w:color w:val="auto"/>
                      <w:szCs w:val="21"/>
                    </w:rPr>
                    <w:t>污染物</w:t>
                  </w:r>
                </w:p>
              </w:tc>
              <w:tc>
                <w:tcPr>
                  <w:tcW w:w="1935" w:type="dxa"/>
                  <w:tcBorders>
                    <w:top w:val="single" w:color="auto" w:sz="4" w:space="0"/>
                    <w:left w:val="single" w:color="auto" w:sz="4" w:space="0"/>
                    <w:bottom w:val="single" w:color="auto" w:sz="4" w:space="0"/>
                    <w:right w:val="single" w:color="auto" w:sz="4" w:space="0"/>
                  </w:tcBorders>
                  <w:vAlign w:val="center"/>
                </w:tcPr>
                <w:p w14:paraId="05DAA849">
                  <w:pPr>
                    <w:widowControl/>
                    <w:jc w:val="center"/>
                    <w:rPr>
                      <w:color w:val="auto"/>
                      <w:szCs w:val="21"/>
                    </w:rPr>
                  </w:pPr>
                  <w:r>
                    <w:rPr>
                      <w:color w:val="auto"/>
                      <w:szCs w:val="21"/>
                    </w:rPr>
                    <w:t>年评价指标</w:t>
                  </w:r>
                </w:p>
              </w:tc>
              <w:tc>
                <w:tcPr>
                  <w:tcW w:w="1224" w:type="dxa"/>
                  <w:tcBorders>
                    <w:top w:val="single" w:color="auto" w:sz="4" w:space="0"/>
                    <w:left w:val="single" w:color="auto" w:sz="4" w:space="0"/>
                    <w:bottom w:val="single" w:color="auto" w:sz="4" w:space="0"/>
                    <w:right w:val="single" w:color="auto" w:sz="4" w:space="0"/>
                  </w:tcBorders>
                  <w:vAlign w:val="center"/>
                </w:tcPr>
                <w:p w14:paraId="37D66BCD">
                  <w:pPr>
                    <w:widowControl/>
                    <w:jc w:val="center"/>
                    <w:rPr>
                      <w:color w:val="auto"/>
                      <w:szCs w:val="21"/>
                    </w:rPr>
                  </w:pPr>
                  <w:r>
                    <w:rPr>
                      <w:color w:val="auto"/>
                      <w:kern w:val="0"/>
                      <w:szCs w:val="21"/>
                    </w:rPr>
                    <w:t>现状浓度</w:t>
                  </w:r>
                </w:p>
                <w:p w14:paraId="59C5217A">
                  <w:pPr>
                    <w:widowControl/>
                    <w:jc w:val="center"/>
                    <w:rPr>
                      <w:color w:val="auto"/>
                      <w:szCs w:val="21"/>
                    </w:rPr>
                  </w:pPr>
                  <w:r>
                    <w:rPr>
                      <w:color w:val="auto"/>
                      <w:kern w:val="0"/>
                      <w:szCs w:val="21"/>
                    </w:rPr>
                    <w:t>（μg/m</w:t>
                  </w:r>
                  <w:r>
                    <w:rPr>
                      <w:color w:val="auto"/>
                      <w:kern w:val="0"/>
                      <w:szCs w:val="21"/>
                      <w:vertAlign w:val="superscript"/>
                    </w:rPr>
                    <w:t>3</w:t>
                  </w:r>
                  <w:r>
                    <w:rPr>
                      <w:color w:val="auto"/>
                      <w:kern w:val="0"/>
                      <w:szCs w:val="21"/>
                    </w:rPr>
                    <w:t>）</w:t>
                  </w:r>
                </w:p>
              </w:tc>
              <w:tc>
                <w:tcPr>
                  <w:tcW w:w="1224" w:type="dxa"/>
                  <w:tcBorders>
                    <w:top w:val="single" w:color="auto" w:sz="4" w:space="0"/>
                    <w:left w:val="single" w:color="auto" w:sz="4" w:space="0"/>
                    <w:bottom w:val="single" w:color="auto" w:sz="4" w:space="0"/>
                    <w:right w:val="single" w:color="auto" w:sz="4" w:space="0"/>
                  </w:tcBorders>
                  <w:vAlign w:val="center"/>
                </w:tcPr>
                <w:p w14:paraId="1BBA9450">
                  <w:pPr>
                    <w:widowControl/>
                    <w:jc w:val="center"/>
                    <w:rPr>
                      <w:color w:val="auto"/>
                      <w:szCs w:val="21"/>
                    </w:rPr>
                  </w:pPr>
                  <w:r>
                    <w:rPr>
                      <w:color w:val="auto"/>
                      <w:kern w:val="0"/>
                      <w:szCs w:val="21"/>
                    </w:rPr>
                    <w:t>标准值</w:t>
                  </w:r>
                </w:p>
                <w:p w14:paraId="5BC51E15">
                  <w:pPr>
                    <w:widowControl/>
                    <w:jc w:val="center"/>
                    <w:rPr>
                      <w:color w:val="auto"/>
                      <w:szCs w:val="21"/>
                    </w:rPr>
                  </w:pPr>
                  <w:r>
                    <w:rPr>
                      <w:color w:val="auto"/>
                      <w:kern w:val="0"/>
                      <w:szCs w:val="21"/>
                    </w:rPr>
                    <w:t>（μg/m</w:t>
                  </w:r>
                  <w:r>
                    <w:rPr>
                      <w:color w:val="auto"/>
                      <w:kern w:val="0"/>
                      <w:szCs w:val="21"/>
                      <w:vertAlign w:val="superscript"/>
                    </w:rPr>
                    <w:t>3</w:t>
                  </w:r>
                  <w:r>
                    <w:rPr>
                      <w:color w:val="auto"/>
                      <w:kern w:val="0"/>
                      <w:szCs w:val="21"/>
                    </w:rPr>
                    <w:t>）</w:t>
                  </w:r>
                </w:p>
              </w:tc>
              <w:tc>
                <w:tcPr>
                  <w:tcW w:w="1212" w:type="dxa"/>
                  <w:tcBorders>
                    <w:top w:val="single" w:color="auto" w:sz="4" w:space="0"/>
                    <w:left w:val="single" w:color="auto" w:sz="4" w:space="0"/>
                    <w:bottom w:val="single" w:color="auto" w:sz="4" w:space="0"/>
                    <w:right w:val="single" w:color="auto" w:sz="4" w:space="0"/>
                  </w:tcBorders>
                  <w:vAlign w:val="center"/>
                </w:tcPr>
                <w:p w14:paraId="2470B79D">
                  <w:pPr>
                    <w:widowControl/>
                    <w:jc w:val="center"/>
                    <w:rPr>
                      <w:rFonts w:hint="eastAsia" w:eastAsia="宋体"/>
                      <w:color w:val="auto"/>
                      <w:szCs w:val="21"/>
                      <w:lang w:val="en-US" w:eastAsia="zh-CN"/>
                    </w:rPr>
                  </w:pPr>
                  <w:r>
                    <w:rPr>
                      <w:color w:val="auto"/>
                      <w:kern w:val="0"/>
                      <w:szCs w:val="21"/>
                    </w:rPr>
                    <w:t>占标率</w:t>
                  </w:r>
                  <w:r>
                    <w:rPr>
                      <w:rFonts w:hint="eastAsia"/>
                      <w:color w:val="auto"/>
                      <w:kern w:val="0"/>
                      <w:szCs w:val="21"/>
                      <w:lang w:val="en-US" w:eastAsia="zh-CN"/>
                    </w:rPr>
                    <w:t>%</w:t>
                  </w:r>
                </w:p>
              </w:tc>
              <w:tc>
                <w:tcPr>
                  <w:tcW w:w="1211" w:type="dxa"/>
                  <w:tcBorders>
                    <w:top w:val="single" w:color="auto" w:sz="4" w:space="0"/>
                    <w:left w:val="single" w:color="auto" w:sz="4" w:space="0"/>
                    <w:bottom w:val="single" w:color="auto" w:sz="4" w:space="0"/>
                    <w:right w:val="single" w:color="auto" w:sz="4" w:space="0"/>
                  </w:tcBorders>
                  <w:vAlign w:val="center"/>
                </w:tcPr>
                <w:p w14:paraId="72583B05">
                  <w:pPr>
                    <w:widowControl/>
                    <w:jc w:val="center"/>
                    <w:rPr>
                      <w:color w:val="auto"/>
                      <w:szCs w:val="21"/>
                    </w:rPr>
                  </w:pPr>
                  <w:r>
                    <w:rPr>
                      <w:color w:val="auto"/>
                      <w:kern w:val="0"/>
                      <w:szCs w:val="21"/>
                    </w:rPr>
                    <w:t>达标情况</w:t>
                  </w:r>
                </w:p>
              </w:tc>
            </w:tr>
            <w:tr w14:paraId="72EA2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4AF4E9FE">
                  <w:pPr>
                    <w:widowControl/>
                    <w:jc w:val="center"/>
                    <w:rPr>
                      <w:color w:val="auto"/>
                      <w:szCs w:val="21"/>
                    </w:rPr>
                  </w:pPr>
                  <w:r>
                    <w:rPr>
                      <w:color w:val="auto"/>
                      <w:kern w:val="0"/>
                      <w:szCs w:val="21"/>
                    </w:rPr>
                    <w:t>SO</w:t>
                  </w:r>
                  <w:r>
                    <w:rPr>
                      <w:color w:val="auto"/>
                      <w:kern w:val="0"/>
                      <w:szCs w:val="21"/>
                      <w:vertAlign w:val="subscript"/>
                    </w:rPr>
                    <w:t>2</w:t>
                  </w:r>
                </w:p>
              </w:tc>
              <w:tc>
                <w:tcPr>
                  <w:tcW w:w="1935" w:type="dxa"/>
                  <w:vMerge w:val="restart"/>
                  <w:tcBorders>
                    <w:top w:val="single" w:color="auto" w:sz="4" w:space="0"/>
                    <w:left w:val="single" w:color="auto" w:sz="4" w:space="0"/>
                    <w:right w:val="single" w:color="auto" w:sz="4" w:space="0"/>
                  </w:tcBorders>
                  <w:vAlign w:val="center"/>
                </w:tcPr>
                <w:p w14:paraId="51075391">
                  <w:pPr>
                    <w:widowControl/>
                    <w:jc w:val="center"/>
                    <w:rPr>
                      <w:color w:val="auto"/>
                      <w:szCs w:val="21"/>
                    </w:rPr>
                  </w:pPr>
                  <w:r>
                    <w:rPr>
                      <w:color w:val="auto"/>
                      <w:szCs w:val="21"/>
                    </w:rPr>
                    <w:t>年平均质量浓度</w:t>
                  </w:r>
                </w:p>
              </w:tc>
              <w:tc>
                <w:tcPr>
                  <w:tcW w:w="1224" w:type="dxa"/>
                  <w:tcBorders>
                    <w:top w:val="single" w:color="auto" w:sz="4" w:space="0"/>
                    <w:left w:val="single" w:color="auto" w:sz="4" w:space="0"/>
                    <w:bottom w:val="single" w:color="auto" w:sz="4" w:space="0"/>
                    <w:right w:val="single" w:color="auto" w:sz="4" w:space="0"/>
                  </w:tcBorders>
                  <w:vAlign w:val="center"/>
                </w:tcPr>
                <w:p w14:paraId="41D02777">
                  <w:pPr>
                    <w:widowControl/>
                    <w:jc w:val="center"/>
                    <w:rPr>
                      <w:rFonts w:hint="eastAsia" w:eastAsia="宋体"/>
                      <w:color w:val="auto"/>
                      <w:szCs w:val="21"/>
                      <w:lang w:eastAsia="zh-CN"/>
                    </w:rPr>
                  </w:pPr>
                  <w:r>
                    <w:rPr>
                      <w:rFonts w:hint="eastAsia"/>
                      <w:color w:val="auto"/>
                      <w:szCs w:val="21"/>
                      <w:lang w:val="en-US" w:eastAsia="zh-CN"/>
                    </w:rPr>
                    <w:t>8</w:t>
                  </w:r>
                </w:p>
              </w:tc>
              <w:tc>
                <w:tcPr>
                  <w:tcW w:w="1224" w:type="dxa"/>
                  <w:tcBorders>
                    <w:top w:val="single" w:color="auto" w:sz="4" w:space="0"/>
                    <w:left w:val="single" w:color="auto" w:sz="4" w:space="0"/>
                    <w:bottom w:val="single" w:color="auto" w:sz="4" w:space="0"/>
                    <w:right w:val="single" w:color="auto" w:sz="4" w:space="0"/>
                  </w:tcBorders>
                  <w:vAlign w:val="center"/>
                </w:tcPr>
                <w:p w14:paraId="42C58A43">
                  <w:pPr>
                    <w:widowControl/>
                    <w:jc w:val="center"/>
                    <w:rPr>
                      <w:color w:val="auto"/>
                      <w:szCs w:val="21"/>
                    </w:rPr>
                  </w:pPr>
                  <w:r>
                    <w:rPr>
                      <w:color w:val="auto"/>
                      <w:szCs w:val="21"/>
                    </w:rPr>
                    <w:t>60</w:t>
                  </w:r>
                </w:p>
              </w:tc>
              <w:tc>
                <w:tcPr>
                  <w:tcW w:w="1212" w:type="dxa"/>
                  <w:tcBorders>
                    <w:top w:val="single" w:color="auto" w:sz="4" w:space="0"/>
                    <w:left w:val="single" w:color="auto" w:sz="4" w:space="0"/>
                    <w:bottom w:val="single" w:color="auto" w:sz="4" w:space="0"/>
                    <w:right w:val="single" w:color="auto" w:sz="4" w:space="0"/>
                  </w:tcBorders>
                  <w:vAlign w:val="center"/>
                </w:tcPr>
                <w:p w14:paraId="0E26176A">
                  <w:pPr>
                    <w:widowControl/>
                    <w:jc w:val="center"/>
                    <w:rPr>
                      <w:rFonts w:hint="default" w:eastAsia="宋体"/>
                      <w:color w:val="auto"/>
                      <w:szCs w:val="21"/>
                      <w:lang w:val="en-US" w:eastAsia="zh-CN"/>
                    </w:rPr>
                  </w:pPr>
                  <w:r>
                    <w:rPr>
                      <w:rFonts w:hint="eastAsia"/>
                      <w:color w:val="auto"/>
                      <w:szCs w:val="21"/>
                      <w:lang w:val="en-US" w:eastAsia="zh-CN"/>
                    </w:rPr>
                    <w:t>13.3</w:t>
                  </w:r>
                </w:p>
              </w:tc>
              <w:tc>
                <w:tcPr>
                  <w:tcW w:w="1211" w:type="dxa"/>
                  <w:tcBorders>
                    <w:top w:val="single" w:color="auto" w:sz="4" w:space="0"/>
                    <w:left w:val="single" w:color="auto" w:sz="4" w:space="0"/>
                    <w:bottom w:val="single" w:color="auto" w:sz="4" w:space="0"/>
                    <w:right w:val="single" w:color="auto" w:sz="4" w:space="0"/>
                  </w:tcBorders>
                  <w:vAlign w:val="center"/>
                </w:tcPr>
                <w:p w14:paraId="7D52FC57">
                  <w:pPr>
                    <w:widowControl/>
                    <w:jc w:val="center"/>
                    <w:rPr>
                      <w:color w:val="auto"/>
                      <w:szCs w:val="21"/>
                    </w:rPr>
                  </w:pPr>
                  <w:r>
                    <w:rPr>
                      <w:color w:val="auto"/>
                      <w:szCs w:val="21"/>
                    </w:rPr>
                    <w:t>达标</w:t>
                  </w:r>
                </w:p>
              </w:tc>
            </w:tr>
            <w:tr w14:paraId="2492B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6F6D646A">
                  <w:pPr>
                    <w:widowControl/>
                    <w:jc w:val="center"/>
                    <w:rPr>
                      <w:color w:val="auto"/>
                      <w:szCs w:val="21"/>
                    </w:rPr>
                  </w:pPr>
                  <w:r>
                    <w:rPr>
                      <w:color w:val="auto"/>
                      <w:kern w:val="0"/>
                      <w:szCs w:val="21"/>
                    </w:rPr>
                    <w:t>NO</w:t>
                  </w:r>
                  <w:r>
                    <w:rPr>
                      <w:color w:val="auto"/>
                      <w:kern w:val="0"/>
                      <w:szCs w:val="21"/>
                      <w:vertAlign w:val="subscript"/>
                    </w:rPr>
                    <w:t>2</w:t>
                  </w:r>
                </w:p>
              </w:tc>
              <w:tc>
                <w:tcPr>
                  <w:tcW w:w="1935" w:type="dxa"/>
                  <w:vMerge w:val="continue"/>
                  <w:tcBorders>
                    <w:left w:val="single" w:color="auto" w:sz="4" w:space="0"/>
                    <w:right w:val="single" w:color="auto" w:sz="4" w:space="0"/>
                  </w:tcBorders>
                  <w:vAlign w:val="center"/>
                </w:tcPr>
                <w:p w14:paraId="2EC5FC6C">
                  <w:pPr>
                    <w:widowControl/>
                    <w:jc w:val="center"/>
                    <w:rPr>
                      <w:color w:val="auto"/>
                      <w:szCs w:val="21"/>
                    </w:rPr>
                  </w:pPr>
                </w:p>
              </w:tc>
              <w:tc>
                <w:tcPr>
                  <w:tcW w:w="1224" w:type="dxa"/>
                  <w:tcBorders>
                    <w:top w:val="single" w:color="auto" w:sz="4" w:space="0"/>
                    <w:left w:val="single" w:color="auto" w:sz="4" w:space="0"/>
                    <w:bottom w:val="single" w:color="auto" w:sz="4" w:space="0"/>
                    <w:right w:val="single" w:color="auto" w:sz="4" w:space="0"/>
                  </w:tcBorders>
                  <w:vAlign w:val="center"/>
                </w:tcPr>
                <w:p w14:paraId="2BC3C0BF">
                  <w:pPr>
                    <w:widowControl/>
                    <w:jc w:val="center"/>
                    <w:rPr>
                      <w:rFonts w:hint="default" w:eastAsia="宋体"/>
                      <w:color w:val="auto"/>
                      <w:szCs w:val="21"/>
                      <w:lang w:val="en-US" w:eastAsia="zh-CN"/>
                    </w:rPr>
                  </w:pPr>
                  <w:r>
                    <w:rPr>
                      <w:rFonts w:hint="eastAsia"/>
                      <w:color w:val="auto"/>
                      <w:szCs w:val="21"/>
                      <w:lang w:val="en-US" w:eastAsia="zh-CN"/>
                    </w:rPr>
                    <w:t>14</w:t>
                  </w:r>
                </w:p>
              </w:tc>
              <w:tc>
                <w:tcPr>
                  <w:tcW w:w="1224" w:type="dxa"/>
                  <w:tcBorders>
                    <w:top w:val="single" w:color="auto" w:sz="4" w:space="0"/>
                    <w:left w:val="single" w:color="auto" w:sz="4" w:space="0"/>
                    <w:bottom w:val="single" w:color="auto" w:sz="4" w:space="0"/>
                    <w:right w:val="single" w:color="auto" w:sz="4" w:space="0"/>
                  </w:tcBorders>
                  <w:vAlign w:val="center"/>
                </w:tcPr>
                <w:p w14:paraId="0EFB4271">
                  <w:pPr>
                    <w:widowControl/>
                    <w:jc w:val="center"/>
                    <w:rPr>
                      <w:color w:val="auto"/>
                      <w:szCs w:val="21"/>
                    </w:rPr>
                  </w:pPr>
                  <w:r>
                    <w:rPr>
                      <w:color w:val="auto"/>
                      <w:szCs w:val="21"/>
                    </w:rPr>
                    <w:t>40</w:t>
                  </w:r>
                </w:p>
              </w:tc>
              <w:tc>
                <w:tcPr>
                  <w:tcW w:w="1212" w:type="dxa"/>
                  <w:tcBorders>
                    <w:top w:val="single" w:color="auto" w:sz="4" w:space="0"/>
                    <w:left w:val="single" w:color="auto" w:sz="4" w:space="0"/>
                    <w:bottom w:val="single" w:color="auto" w:sz="4" w:space="0"/>
                    <w:right w:val="single" w:color="auto" w:sz="4" w:space="0"/>
                  </w:tcBorders>
                  <w:vAlign w:val="center"/>
                </w:tcPr>
                <w:p w14:paraId="66296B8A">
                  <w:pPr>
                    <w:widowControl/>
                    <w:jc w:val="center"/>
                    <w:rPr>
                      <w:rFonts w:hint="default" w:eastAsia="宋体"/>
                      <w:color w:val="auto"/>
                      <w:szCs w:val="21"/>
                      <w:lang w:val="en-US" w:eastAsia="zh-CN"/>
                    </w:rPr>
                  </w:pPr>
                  <w:r>
                    <w:rPr>
                      <w:rFonts w:hint="eastAsia"/>
                      <w:color w:val="auto"/>
                      <w:szCs w:val="21"/>
                      <w:lang w:val="en-US" w:eastAsia="zh-CN"/>
                    </w:rPr>
                    <w:t>35</w:t>
                  </w:r>
                </w:p>
              </w:tc>
              <w:tc>
                <w:tcPr>
                  <w:tcW w:w="1211" w:type="dxa"/>
                  <w:tcBorders>
                    <w:top w:val="single" w:color="auto" w:sz="4" w:space="0"/>
                    <w:left w:val="single" w:color="auto" w:sz="4" w:space="0"/>
                    <w:bottom w:val="single" w:color="auto" w:sz="4" w:space="0"/>
                    <w:right w:val="single" w:color="auto" w:sz="4" w:space="0"/>
                  </w:tcBorders>
                  <w:vAlign w:val="center"/>
                </w:tcPr>
                <w:p w14:paraId="23F82573">
                  <w:pPr>
                    <w:widowControl/>
                    <w:jc w:val="center"/>
                    <w:rPr>
                      <w:color w:val="auto"/>
                      <w:szCs w:val="21"/>
                    </w:rPr>
                  </w:pPr>
                  <w:r>
                    <w:rPr>
                      <w:color w:val="auto"/>
                      <w:szCs w:val="21"/>
                    </w:rPr>
                    <w:t>达标</w:t>
                  </w:r>
                </w:p>
              </w:tc>
            </w:tr>
            <w:tr w14:paraId="74E00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4F57C4E3">
                  <w:pPr>
                    <w:widowControl/>
                    <w:jc w:val="center"/>
                    <w:rPr>
                      <w:color w:val="auto"/>
                      <w:szCs w:val="21"/>
                    </w:rPr>
                  </w:pPr>
                  <w:r>
                    <w:rPr>
                      <w:color w:val="auto"/>
                      <w:szCs w:val="21"/>
                    </w:rPr>
                    <w:t>PM</w:t>
                  </w:r>
                  <w:r>
                    <w:rPr>
                      <w:color w:val="auto"/>
                      <w:szCs w:val="21"/>
                      <w:vertAlign w:val="subscript"/>
                    </w:rPr>
                    <w:t>10</w:t>
                  </w:r>
                </w:p>
              </w:tc>
              <w:tc>
                <w:tcPr>
                  <w:tcW w:w="1935" w:type="dxa"/>
                  <w:vMerge w:val="continue"/>
                  <w:tcBorders>
                    <w:left w:val="single" w:color="auto" w:sz="4" w:space="0"/>
                    <w:right w:val="single" w:color="auto" w:sz="4" w:space="0"/>
                  </w:tcBorders>
                  <w:vAlign w:val="center"/>
                </w:tcPr>
                <w:p w14:paraId="374529C3">
                  <w:pPr>
                    <w:widowControl/>
                    <w:jc w:val="center"/>
                    <w:rPr>
                      <w:color w:val="auto"/>
                      <w:szCs w:val="21"/>
                    </w:rPr>
                  </w:pPr>
                </w:p>
              </w:tc>
              <w:tc>
                <w:tcPr>
                  <w:tcW w:w="1224" w:type="dxa"/>
                  <w:tcBorders>
                    <w:top w:val="single" w:color="auto" w:sz="4" w:space="0"/>
                    <w:left w:val="single" w:color="auto" w:sz="4" w:space="0"/>
                    <w:bottom w:val="single" w:color="auto" w:sz="4" w:space="0"/>
                    <w:right w:val="single" w:color="auto" w:sz="4" w:space="0"/>
                  </w:tcBorders>
                  <w:vAlign w:val="center"/>
                </w:tcPr>
                <w:p w14:paraId="39481F74">
                  <w:pPr>
                    <w:widowControl/>
                    <w:jc w:val="center"/>
                    <w:rPr>
                      <w:rFonts w:hint="default" w:eastAsia="宋体"/>
                      <w:color w:val="auto"/>
                      <w:szCs w:val="21"/>
                      <w:lang w:val="en-US" w:eastAsia="zh-CN"/>
                    </w:rPr>
                  </w:pPr>
                  <w:r>
                    <w:rPr>
                      <w:rFonts w:hint="eastAsia"/>
                      <w:color w:val="auto"/>
                      <w:szCs w:val="21"/>
                      <w:lang w:val="en-US" w:eastAsia="zh-CN"/>
                    </w:rPr>
                    <w:t>43</w:t>
                  </w:r>
                </w:p>
              </w:tc>
              <w:tc>
                <w:tcPr>
                  <w:tcW w:w="1224" w:type="dxa"/>
                  <w:tcBorders>
                    <w:top w:val="single" w:color="auto" w:sz="4" w:space="0"/>
                    <w:left w:val="single" w:color="auto" w:sz="4" w:space="0"/>
                    <w:bottom w:val="single" w:color="auto" w:sz="4" w:space="0"/>
                    <w:right w:val="single" w:color="auto" w:sz="4" w:space="0"/>
                  </w:tcBorders>
                  <w:vAlign w:val="center"/>
                </w:tcPr>
                <w:p w14:paraId="6F8F7FBF">
                  <w:pPr>
                    <w:widowControl/>
                    <w:jc w:val="center"/>
                    <w:rPr>
                      <w:color w:val="auto"/>
                      <w:szCs w:val="21"/>
                    </w:rPr>
                  </w:pPr>
                  <w:r>
                    <w:rPr>
                      <w:color w:val="auto"/>
                      <w:szCs w:val="21"/>
                    </w:rPr>
                    <w:t>70</w:t>
                  </w:r>
                </w:p>
              </w:tc>
              <w:tc>
                <w:tcPr>
                  <w:tcW w:w="1212" w:type="dxa"/>
                  <w:tcBorders>
                    <w:top w:val="single" w:color="auto" w:sz="4" w:space="0"/>
                    <w:left w:val="single" w:color="auto" w:sz="4" w:space="0"/>
                    <w:bottom w:val="single" w:color="auto" w:sz="4" w:space="0"/>
                    <w:right w:val="single" w:color="auto" w:sz="4" w:space="0"/>
                  </w:tcBorders>
                  <w:vAlign w:val="center"/>
                </w:tcPr>
                <w:p w14:paraId="2B4C47DE">
                  <w:pPr>
                    <w:widowControl/>
                    <w:jc w:val="center"/>
                    <w:rPr>
                      <w:rFonts w:hint="default" w:eastAsia="宋体"/>
                      <w:color w:val="auto"/>
                      <w:szCs w:val="21"/>
                      <w:lang w:val="en-US" w:eastAsia="zh-CN"/>
                    </w:rPr>
                  </w:pPr>
                  <w:r>
                    <w:rPr>
                      <w:rFonts w:hint="eastAsia"/>
                      <w:color w:val="auto"/>
                      <w:szCs w:val="21"/>
                      <w:lang w:val="en-US" w:eastAsia="zh-CN"/>
                    </w:rPr>
                    <w:t>61.4</w:t>
                  </w:r>
                </w:p>
              </w:tc>
              <w:tc>
                <w:tcPr>
                  <w:tcW w:w="1211" w:type="dxa"/>
                  <w:tcBorders>
                    <w:top w:val="single" w:color="auto" w:sz="4" w:space="0"/>
                    <w:left w:val="single" w:color="auto" w:sz="4" w:space="0"/>
                    <w:bottom w:val="single" w:color="auto" w:sz="4" w:space="0"/>
                    <w:right w:val="single" w:color="auto" w:sz="4" w:space="0"/>
                  </w:tcBorders>
                  <w:vAlign w:val="center"/>
                </w:tcPr>
                <w:p w14:paraId="2514E01F">
                  <w:pPr>
                    <w:widowControl/>
                    <w:jc w:val="center"/>
                    <w:rPr>
                      <w:color w:val="auto"/>
                      <w:szCs w:val="21"/>
                    </w:rPr>
                  </w:pPr>
                  <w:r>
                    <w:rPr>
                      <w:color w:val="auto"/>
                      <w:szCs w:val="21"/>
                    </w:rPr>
                    <w:t>达标</w:t>
                  </w:r>
                </w:p>
              </w:tc>
            </w:tr>
            <w:tr w14:paraId="76444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53B6B95E">
                  <w:pPr>
                    <w:widowControl/>
                    <w:jc w:val="center"/>
                    <w:rPr>
                      <w:color w:val="auto"/>
                      <w:szCs w:val="21"/>
                    </w:rPr>
                  </w:pPr>
                  <w:r>
                    <w:rPr>
                      <w:color w:val="auto"/>
                      <w:szCs w:val="21"/>
                    </w:rPr>
                    <w:t>PM</w:t>
                  </w:r>
                  <w:r>
                    <w:rPr>
                      <w:color w:val="auto"/>
                      <w:szCs w:val="21"/>
                      <w:vertAlign w:val="subscript"/>
                    </w:rPr>
                    <w:t>2.5</w:t>
                  </w:r>
                </w:p>
              </w:tc>
              <w:tc>
                <w:tcPr>
                  <w:tcW w:w="1935" w:type="dxa"/>
                  <w:vMerge w:val="continue"/>
                  <w:tcBorders>
                    <w:left w:val="single" w:color="auto" w:sz="4" w:space="0"/>
                    <w:bottom w:val="single" w:color="auto" w:sz="4" w:space="0"/>
                    <w:right w:val="single" w:color="auto" w:sz="4" w:space="0"/>
                  </w:tcBorders>
                  <w:vAlign w:val="center"/>
                </w:tcPr>
                <w:p w14:paraId="1842C493">
                  <w:pPr>
                    <w:widowControl/>
                    <w:jc w:val="center"/>
                    <w:rPr>
                      <w:color w:val="auto"/>
                      <w:szCs w:val="21"/>
                    </w:rPr>
                  </w:pPr>
                </w:p>
              </w:tc>
              <w:tc>
                <w:tcPr>
                  <w:tcW w:w="1224" w:type="dxa"/>
                  <w:tcBorders>
                    <w:top w:val="single" w:color="auto" w:sz="4" w:space="0"/>
                    <w:left w:val="single" w:color="auto" w:sz="4" w:space="0"/>
                    <w:bottom w:val="single" w:color="auto" w:sz="4" w:space="0"/>
                    <w:right w:val="single" w:color="auto" w:sz="4" w:space="0"/>
                  </w:tcBorders>
                  <w:vAlign w:val="center"/>
                </w:tcPr>
                <w:p w14:paraId="229926CF">
                  <w:pPr>
                    <w:widowControl/>
                    <w:jc w:val="center"/>
                    <w:rPr>
                      <w:rFonts w:hint="default" w:eastAsia="宋体"/>
                      <w:color w:val="auto"/>
                      <w:szCs w:val="21"/>
                      <w:lang w:val="en-US" w:eastAsia="zh-CN"/>
                    </w:rPr>
                  </w:pPr>
                  <w:r>
                    <w:rPr>
                      <w:rFonts w:hint="eastAsia"/>
                      <w:color w:val="auto"/>
                      <w:szCs w:val="21"/>
                      <w:lang w:val="en-US" w:eastAsia="zh-CN"/>
                    </w:rPr>
                    <w:t>29</w:t>
                  </w:r>
                </w:p>
              </w:tc>
              <w:tc>
                <w:tcPr>
                  <w:tcW w:w="1224" w:type="dxa"/>
                  <w:tcBorders>
                    <w:top w:val="single" w:color="auto" w:sz="4" w:space="0"/>
                    <w:left w:val="single" w:color="auto" w:sz="4" w:space="0"/>
                    <w:bottom w:val="single" w:color="auto" w:sz="4" w:space="0"/>
                    <w:right w:val="single" w:color="auto" w:sz="4" w:space="0"/>
                  </w:tcBorders>
                  <w:vAlign w:val="center"/>
                </w:tcPr>
                <w:p w14:paraId="4826C137">
                  <w:pPr>
                    <w:widowControl/>
                    <w:jc w:val="center"/>
                    <w:rPr>
                      <w:color w:val="auto"/>
                      <w:szCs w:val="21"/>
                    </w:rPr>
                  </w:pPr>
                  <w:r>
                    <w:rPr>
                      <w:color w:val="auto"/>
                      <w:szCs w:val="21"/>
                    </w:rPr>
                    <w:t>35</w:t>
                  </w:r>
                </w:p>
              </w:tc>
              <w:tc>
                <w:tcPr>
                  <w:tcW w:w="1212" w:type="dxa"/>
                  <w:tcBorders>
                    <w:top w:val="single" w:color="auto" w:sz="4" w:space="0"/>
                    <w:left w:val="single" w:color="auto" w:sz="4" w:space="0"/>
                    <w:bottom w:val="single" w:color="auto" w:sz="4" w:space="0"/>
                    <w:right w:val="single" w:color="auto" w:sz="4" w:space="0"/>
                  </w:tcBorders>
                  <w:vAlign w:val="center"/>
                </w:tcPr>
                <w:p w14:paraId="42C00FA3">
                  <w:pPr>
                    <w:widowControl/>
                    <w:jc w:val="center"/>
                    <w:rPr>
                      <w:rFonts w:hint="default" w:eastAsia="宋体"/>
                      <w:color w:val="auto"/>
                      <w:szCs w:val="21"/>
                      <w:lang w:val="en-US" w:eastAsia="zh-CN"/>
                    </w:rPr>
                  </w:pPr>
                  <w:r>
                    <w:rPr>
                      <w:rFonts w:hint="eastAsia"/>
                      <w:color w:val="auto"/>
                      <w:szCs w:val="21"/>
                      <w:lang w:val="en-US" w:eastAsia="zh-CN"/>
                    </w:rPr>
                    <w:t>82.9</w:t>
                  </w:r>
                </w:p>
              </w:tc>
              <w:tc>
                <w:tcPr>
                  <w:tcW w:w="1211" w:type="dxa"/>
                  <w:tcBorders>
                    <w:top w:val="single" w:color="auto" w:sz="4" w:space="0"/>
                    <w:left w:val="single" w:color="auto" w:sz="4" w:space="0"/>
                    <w:bottom w:val="single" w:color="auto" w:sz="4" w:space="0"/>
                    <w:right w:val="single" w:color="auto" w:sz="4" w:space="0"/>
                  </w:tcBorders>
                  <w:vAlign w:val="center"/>
                </w:tcPr>
                <w:p w14:paraId="2C3BD283">
                  <w:pPr>
                    <w:widowControl/>
                    <w:jc w:val="center"/>
                    <w:rPr>
                      <w:color w:val="auto"/>
                      <w:szCs w:val="21"/>
                    </w:rPr>
                  </w:pPr>
                  <w:r>
                    <w:rPr>
                      <w:color w:val="auto"/>
                      <w:szCs w:val="21"/>
                    </w:rPr>
                    <w:t>达标</w:t>
                  </w:r>
                </w:p>
              </w:tc>
            </w:tr>
            <w:tr w14:paraId="6317D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77939A47">
                  <w:pPr>
                    <w:widowControl/>
                    <w:jc w:val="center"/>
                    <w:rPr>
                      <w:color w:val="auto"/>
                      <w:szCs w:val="21"/>
                    </w:rPr>
                  </w:pPr>
                  <w:r>
                    <w:rPr>
                      <w:color w:val="auto"/>
                      <w:kern w:val="0"/>
                      <w:szCs w:val="21"/>
                    </w:rPr>
                    <w:t>CO</w:t>
                  </w:r>
                </w:p>
              </w:tc>
              <w:tc>
                <w:tcPr>
                  <w:tcW w:w="1935" w:type="dxa"/>
                  <w:tcBorders>
                    <w:top w:val="single" w:color="auto" w:sz="4" w:space="0"/>
                    <w:left w:val="single" w:color="auto" w:sz="4" w:space="0"/>
                    <w:bottom w:val="single" w:color="auto" w:sz="4" w:space="0"/>
                    <w:right w:val="single" w:color="auto" w:sz="4" w:space="0"/>
                  </w:tcBorders>
                  <w:vAlign w:val="center"/>
                </w:tcPr>
                <w:p w14:paraId="2D497F87">
                  <w:pPr>
                    <w:widowControl/>
                    <w:jc w:val="center"/>
                    <w:rPr>
                      <w:color w:val="auto"/>
                      <w:szCs w:val="21"/>
                    </w:rPr>
                  </w:pPr>
                  <w:r>
                    <w:rPr>
                      <w:color w:val="auto"/>
                      <w:szCs w:val="21"/>
                    </w:rPr>
                    <w:t>24小时平均第95百分位分数</w:t>
                  </w:r>
                </w:p>
              </w:tc>
              <w:tc>
                <w:tcPr>
                  <w:tcW w:w="1224" w:type="dxa"/>
                  <w:tcBorders>
                    <w:top w:val="single" w:color="auto" w:sz="4" w:space="0"/>
                    <w:left w:val="single" w:color="auto" w:sz="4" w:space="0"/>
                    <w:bottom w:val="single" w:color="auto" w:sz="4" w:space="0"/>
                    <w:right w:val="single" w:color="auto" w:sz="4" w:space="0"/>
                  </w:tcBorders>
                  <w:vAlign w:val="center"/>
                </w:tcPr>
                <w:p w14:paraId="6AA1CEC3">
                  <w:pPr>
                    <w:widowControl/>
                    <w:jc w:val="center"/>
                    <w:rPr>
                      <w:rFonts w:hint="default" w:eastAsia="宋体"/>
                      <w:color w:val="auto"/>
                      <w:szCs w:val="21"/>
                      <w:lang w:val="en-US" w:eastAsia="zh-CN"/>
                    </w:rPr>
                  </w:pPr>
                  <w:r>
                    <w:rPr>
                      <w:rFonts w:hint="eastAsia"/>
                      <w:color w:val="auto"/>
                      <w:szCs w:val="21"/>
                      <w:lang w:val="en-US" w:eastAsia="zh-CN"/>
                    </w:rPr>
                    <w:t>900</w:t>
                  </w:r>
                </w:p>
              </w:tc>
              <w:tc>
                <w:tcPr>
                  <w:tcW w:w="1224" w:type="dxa"/>
                  <w:tcBorders>
                    <w:top w:val="single" w:color="auto" w:sz="4" w:space="0"/>
                    <w:left w:val="single" w:color="auto" w:sz="4" w:space="0"/>
                    <w:bottom w:val="single" w:color="auto" w:sz="4" w:space="0"/>
                    <w:right w:val="single" w:color="auto" w:sz="4" w:space="0"/>
                  </w:tcBorders>
                  <w:vAlign w:val="center"/>
                </w:tcPr>
                <w:p w14:paraId="756DA9B6">
                  <w:pPr>
                    <w:widowControl/>
                    <w:jc w:val="center"/>
                    <w:rPr>
                      <w:color w:val="auto"/>
                      <w:szCs w:val="21"/>
                    </w:rPr>
                  </w:pPr>
                  <w:r>
                    <w:rPr>
                      <w:color w:val="auto"/>
                      <w:szCs w:val="21"/>
                    </w:rPr>
                    <w:t>4000</w:t>
                  </w:r>
                </w:p>
              </w:tc>
              <w:tc>
                <w:tcPr>
                  <w:tcW w:w="1212" w:type="dxa"/>
                  <w:tcBorders>
                    <w:top w:val="single" w:color="auto" w:sz="4" w:space="0"/>
                    <w:left w:val="single" w:color="auto" w:sz="4" w:space="0"/>
                    <w:bottom w:val="single" w:color="auto" w:sz="4" w:space="0"/>
                    <w:right w:val="single" w:color="auto" w:sz="4" w:space="0"/>
                  </w:tcBorders>
                  <w:vAlign w:val="center"/>
                </w:tcPr>
                <w:p w14:paraId="46E09904">
                  <w:pPr>
                    <w:widowControl/>
                    <w:jc w:val="center"/>
                    <w:rPr>
                      <w:rFonts w:hint="default" w:eastAsia="宋体"/>
                      <w:color w:val="auto"/>
                      <w:szCs w:val="21"/>
                      <w:lang w:val="en-US" w:eastAsia="zh-CN"/>
                    </w:rPr>
                  </w:pPr>
                  <w:r>
                    <w:rPr>
                      <w:rFonts w:hint="eastAsia"/>
                      <w:color w:val="auto"/>
                      <w:szCs w:val="21"/>
                      <w:lang w:val="en-US" w:eastAsia="zh-CN"/>
                    </w:rPr>
                    <w:t>22.5</w:t>
                  </w:r>
                </w:p>
              </w:tc>
              <w:tc>
                <w:tcPr>
                  <w:tcW w:w="1211" w:type="dxa"/>
                  <w:tcBorders>
                    <w:top w:val="single" w:color="auto" w:sz="4" w:space="0"/>
                    <w:left w:val="single" w:color="auto" w:sz="4" w:space="0"/>
                    <w:bottom w:val="single" w:color="auto" w:sz="4" w:space="0"/>
                    <w:right w:val="single" w:color="auto" w:sz="4" w:space="0"/>
                  </w:tcBorders>
                  <w:vAlign w:val="center"/>
                </w:tcPr>
                <w:p w14:paraId="46270D47">
                  <w:pPr>
                    <w:widowControl/>
                    <w:jc w:val="center"/>
                    <w:rPr>
                      <w:color w:val="auto"/>
                      <w:szCs w:val="21"/>
                    </w:rPr>
                  </w:pPr>
                  <w:r>
                    <w:rPr>
                      <w:color w:val="auto"/>
                      <w:szCs w:val="21"/>
                    </w:rPr>
                    <w:t>达标</w:t>
                  </w:r>
                </w:p>
              </w:tc>
            </w:tr>
            <w:tr w14:paraId="5BEAA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178" w:type="dxa"/>
                  <w:tcBorders>
                    <w:top w:val="single" w:color="auto" w:sz="4" w:space="0"/>
                    <w:left w:val="single" w:color="auto" w:sz="4" w:space="0"/>
                    <w:bottom w:val="single" w:color="auto" w:sz="4" w:space="0"/>
                    <w:right w:val="single" w:color="auto" w:sz="4" w:space="0"/>
                  </w:tcBorders>
                  <w:vAlign w:val="center"/>
                </w:tcPr>
                <w:p w14:paraId="017E8162">
                  <w:pPr>
                    <w:widowControl/>
                    <w:jc w:val="center"/>
                    <w:rPr>
                      <w:color w:val="auto"/>
                      <w:szCs w:val="21"/>
                    </w:rPr>
                  </w:pPr>
                  <w:r>
                    <w:rPr>
                      <w:color w:val="auto"/>
                      <w:kern w:val="0"/>
                      <w:szCs w:val="21"/>
                    </w:rPr>
                    <w:t>O</w:t>
                  </w:r>
                  <w:r>
                    <w:rPr>
                      <w:color w:val="auto"/>
                      <w:kern w:val="0"/>
                      <w:szCs w:val="21"/>
                      <w:vertAlign w:val="subscript"/>
                    </w:rPr>
                    <w:t>3</w:t>
                  </w:r>
                </w:p>
              </w:tc>
              <w:tc>
                <w:tcPr>
                  <w:tcW w:w="1935" w:type="dxa"/>
                  <w:tcBorders>
                    <w:top w:val="single" w:color="auto" w:sz="4" w:space="0"/>
                    <w:left w:val="single" w:color="auto" w:sz="4" w:space="0"/>
                    <w:bottom w:val="single" w:color="auto" w:sz="4" w:space="0"/>
                    <w:right w:val="single" w:color="auto" w:sz="4" w:space="0"/>
                  </w:tcBorders>
                  <w:vAlign w:val="center"/>
                </w:tcPr>
                <w:p w14:paraId="6EE70505">
                  <w:pPr>
                    <w:widowControl/>
                    <w:jc w:val="center"/>
                    <w:rPr>
                      <w:color w:val="auto"/>
                      <w:szCs w:val="21"/>
                    </w:rPr>
                  </w:pPr>
                  <w:r>
                    <w:rPr>
                      <w:color w:val="auto"/>
                      <w:szCs w:val="21"/>
                    </w:rPr>
                    <w:t>8小时平均第90百分位分数</w:t>
                  </w:r>
                </w:p>
              </w:tc>
              <w:tc>
                <w:tcPr>
                  <w:tcW w:w="1224" w:type="dxa"/>
                  <w:tcBorders>
                    <w:top w:val="single" w:color="auto" w:sz="4" w:space="0"/>
                    <w:left w:val="single" w:color="auto" w:sz="4" w:space="0"/>
                    <w:bottom w:val="single" w:color="auto" w:sz="4" w:space="0"/>
                    <w:right w:val="single" w:color="auto" w:sz="4" w:space="0"/>
                  </w:tcBorders>
                  <w:vAlign w:val="center"/>
                </w:tcPr>
                <w:p w14:paraId="24778BBD">
                  <w:pPr>
                    <w:widowControl/>
                    <w:jc w:val="center"/>
                    <w:rPr>
                      <w:rFonts w:hint="default" w:eastAsia="宋体"/>
                      <w:color w:val="auto"/>
                      <w:szCs w:val="21"/>
                      <w:lang w:val="en-US" w:eastAsia="zh-CN"/>
                    </w:rPr>
                  </w:pPr>
                  <w:r>
                    <w:rPr>
                      <w:color w:val="auto"/>
                      <w:szCs w:val="21"/>
                    </w:rPr>
                    <w:t>1</w:t>
                  </w:r>
                  <w:r>
                    <w:rPr>
                      <w:rFonts w:hint="eastAsia"/>
                      <w:color w:val="auto"/>
                      <w:szCs w:val="21"/>
                      <w:lang w:val="en-US" w:eastAsia="zh-CN"/>
                    </w:rPr>
                    <w:t>50</w:t>
                  </w:r>
                </w:p>
              </w:tc>
              <w:tc>
                <w:tcPr>
                  <w:tcW w:w="1224" w:type="dxa"/>
                  <w:tcBorders>
                    <w:top w:val="single" w:color="auto" w:sz="4" w:space="0"/>
                    <w:left w:val="single" w:color="auto" w:sz="4" w:space="0"/>
                    <w:bottom w:val="single" w:color="auto" w:sz="4" w:space="0"/>
                    <w:right w:val="single" w:color="auto" w:sz="4" w:space="0"/>
                  </w:tcBorders>
                  <w:vAlign w:val="center"/>
                </w:tcPr>
                <w:p w14:paraId="04BFB23E">
                  <w:pPr>
                    <w:widowControl/>
                    <w:jc w:val="center"/>
                    <w:rPr>
                      <w:color w:val="auto"/>
                      <w:szCs w:val="21"/>
                    </w:rPr>
                  </w:pPr>
                  <w:r>
                    <w:rPr>
                      <w:color w:val="auto"/>
                      <w:szCs w:val="21"/>
                    </w:rPr>
                    <w:t>160</w:t>
                  </w:r>
                </w:p>
              </w:tc>
              <w:tc>
                <w:tcPr>
                  <w:tcW w:w="1212" w:type="dxa"/>
                  <w:tcBorders>
                    <w:top w:val="single" w:color="auto" w:sz="4" w:space="0"/>
                    <w:left w:val="single" w:color="auto" w:sz="4" w:space="0"/>
                    <w:bottom w:val="single" w:color="auto" w:sz="4" w:space="0"/>
                    <w:right w:val="single" w:color="auto" w:sz="4" w:space="0"/>
                  </w:tcBorders>
                  <w:vAlign w:val="center"/>
                </w:tcPr>
                <w:p w14:paraId="165C943D">
                  <w:pPr>
                    <w:widowControl/>
                    <w:jc w:val="center"/>
                    <w:rPr>
                      <w:rFonts w:hint="default" w:eastAsia="宋体"/>
                      <w:color w:val="auto"/>
                      <w:szCs w:val="21"/>
                      <w:lang w:val="en-US" w:eastAsia="zh-CN"/>
                    </w:rPr>
                  </w:pPr>
                  <w:r>
                    <w:rPr>
                      <w:rFonts w:hint="eastAsia"/>
                      <w:color w:val="auto"/>
                      <w:szCs w:val="21"/>
                      <w:lang w:val="en-US" w:eastAsia="zh-CN"/>
                    </w:rPr>
                    <w:t>93.8</w:t>
                  </w:r>
                </w:p>
              </w:tc>
              <w:tc>
                <w:tcPr>
                  <w:tcW w:w="1211" w:type="dxa"/>
                  <w:tcBorders>
                    <w:top w:val="single" w:color="auto" w:sz="4" w:space="0"/>
                    <w:left w:val="single" w:color="auto" w:sz="4" w:space="0"/>
                    <w:bottom w:val="single" w:color="auto" w:sz="4" w:space="0"/>
                    <w:right w:val="single" w:color="auto" w:sz="4" w:space="0"/>
                  </w:tcBorders>
                  <w:vAlign w:val="center"/>
                </w:tcPr>
                <w:p w14:paraId="517C2769">
                  <w:pPr>
                    <w:widowControl/>
                    <w:jc w:val="center"/>
                    <w:rPr>
                      <w:color w:val="auto"/>
                      <w:szCs w:val="21"/>
                    </w:rPr>
                  </w:pPr>
                  <w:r>
                    <w:rPr>
                      <w:color w:val="auto"/>
                      <w:szCs w:val="21"/>
                    </w:rPr>
                    <w:t>达标</w:t>
                  </w:r>
                </w:p>
              </w:tc>
            </w:tr>
          </w:tbl>
          <w:p w14:paraId="0C64B757">
            <w:pPr>
              <w:adjustRightInd w:val="0"/>
              <w:snapToGrid w:val="0"/>
              <w:spacing w:line="360" w:lineRule="auto"/>
              <w:ind w:firstLine="480" w:firstLineChars="200"/>
              <w:jc w:val="left"/>
              <w:rPr>
                <w:color w:val="auto"/>
                <w:sz w:val="24"/>
              </w:rPr>
            </w:pPr>
            <w:r>
              <w:rPr>
                <w:color w:val="auto"/>
                <w:sz w:val="24"/>
              </w:rPr>
              <w:t>根据上表，202</w:t>
            </w:r>
            <w:r>
              <w:rPr>
                <w:rFonts w:hint="eastAsia"/>
                <w:color w:val="auto"/>
                <w:sz w:val="24"/>
                <w:lang w:val="en-US" w:eastAsia="zh-CN"/>
              </w:rPr>
              <w:t>4</w:t>
            </w:r>
            <w:r>
              <w:rPr>
                <w:color w:val="auto"/>
                <w:sz w:val="24"/>
              </w:rPr>
              <w:t>年</w:t>
            </w:r>
            <w:r>
              <w:rPr>
                <w:rFonts w:hint="eastAsia"/>
                <w:color w:val="auto"/>
                <w:sz w:val="24"/>
                <w:lang w:eastAsia="zh-CN"/>
              </w:rPr>
              <w:t>东至县</w:t>
            </w:r>
            <w:r>
              <w:rPr>
                <w:color w:val="auto"/>
                <w:sz w:val="24"/>
              </w:rPr>
              <w:t>SO</w:t>
            </w:r>
            <w:r>
              <w:rPr>
                <w:color w:val="auto"/>
                <w:sz w:val="24"/>
                <w:vertAlign w:val="subscript"/>
              </w:rPr>
              <w:t>2</w:t>
            </w:r>
            <w:r>
              <w:rPr>
                <w:color w:val="auto"/>
                <w:sz w:val="24"/>
              </w:rPr>
              <w:t>、NO</w:t>
            </w:r>
            <w:r>
              <w:rPr>
                <w:color w:val="auto"/>
                <w:sz w:val="24"/>
                <w:vertAlign w:val="subscript"/>
              </w:rPr>
              <w:t>2</w:t>
            </w:r>
            <w:r>
              <w:rPr>
                <w:color w:val="auto"/>
                <w:sz w:val="24"/>
              </w:rPr>
              <w:t>、PM</w:t>
            </w:r>
            <w:r>
              <w:rPr>
                <w:color w:val="auto"/>
                <w:sz w:val="24"/>
                <w:vertAlign w:val="subscript"/>
              </w:rPr>
              <w:t>10</w:t>
            </w:r>
            <w:r>
              <w:rPr>
                <w:color w:val="auto"/>
                <w:sz w:val="24"/>
              </w:rPr>
              <w:t>、PM</w:t>
            </w:r>
            <w:r>
              <w:rPr>
                <w:color w:val="auto"/>
                <w:sz w:val="24"/>
                <w:vertAlign w:val="subscript"/>
              </w:rPr>
              <w:t>2.5</w:t>
            </w:r>
            <w:r>
              <w:rPr>
                <w:color w:val="auto"/>
                <w:sz w:val="24"/>
              </w:rPr>
              <w:t>、CO和O</w:t>
            </w:r>
            <w:r>
              <w:rPr>
                <w:color w:val="auto"/>
                <w:sz w:val="24"/>
                <w:vertAlign w:val="subscript"/>
              </w:rPr>
              <w:t>3</w:t>
            </w:r>
            <w:r>
              <w:rPr>
                <w:color w:val="auto"/>
                <w:sz w:val="24"/>
              </w:rPr>
              <w:t>六项污染物均能满足《环境空气质量标准》（GB3095-2012）二级标准，区域环境空气质量已属于达标区，环境空气质量</w:t>
            </w:r>
            <w:r>
              <w:rPr>
                <w:rFonts w:hint="eastAsia"/>
                <w:color w:val="auto"/>
                <w:sz w:val="24"/>
                <w:lang w:eastAsia="zh-CN"/>
              </w:rPr>
              <w:t>较好</w:t>
            </w:r>
            <w:r>
              <w:rPr>
                <w:color w:val="auto"/>
                <w:sz w:val="24"/>
              </w:rPr>
              <w:t>。</w:t>
            </w:r>
          </w:p>
          <w:p w14:paraId="0A105D7A">
            <w:pPr>
              <w:pStyle w:val="93"/>
              <w:widowControl w:val="0"/>
              <w:numPr>
                <w:ilvl w:val="0"/>
                <w:numId w:val="5"/>
              </w:numPr>
              <w:ind w:left="0" w:firstLineChars="0"/>
              <w:jc w:val="both"/>
              <w:rPr>
                <w:rFonts w:cs="Times New Roman"/>
                <w:bCs/>
                <w:color w:val="auto"/>
              </w:rPr>
            </w:pPr>
            <w:r>
              <w:rPr>
                <w:rFonts w:cs="Times New Roman"/>
                <w:bCs/>
                <w:color w:val="auto"/>
              </w:rPr>
              <w:t>2、地表水环境质量现状</w:t>
            </w:r>
          </w:p>
          <w:p w14:paraId="31AA0AD4">
            <w:pPr>
              <w:spacing w:line="360" w:lineRule="auto"/>
              <w:ind w:firstLine="480" w:firstLineChars="200"/>
              <w:rPr>
                <w:color w:val="auto"/>
              </w:rPr>
            </w:pPr>
            <w:r>
              <w:rPr>
                <w:color w:val="auto"/>
                <w:sz w:val="24"/>
              </w:rPr>
              <w:t>本项目所在区域地表水体为</w:t>
            </w:r>
            <w:r>
              <w:rPr>
                <w:rFonts w:hint="eastAsia"/>
                <w:color w:val="auto"/>
                <w:sz w:val="24"/>
                <w:lang w:eastAsia="zh-CN"/>
              </w:rPr>
              <w:t>长江</w:t>
            </w:r>
            <w:r>
              <w:rPr>
                <w:color w:val="auto"/>
                <w:sz w:val="24"/>
              </w:rPr>
              <w:t>，根据《202</w:t>
            </w:r>
            <w:r>
              <w:rPr>
                <w:rFonts w:hint="eastAsia"/>
                <w:color w:val="auto"/>
                <w:sz w:val="24"/>
                <w:lang w:val="en-US" w:eastAsia="zh-CN"/>
              </w:rPr>
              <w:t>4</w:t>
            </w:r>
            <w:r>
              <w:rPr>
                <w:color w:val="auto"/>
                <w:sz w:val="24"/>
              </w:rPr>
              <w:t>年</w:t>
            </w:r>
            <w:r>
              <w:rPr>
                <w:rFonts w:hint="eastAsia"/>
                <w:color w:val="auto"/>
                <w:sz w:val="24"/>
              </w:rPr>
              <w:t>东至环境质量状况公报</w:t>
            </w:r>
            <w:r>
              <w:rPr>
                <w:color w:val="auto"/>
                <w:sz w:val="24"/>
              </w:rPr>
              <w:t>》，水环境质量情况如下：</w:t>
            </w:r>
          </w:p>
          <w:p w14:paraId="6E6033A7">
            <w:pPr>
              <w:spacing w:line="360" w:lineRule="auto"/>
              <w:ind w:firstLine="480" w:firstLineChars="200"/>
              <w:rPr>
                <w:color w:val="auto"/>
                <w:sz w:val="24"/>
                <w:szCs w:val="32"/>
              </w:rPr>
            </w:pPr>
            <w:r>
              <w:rPr>
                <w:rFonts w:hint="eastAsia"/>
                <w:color w:val="auto"/>
                <w:sz w:val="24"/>
                <w:szCs w:val="32"/>
              </w:rPr>
              <w:t>按照《地表水环境质量标准》(GB 3838-2002)和《地表水环境质量评价办法(试行)》(2011年3月)进行评价,2024年黄治河张溪断面、尧渡河东流断面、龙泉河跨省断面(鄱阳石门街)、升金湖中心点断面、尧渡河东至县上游断面和香隅河断面共6个国省控水质监测断面水质指标年均值达到地表水环境质量Ⅲ类水标准，优良率为100%</w:t>
            </w:r>
          </w:p>
          <w:p w14:paraId="5391F69E">
            <w:pPr>
              <w:snapToGrid w:val="0"/>
              <w:spacing w:line="360" w:lineRule="auto"/>
              <w:rPr>
                <w:b/>
                <w:color w:val="auto"/>
                <w:sz w:val="24"/>
              </w:rPr>
            </w:pPr>
            <w:r>
              <w:rPr>
                <w:b/>
                <w:color w:val="auto"/>
                <w:sz w:val="24"/>
              </w:rPr>
              <w:t>3、声环境质量现状</w:t>
            </w:r>
          </w:p>
          <w:p w14:paraId="4BA1751A">
            <w:pPr>
              <w:widowControl/>
              <w:spacing w:line="360" w:lineRule="auto"/>
              <w:ind w:firstLine="536" w:firstLineChars="200"/>
              <w:jc w:val="left"/>
              <w:rPr>
                <w:color w:val="auto"/>
                <w:spacing w:val="3"/>
                <w:sz w:val="24"/>
              </w:rPr>
            </w:pPr>
            <w:r>
              <w:rPr>
                <w:color w:val="auto"/>
                <w:spacing w:val="14"/>
                <w:sz w:val="24"/>
              </w:rPr>
              <w:t>本</w:t>
            </w:r>
            <w:r>
              <w:rPr>
                <w:color w:val="auto"/>
                <w:spacing w:val="12"/>
                <w:sz w:val="24"/>
              </w:rPr>
              <w:t>项</w:t>
            </w:r>
            <w:r>
              <w:rPr>
                <w:color w:val="auto"/>
                <w:spacing w:val="7"/>
                <w:sz w:val="24"/>
              </w:rPr>
              <w:t>目厂界外50米范围内不存在声环境敏感目标，故无需进行声环境现状</w:t>
            </w:r>
            <w:r>
              <w:rPr>
                <w:color w:val="auto"/>
                <w:spacing w:val="4"/>
                <w:sz w:val="24"/>
              </w:rPr>
              <w:t>评价</w:t>
            </w:r>
            <w:r>
              <w:rPr>
                <w:color w:val="auto"/>
                <w:spacing w:val="3"/>
                <w:sz w:val="24"/>
              </w:rPr>
              <w:t>。</w:t>
            </w:r>
          </w:p>
          <w:p w14:paraId="65F4797B">
            <w:pPr>
              <w:pStyle w:val="70"/>
              <w:widowControl/>
              <w:spacing w:line="360" w:lineRule="auto"/>
              <w:ind w:firstLine="0" w:firstLineChars="0"/>
              <w:rPr>
                <w:rFonts w:hint="eastAsia" w:ascii="宋体" w:hAnsi="宋体" w:cs="宋体"/>
                <w:b/>
                <w:bCs/>
                <w:color w:val="auto"/>
              </w:rPr>
            </w:pPr>
            <w:r>
              <w:rPr>
                <w:b/>
                <w:bCs/>
                <w:color w:val="auto"/>
              </w:rPr>
              <w:t>4、</w:t>
            </w:r>
            <w:r>
              <w:rPr>
                <w:rFonts w:hint="eastAsia" w:ascii="宋体" w:hAnsi="宋体" w:cs="宋体"/>
                <w:b/>
                <w:bCs/>
                <w:color w:val="auto"/>
              </w:rPr>
              <w:t>地下水和土壤</w:t>
            </w:r>
          </w:p>
          <w:p w14:paraId="220C8615">
            <w:pPr>
              <w:pStyle w:val="70"/>
              <w:widowControl/>
              <w:spacing w:line="360" w:lineRule="auto"/>
              <w:rPr>
                <w:rFonts w:ascii="宋体" w:hAnsi="宋体" w:cs="宋体"/>
                <w:color w:val="auto"/>
              </w:rPr>
            </w:pPr>
            <w:r>
              <w:rPr>
                <w:rFonts w:ascii="宋体" w:hAnsi="宋体" w:cs="宋体"/>
                <w:color w:val="auto"/>
              </w:rPr>
              <w:t>根据《建设项目环境影响报告表编制技术指南（污染影响类）（试行）》，“原则上不开展环境质量现状调查。建设项目存在土壤、地下水环境污染途径的，应结合污染源、保护目标分布情况开展现状调查以留作背景值。”</w:t>
            </w:r>
            <w:r>
              <w:rPr>
                <w:rFonts w:hint="eastAsia" w:ascii="宋体" w:hAnsi="宋体" w:cs="宋体"/>
                <w:color w:val="auto"/>
              </w:rPr>
              <w:t>本</w:t>
            </w:r>
            <w:r>
              <w:rPr>
                <w:rFonts w:ascii="宋体" w:hAnsi="宋体" w:cs="宋体"/>
                <w:color w:val="auto"/>
              </w:rPr>
              <w:t>项目</w:t>
            </w:r>
            <w:r>
              <w:rPr>
                <w:rFonts w:hint="eastAsia" w:ascii="宋体" w:hAnsi="宋体" w:cs="宋体"/>
                <w:color w:val="auto"/>
              </w:rPr>
              <w:t>区域</w:t>
            </w:r>
            <w:r>
              <w:rPr>
                <w:rFonts w:ascii="宋体" w:hAnsi="宋体" w:cs="宋体"/>
                <w:color w:val="auto"/>
              </w:rPr>
              <w:t>都采取严格的防泄漏、防渗措施，基本杜绝地下水和土壤污染途径，可不开展现状调查。</w:t>
            </w:r>
          </w:p>
          <w:p w14:paraId="23C53175">
            <w:pPr>
              <w:widowControl/>
              <w:spacing w:line="360" w:lineRule="auto"/>
              <w:jc w:val="left"/>
              <w:rPr>
                <w:b/>
                <w:bCs/>
                <w:color w:val="auto"/>
                <w:sz w:val="24"/>
              </w:rPr>
            </w:pPr>
            <w:r>
              <w:rPr>
                <w:rFonts w:hint="eastAsia"/>
                <w:b/>
                <w:bCs/>
                <w:color w:val="auto"/>
                <w:sz w:val="24"/>
              </w:rPr>
              <w:t>5、</w:t>
            </w:r>
            <w:r>
              <w:rPr>
                <w:b/>
                <w:bCs/>
                <w:color w:val="auto"/>
                <w:sz w:val="24"/>
              </w:rPr>
              <w:t>生态环境</w:t>
            </w:r>
          </w:p>
          <w:p w14:paraId="398D77C2">
            <w:pPr>
              <w:snapToGrid w:val="0"/>
              <w:spacing w:line="360" w:lineRule="auto"/>
              <w:ind w:firstLine="480" w:firstLineChars="200"/>
              <w:rPr>
                <w:color w:val="auto"/>
                <w:kern w:val="0"/>
                <w:sz w:val="24"/>
              </w:rPr>
            </w:pPr>
            <w:r>
              <w:rPr>
                <w:color w:val="auto"/>
                <w:sz w:val="24"/>
              </w:rPr>
              <w:t>本项目</w:t>
            </w:r>
            <w:r>
              <w:rPr>
                <w:rFonts w:hint="eastAsia"/>
                <w:color w:val="auto"/>
                <w:sz w:val="24"/>
              </w:rPr>
              <w:t>位于</w:t>
            </w:r>
            <w:r>
              <w:rPr>
                <w:rFonts w:hint="eastAsia"/>
                <w:color w:val="auto"/>
                <w:sz w:val="24"/>
                <w:lang w:eastAsia="zh-CN"/>
              </w:rPr>
              <w:t>安徽东至经济开发区，项目用地为工业用地</w:t>
            </w:r>
            <w:r>
              <w:rPr>
                <w:color w:val="auto"/>
                <w:sz w:val="24"/>
              </w:rPr>
              <w:t>，不涉及生态环境保护目标。</w:t>
            </w:r>
          </w:p>
        </w:tc>
      </w:tr>
      <w:tr w14:paraId="0CC930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815" w:hRule="atLeast"/>
          <w:jc w:val="center"/>
        </w:trPr>
        <w:tc>
          <w:tcPr>
            <w:tcW w:w="736" w:type="dxa"/>
            <w:vAlign w:val="center"/>
          </w:tcPr>
          <w:p w14:paraId="7419DD82">
            <w:pPr>
              <w:adjustRightInd w:val="0"/>
              <w:snapToGrid w:val="0"/>
              <w:jc w:val="center"/>
              <w:rPr>
                <w:color w:val="auto"/>
                <w:kern w:val="0"/>
                <w:sz w:val="24"/>
              </w:rPr>
            </w:pPr>
            <w:r>
              <w:rPr>
                <w:color w:val="auto"/>
                <w:kern w:val="0"/>
                <w:sz w:val="24"/>
              </w:rPr>
              <w:t>环境</w:t>
            </w:r>
          </w:p>
          <w:p w14:paraId="1ADD7D6C">
            <w:pPr>
              <w:adjustRightInd w:val="0"/>
              <w:snapToGrid w:val="0"/>
              <w:jc w:val="center"/>
              <w:rPr>
                <w:color w:val="auto"/>
                <w:kern w:val="0"/>
                <w:sz w:val="24"/>
              </w:rPr>
            </w:pPr>
            <w:r>
              <w:rPr>
                <w:color w:val="auto"/>
                <w:kern w:val="0"/>
                <w:sz w:val="24"/>
              </w:rPr>
              <w:t>保护</w:t>
            </w:r>
          </w:p>
          <w:p w14:paraId="55E328AE">
            <w:pPr>
              <w:adjustRightInd w:val="0"/>
              <w:snapToGrid w:val="0"/>
              <w:jc w:val="center"/>
              <w:rPr>
                <w:color w:val="auto"/>
                <w:kern w:val="0"/>
                <w:sz w:val="24"/>
              </w:rPr>
            </w:pPr>
            <w:r>
              <w:rPr>
                <w:color w:val="auto"/>
                <w:kern w:val="0"/>
                <w:sz w:val="24"/>
              </w:rPr>
              <w:t>目标</w:t>
            </w:r>
          </w:p>
        </w:tc>
        <w:tc>
          <w:tcPr>
            <w:tcW w:w="8325" w:type="dxa"/>
            <w:vAlign w:val="center"/>
          </w:tcPr>
          <w:p w14:paraId="2FAE6ED5">
            <w:pPr>
              <w:spacing w:line="360" w:lineRule="auto"/>
              <w:rPr>
                <w:b/>
                <w:bCs/>
                <w:color w:val="auto"/>
                <w:sz w:val="24"/>
              </w:rPr>
            </w:pPr>
            <w:r>
              <w:rPr>
                <w:b/>
                <w:bCs/>
                <w:color w:val="auto"/>
                <w:sz w:val="24"/>
              </w:rPr>
              <w:t>主要环境保护目标（列出名单及保护级别）：</w:t>
            </w:r>
          </w:p>
          <w:p w14:paraId="4C5EFEE3">
            <w:pPr>
              <w:adjustRightInd w:val="0"/>
              <w:snapToGrid w:val="0"/>
              <w:spacing w:line="360" w:lineRule="auto"/>
              <w:ind w:firstLine="480" w:firstLineChars="200"/>
              <w:rPr>
                <w:color w:val="auto"/>
                <w:sz w:val="24"/>
              </w:rPr>
            </w:pPr>
            <w:r>
              <w:rPr>
                <w:color w:val="auto"/>
                <w:kern w:val="0"/>
                <w:sz w:val="24"/>
              </w:rPr>
              <w:t>本项目位于</w:t>
            </w:r>
            <w:r>
              <w:rPr>
                <w:rFonts w:hint="eastAsia"/>
                <w:color w:val="auto"/>
                <w:sz w:val="24"/>
                <w:szCs w:val="32"/>
                <w:lang w:eastAsia="zh-CN" w:bidi="ar"/>
              </w:rPr>
              <w:t>安徽东至经济开发</w:t>
            </w:r>
            <w:r>
              <w:rPr>
                <w:rFonts w:hint="eastAsia"/>
                <w:color w:val="auto"/>
                <w:sz w:val="24"/>
                <w:szCs w:val="32"/>
                <w:lang w:bidi="ar"/>
              </w:rPr>
              <w:t>区</w:t>
            </w:r>
            <w:r>
              <w:rPr>
                <w:rFonts w:hint="default" w:ascii="Times New Roman" w:hAnsi="Times New Roman" w:eastAsia="宋体" w:cs="Times New Roman"/>
                <w:color w:val="auto"/>
                <w:sz w:val="24"/>
                <w:u w:val="none"/>
              </w:rPr>
              <w:t>，评价根据现场踏勘，确定</w:t>
            </w:r>
            <w:r>
              <w:rPr>
                <w:color w:val="auto"/>
                <w:sz w:val="24"/>
              </w:rPr>
              <w:t>建设项目具体环境保护目标如下：</w:t>
            </w:r>
          </w:p>
          <w:p w14:paraId="322BFA0D">
            <w:pPr>
              <w:numPr>
                <w:ilvl w:val="0"/>
                <w:numId w:val="6"/>
              </w:numPr>
              <w:spacing w:line="360" w:lineRule="auto"/>
              <w:ind w:firstLine="480" w:firstLineChars="200"/>
              <w:rPr>
                <w:color w:val="auto"/>
                <w:sz w:val="24"/>
              </w:rPr>
            </w:pPr>
            <w:r>
              <w:rPr>
                <w:color w:val="auto"/>
                <w:sz w:val="24"/>
              </w:rPr>
              <w:t>环境空气：厂界外500米范围内无自然保护区、风景名胜区和文物古迹等需要特殊保护的环境敏感对象。项目区域环境空气质量执行《环境空气质量标准》（GB3095-2012）</w:t>
            </w:r>
            <w:r>
              <w:rPr>
                <w:rFonts w:hint="eastAsia"/>
                <w:color w:val="auto"/>
                <w:sz w:val="24"/>
                <w:szCs w:val="24"/>
                <w:lang w:eastAsia="zh-CN"/>
              </w:rPr>
              <w:t>及修改清单</w:t>
            </w:r>
            <w:r>
              <w:rPr>
                <w:color w:val="auto"/>
                <w:sz w:val="24"/>
              </w:rPr>
              <w:t>中的二级标准要求。</w:t>
            </w:r>
          </w:p>
          <w:p w14:paraId="32ABAC0E">
            <w:pPr>
              <w:pStyle w:val="2"/>
              <w:widowControl/>
              <w:numPr>
                <w:ilvl w:val="0"/>
                <w:numId w:val="6"/>
              </w:numPr>
              <w:spacing w:after="0" w:line="360" w:lineRule="auto"/>
              <w:ind w:left="0" w:leftChars="0" w:firstLine="480"/>
              <w:rPr>
                <w:rFonts w:hint="eastAsia"/>
                <w:color w:val="auto"/>
                <w:szCs w:val="24"/>
              </w:rPr>
            </w:pPr>
            <w:r>
              <w:rPr>
                <w:rFonts w:hint="eastAsia"/>
                <w:color w:val="auto"/>
                <w:szCs w:val="24"/>
              </w:rPr>
              <w:t>地下水环境：本项目厂界外500m范围内无地下水集中式饮用水水源和热水、矿泉水、温泉等特殊地下水资源。</w:t>
            </w:r>
          </w:p>
          <w:p w14:paraId="0D75EA66">
            <w:pPr>
              <w:pStyle w:val="2"/>
              <w:widowControl/>
              <w:spacing w:after="0" w:line="360" w:lineRule="auto"/>
              <w:ind w:left="0" w:leftChars="0" w:firstLine="480"/>
              <w:rPr>
                <w:rFonts w:hint="eastAsia"/>
                <w:color w:val="auto"/>
                <w:szCs w:val="24"/>
              </w:rPr>
            </w:pPr>
            <w:r>
              <w:rPr>
                <w:rFonts w:hint="eastAsia"/>
                <w:color w:val="auto"/>
                <w:szCs w:val="24"/>
              </w:rPr>
              <w:t>3、生态环境：</w:t>
            </w:r>
            <w:r>
              <w:rPr>
                <w:color w:val="auto"/>
                <w:szCs w:val="24"/>
              </w:rPr>
              <w:t>项目位于</w:t>
            </w:r>
            <w:r>
              <w:rPr>
                <w:rFonts w:hint="eastAsia"/>
                <w:color w:val="auto"/>
                <w:szCs w:val="24"/>
                <w:lang w:eastAsia="zh-CN" w:bidi="ar"/>
              </w:rPr>
              <w:t>安徽东至经济开发区，</w:t>
            </w:r>
            <w:r>
              <w:rPr>
                <w:rFonts w:hint="eastAsia"/>
                <w:color w:val="auto"/>
                <w:szCs w:val="24"/>
              </w:rPr>
              <w:t>项目周边无生态环境保护目标。</w:t>
            </w:r>
          </w:p>
          <w:p w14:paraId="1CC7D677">
            <w:pPr>
              <w:spacing w:line="360" w:lineRule="auto"/>
              <w:ind w:firstLine="480" w:firstLineChars="200"/>
              <w:rPr>
                <w:rFonts w:hint="eastAsia"/>
                <w:color w:val="auto"/>
                <w:sz w:val="24"/>
              </w:rPr>
            </w:pPr>
            <w:r>
              <w:rPr>
                <w:rFonts w:hint="eastAsia"/>
                <w:color w:val="auto"/>
                <w:sz w:val="24"/>
              </w:rPr>
              <w:t>4</w:t>
            </w:r>
            <w:r>
              <w:rPr>
                <w:color w:val="auto"/>
                <w:sz w:val="24"/>
              </w:rPr>
              <w:t>、声环境：厂界外周边50米范围内无声环境敏感点，区域声环境质量执行《声环境质量标准》（GB3096-2008）中</w:t>
            </w:r>
            <w:r>
              <w:rPr>
                <w:rFonts w:hint="eastAsia"/>
                <w:color w:val="auto"/>
                <w:sz w:val="24"/>
                <w:lang w:val="en-US" w:eastAsia="zh-CN"/>
              </w:rPr>
              <w:t>2</w:t>
            </w:r>
            <w:r>
              <w:rPr>
                <w:color w:val="auto"/>
                <w:sz w:val="24"/>
              </w:rPr>
              <w:t>类标准</w:t>
            </w:r>
            <w:r>
              <w:rPr>
                <w:rFonts w:hint="eastAsia"/>
                <w:color w:val="auto"/>
                <w:sz w:val="24"/>
              </w:rPr>
              <w:t>。</w:t>
            </w:r>
          </w:p>
          <w:p w14:paraId="533D06F1">
            <w:pPr>
              <w:spacing w:line="360" w:lineRule="auto"/>
              <w:ind w:firstLine="480" w:firstLineChars="200"/>
              <w:rPr>
                <w:color w:val="auto"/>
                <w:sz w:val="24"/>
              </w:rPr>
            </w:pPr>
            <w:r>
              <w:rPr>
                <w:rFonts w:hint="eastAsia"/>
                <w:color w:val="auto"/>
                <w:sz w:val="24"/>
              </w:rPr>
              <w:t>5</w:t>
            </w:r>
            <w:r>
              <w:rPr>
                <w:color w:val="auto"/>
                <w:sz w:val="24"/>
              </w:rPr>
              <w:t>、项目环境保护目标见表3-</w:t>
            </w:r>
            <w:r>
              <w:rPr>
                <w:rFonts w:hint="eastAsia"/>
                <w:color w:val="auto"/>
                <w:sz w:val="24"/>
              </w:rPr>
              <w:t>4</w:t>
            </w:r>
            <w:r>
              <w:rPr>
                <w:color w:val="auto"/>
                <w:sz w:val="24"/>
              </w:rPr>
              <w:t>，环境空气环保目标分布图见附图</w:t>
            </w:r>
            <w:r>
              <w:rPr>
                <w:rFonts w:hint="eastAsia"/>
                <w:color w:val="auto"/>
                <w:sz w:val="24"/>
                <w:lang w:val="en-US" w:eastAsia="zh-CN"/>
              </w:rPr>
              <w:t>11</w:t>
            </w:r>
            <w:r>
              <w:rPr>
                <w:color w:val="auto"/>
                <w:sz w:val="24"/>
              </w:rPr>
              <w:t>。</w:t>
            </w:r>
          </w:p>
          <w:p w14:paraId="09428D86">
            <w:pPr>
              <w:ind w:firstLine="422" w:firstLineChars="200"/>
              <w:jc w:val="center"/>
              <w:rPr>
                <w:b/>
                <w:bCs/>
                <w:color w:val="auto"/>
                <w:sz w:val="21"/>
                <w:szCs w:val="21"/>
              </w:rPr>
            </w:pPr>
            <w:r>
              <w:rPr>
                <w:b/>
                <w:bCs/>
                <w:color w:val="auto"/>
                <w:sz w:val="21"/>
                <w:szCs w:val="21"/>
              </w:rPr>
              <w:t>表3-</w:t>
            </w:r>
            <w:r>
              <w:rPr>
                <w:rFonts w:hint="eastAsia"/>
                <w:b/>
                <w:bCs/>
                <w:color w:val="auto"/>
                <w:sz w:val="21"/>
                <w:szCs w:val="21"/>
              </w:rPr>
              <w:t>4</w:t>
            </w:r>
            <w:r>
              <w:rPr>
                <w:b/>
                <w:bCs/>
                <w:color w:val="auto"/>
                <w:sz w:val="21"/>
                <w:szCs w:val="21"/>
              </w:rPr>
              <w:t xml:space="preserve"> 环境保护目标情况一览表</w:t>
            </w:r>
          </w:p>
          <w:tbl>
            <w:tblPr>
              <w:tblStyle w:val="2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1309"/>
              <w:gridCol w:w="688"/>
              <w:gridCol w:w="755"/>
              <w:gridCol w:w="629"/>
              <w:gridCol w:w="865"/>
              <w:gridCol w:w="1062"/>
              <w:gridCol w:w="2071"/>
            </w:tblGrid>
            <w:tr w14:paraId="4C930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714" w:type="dxa"/>
                  <w:vMerge w:val="restart"/>
                  <w:tcBorders>
                    <w:top w:val="single" w:color="auto" w:sz="4" w:space="0"/>
                    <w:left w:val="single" w:color="auto" w:sz="4" w:space="0"/>
                    <w:bottom w:val="single" w:color="auto" w:sz="4" w:space="0"/>
                    <w:right w:val="single" w:color="auto" w:sz="4" w:space="0"/>
                  </w:tcBorders>
                  <w:vAlign w:val="center"/>
                </w:tcPr>
                <w:p w14:paraId="7022EA6A">
                  <w:pPr>
                    <w:widowControl/>
                    <w:jc w:val="center"/>
                    <w:rPr>
                      <w:color w:val="auto"/>
                      <w:szCs w:val="21"/>
                    </w:rPr>
                  </w:pPr>
                  <w:r>
                    <w:rPr>
                      <w:color w:val="auto"/>
                      <w:szCs w:val="21"/>
                    </w:rPr>
                    <w:t>环境</w:t>
                  </w:r>
                </w:p>
                <w:p w14:paraId="79E78E33">
                  <w:pPr>
                    <w:widowControl/>
                    <w:jc w:val="center"/>
                    <w:rPr>
                      <w:color w:val="auto"/>
                      <w:szCs w:val="21"/>
                    </w:rPr>
                  </w:pPr>
                  <w:r>
                    <w:rPr>
                      <w:color w:val="auto"/>
                      <w:szCs w:val="21"/>
                    </w:rPr>
                    <w:t>要素</w:t>
                  </w:r>
                </w:p>
              </w:tc>
              <w:tc>
                <w:tcPr>
                  <w:tcW w:w="1309" w:type="dxa"/>
                  <w:vMerge w:val="restart"/>
                  <w:tcBorders>
                    <w:top w:val="single" w:color="auto" w:sz="4" w:space="0"/>
                    <w:left w:val="single" w:color="auto" w:sz="4" w:space="0"/>
                    <w:bottom w:val="single" w:color="auto" w:sz="4" w:space="0"/>
                    <w:right w:val="single" w:color="auto" w:sz="4" w:space="0"/>
                  </w:tcBorders>
                  <w:vAlign w:val="center"/>
                </w:tcPr>
                <w:p w14:paraId="3633BE4F">
                  <w:pPr>
                    <w:widowControl/>
                    <w:jc w:val="center"/>
                    <w:rPr>
                      <w:color w:val="auto"/>
                      <w:szCs w:val="21"/>
                    </w:rPr>
                  </w:pPr>
                  <w:r>
                    <w:rPr>
                      <w:color w:val="auto"/>
                      <w:szCs w:val="21"/>
                    </w:rPr>
                    <w:t>名称</w:t>
                  </w:r>
                </w:p>
              </w:tc>
              <w:tc>
                <w:tcPr>
                  <w:tcW w:w="1443" w:type="dxa"/>
                  <w:gridSpan w:val="2"/>
                  <w:tcBorders>
                    <w:top w:val="single" w:color="auto" w:sz="4" w:space="0"/>
                    <w:left w:val="single" w:color="auto" w:sz="4" w:space="0"/>
                    <w:bottom w:val="single" w:color="auto" w:sz="4" w:space="0"/>
                    <w:right w:val="single" w:color="auto" w:sz="4" w:space="0"/>
                  </w:tcBorders>
                  <w:vAlign w:val="center"/>
                </w:tcPr>
                <w:p w14:paraId="4D75E8D5">
                  <w:pPr>
                    <w:widowControl/>
                    <w:jc w:val="center"/>
                    <w:rPr>
                      <w:color w:val="auto"/>
                      <w:szCs w:val="21"/>
                    </w:rPr>
                  </w:pPr>
                  <w:r>
                    <w:rPr>
                      <w:color w:val="auto"/>
                      <w:szCs w:val="21"/>
                    </w:rPr>
                    <w:t>坐标</w:t>
                  </w:r>
                </w:p>
              </w:tc>
              <w:tc>
                <w:tcPr>
                  <w:tcW w:w="629" w:type="dxa"/>
                  <w:vMerge w:val="restart"/>
                  <w:tcBorders>
                    <w:top w:val="single" w:color="auto" w:sz="4" w:space="0"/>
                    <w:left w:val="single" w:color="auto" w:sz="4" w:space="0"/>
                    <w:bottom w:val="single" w:color="auto" w:sz="4" w:space="0"/>
                    <w:right w:val="single" w:color="auto" w:sz="4" w:space="0"/>
                  </w:tcBorders>
                  <w:vAlign w:val="center"/>
                </w:tcPr>
                <w:p w14:paraId="48262247">
                  <w:pPr>
                    <w:widowControl/>
                    <w:jc w:val="center"/>
                    <w:rPr>
                      <w:color w:val="auto"/>
                      <w:szCs w:val="21"/>
                    </w:rPr>
                  </w:pPr>
                  <w:r>
                    <w:rPr>
                      <w:color w:val="auto"/>
                      <w:szCs w:val="21"/>
                    </w:rPr>
                    <w:t>方位</w:t>
                  </w:r>
                </w:p>
              </w:tc>
              <w:tc>
                <w:tcPr>
                  <w:tcW w:w="865" w:type="dxa"/>
                  <w:vMerge w:val="restart"/>
                  <w:tcBorders>
                    <w:top w:val="single" w:color="auto" w:sz="4" w:space="0"/>
                    <w:left w:val="single" w:color="auto" w:sz="4" w:space="0"/>
                    <w:bottom w:val="single" w:color="auto" w:sz="4" w:space="0"/>
                    <w:right w:val="single" w:color="auto" w:sz="4" w:space="0"/>
                  </w:tcBorders>
                  <w:vAlign w:val="center"/>
                </w:tcPr>
                <w:p w14:paraId="2910BD72">
                  <w:pPr>
                    <w:widowControl/>
                    <w:jc w:val="center"/>
                    <w:rPr>
                      <w:color w:val="auto"/>
                      <w:szCs w:val="21"/>
                    </w:rPr>
                  </w:pPr>
                  <w:r>
                    <w:rPr>
                      <w:rFonts w:hint="eastAsia" w:ascii="Times New Roman" w:hAnsi="Times New Roman" w:eastAsia="宋体" w:cs="Times New Roman"/>
                      <w:color w:val="auto"/>
                      <w:sz w:val="21"/>
                      <w:szCs w:val="21"/>
                      <w:lang w:val="en-US" w:eastAsia="zh-CN"/>
                    </w:rPr>
                    <w:t>相对项目边界最近距离</w:t>
                  </w:r>
                  <w:r>
                    <w:rPr>
                      <w:color w:val="auto"/>
                      <w:szCs w:val="21"/>
                    </w:rPr>
                    <w:t>(米)</w:t>
                  </w:r>
                </w:p>
              </w:tc>
              <w:tc>
                <w:tcPr>
                  <w:tcW w:w="1062" w:type="dxa"/>
                  <w:vMerge w:val="restart"/>
                  <w:tcBorders>
                    <w:top w:val="single" w:color="auto" w:sz="4" w:space="0"/>
                    <w:left w:val="single" w:color="auto" w:sz="4" w:space="0"/>
                    <w:bottom w:val="single" w:color="auto" w:sz="4" w:space="0"/>
                    <w:right w:val="single" w:color="auto" w:sz="4" w:space="0"/>
                  </w:tcBorders>
                  <w:vAlign w:val="center"/>
                </w:tcPr>
                <w:p w14:paraId="08277B11">
                  <w:pPr>
                    <w:widowControl/>
                    <w:jc w:val="center"/>
                    <w:rPr>
                      <w:color w:val="auto"/>
                      <w:szCs w:val="21"/>
                    </w:rPr>
                  </w:pPr>
                  <w:r>
                    <w:rPr>
                      <w:color w:val="auto"/>
                      <w:szCs w:val="21"/>
                    </w:rPr>
                    <w:t>规模</w:t>
                  </w:r>
                </w:p>
              </w:tc>
              <w:tc>
                <w:tcPr>
                  <w:tcW w:w="2071" w:type="dxa"/>
                  <w:vMerge w:val="restart"/>
                  <w:tcBorders>
                    <w:top w:val="single" w:color="auto" w:sz="4" w:space="0"/>
                    <w:left w:val="single" w:color="auto" w:sz="4" w:space="0"/>
                    <w:bottom w:val="single" w:color="auto" w:sz="4" w:space="0"/>
                    <w:right w:val="single" w:color="auto" w:sz="4" w:space="0"/>
                  </w:tcBorders>
                  <w:vAlign w:val="center"/>
                </w:tcPr>
                <w:p w14:paraId="0428DC78">
                  <w:pPr>
                    <w:widowControl/>
                    <w:jc w:val="center"/>
                    <w:rPr>
                      <w:color w:val="auto"/>
                      <w:szCs w:val="21"/>
                    </w:rPr>
                  </w:pPr>
                  <w:r>
                    <w:rPr>
                      <w:color w:val="auto"/>
                      <w:szCs w:val="21"/>
                    </w:rPr>
                    <w:t>环境功能及保护级别</w:t>
                  </w:r>
                </w:p>
              </w:tc>
            </w:tr>
            <w:tr w14:paraId="791FE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714" w:type="dxa"/>
                  <w:vMerge w:val="continue"/>
                  <w:tcBorders>
                    <w:top w:val="single" w:color="auto" w:sz="4" w:space="0"/>
                    <w:left w:val="single" w:color="auto" w:sz="4" w:space="0"/>
                    <w:bottom w:val="single" w:color="auto" w:sz="4" w:space="0"/>
                    <w:right w:val="single" w:color="auto" w:sz="4" w:space="0"/>
                  </w:tcBorders>
                  <w:vAlign w:val="center"/>
                </w:tcPr>
                <w:p w14:paraId="443CC1E8">
                  <w:pPr>
                    <w:widowControl/>
                    <w:jc w:val="center"/>
                    <w:rPr>
                      <w:color w:val="auto"/>
                      <w:szCs w:val="21"/>
                    </w:rPr>
                  </w:pPr>
                </w:p>
              </w:tc>
              <w:tc>
                <w:tcPr>
                  <w:tcW w:w="1309" w:type="dxa"/>
                  <w:vMerge w:val="continue"/>
                  <w:tcBorders>
                    <w:top w:val="single" w:color="auto" w:sz="4" w:space="0"/>
                    <w:left w:val="single" w:color="auto" w:sz="4" w:space="0"/>
                    <w:bottom w:val="single" w:color="auto" w:sz="4" w:space="0"/>
                    <w:right w:val="single" w:color="auto" w:sz="4" w:space="0"/>
                  </w:tcBorders>
                  <w:vAlign w:val="center"/>
                </w:tcPr>
                <w:p w14:paraId="10615F73">
                  <w:pPr>
                    <w:widowControl/>
                    <w:jc w:val="center"/>
                    <w:rPr>
                      <w:color w:val="auto"/>
                      <w:szCs w:val="21"/>
                    </w:rPr>
                  </w:pPr>
                </w:p>
              </w:tc>
              <w:tc>
                <w:tcPr>
                  <w:tcW w:w="688" w:type="dxa"/>
                  <w:tcBorders>
                    <w:top w:val="single" w:color="auto" w:sz="4" w:space="0"/>
                    <w:left w:val="single" w:color="auto" w:sz="4" w:space="0"/>
                    <w:bottom w:val="single" w:color="auto" w:sz="4" w:space="0"/>
                    <w:right w:val="single" w:color="auto" w:sz="4" w:space="0"/>
                  </w:tcBorders>
                  <w:vAlign w:val="center"/>
                </w:tcPr>
                <w:p w14:paraId="602C0E03">
                  <w:pPr>
                    <w:widowControl/>
                    <w:jc w:val="center"/>
                    <w:rPr>
                      <w:color w:val="auto"/>
                      <w:szCs w:val="21"/>
                    </w:rPr>
                  </w:pPr>
                  <w:r>
                    <w:rPr>
                      <w:color w:val="auto"/>
                      <w:szCs w:val="21"/>
                    </w:rPr>
                    <w:t>X</w:t>
                  </w:r>
                </w:p>
              </w:tc>
              <w:tc>
                <w:tcPr>
                  <w:tcW w:w="755" w:type="dxa"/>
                  <w:tcBorders>
                    <w:top w:val="single" w:color="auto" w:sz="4" w:space="0"/>
                    <w:left w:val="single" w:color="auto" w:sz="4" w:space="0"/>
                    <w:bottom w:val="single" w:color="auto" w:sz="4" w:space="0"/>
                    <w:right w:val="single" w:color="auto" w:sz="4" w:space="0"/>
                  </w:tcBorders>
                  <w:vAlign w:val="center"/>
                </w:tcPr>
                <w:p w14:paraId="1D22C386">
                  <w:pPr>
                    <w:widowControl/>
                    <w:jc w:val="center"/>
                    <w:rPr>
                      <w:color w:val="auto"/>
                      <w:szCs w:val="21"/>
                    </w:rPr>
                  </w:pPr>
                  <w:r>
                    <w:rPr>
                      <w:color w:val="auto"/>
                      <w:szCs w:val="21"/>
                    </w:rPr>
                    <w:t>Y</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41224020">
                  <w:pPr>
                    <w:widowControl/>
                    <w:jc w:val="center"/>
                    <w:rPr>
                      <w:color w:val="auto"/>
                      <w:szCs w:val="21"/>
                    </w:rPr>
                  </w:pPr>
                </w:p>
              </w:tc>
              <w:tc>
                <w:tcPr>
                  <w:tcW w:w="865" w:type="dxa"/>
                  <w:vMerge w:val="continue"/>
                  <w:tcBorders>
                    <w:top w:val="single" w:color="auto" w:sz="4" w:space="0"/>
                    <w:left w:val="single" w:color="auto" w:sz="4" w:space="0"/>
                    <w:bottom w:val="single" w:color="auto" w:sz="4" w:space="0"/>
                    <w:right w:val="single" w:color="auto" w:sz="4" w:space="0"/>
                  </w:tcBorders>
                  <w:vAlign w:val="center"/>
                </w:tcPr>
                <w:p w14:paraId="5C402763">
                  <w:pPr>
                    <w:widowControl/>
                    <w:jc w:val="center"/>
                    <w:rPr>
                      <w:color w:val="auto"/>
                      <w:szCs w:val="21"/>
                    </w:rPr>
                  </w:pPr>
                </w:p>
              </w:tc>
              <w:tc>
                <w:tcPr>
                  <w:tcW w:w="1062" w:type="dxa"/>
                  <w:vMerge w:val="continue"/>
                  <w:tcBorders>
                    <w:top w:val="single" w:color="auto" w:sz="4" w:space="0"/>
                    <w:left w:val="single" w:color="auto" w:sz="4" w:space="0"/>
                    <w:bottom w:val="single" w:color="auto" w:sz="4" w:space="0"/>
                    <w:right w:val="single" w:color="auto" w:sz="4" w:space="0"/>
                  </w:tcBorders>
                  <w:vAlign w:val="center"/>
                </w:tcPr>
                <w:p w14:paraId="43C4BA67">
                  <w:pPr>
                    <w:widowControl/>
                    <w:jc w:val="center"/>
                    <w:rPr>
                      <w:color w:val="auto"/>
                      <w:szCs w:val="21"/>
                    </w:rPr>
                  </w:pPr>
                </w:p>
              </w:tc>
              <w:tc>
                <w:tcPr>
                  <w:tcW w:w="2071" w:type="dxa"/>
                  <w:vMerge w:val="continue"/>
                  <w:tcBorders>
                    <w:top w:val="single" w:color="auto" w:sz="4" w:space="0"/>
                    <w:left w:val="single" w:color="auto" w:sz="4" w:space="0"/>
                    <w:bottom w:val="single" w:color="auto" w:sz="4" w:space="0"/>
                    <w:right w:val="single" w:color="auto" w:sz="4" w:space="0"/>
                  </w:tcBorders>
                  <w:vAlign w:val="center"/>
                </w:tcPr>
                <w:p w14:paraId="2BC4A061">
                  <w:pPr>
                    <w:widowControl/>
                    <w:jc w:val="center"/>
                    <w:rPr>
                      <w:color w:val="auto"/>
                      <w:szCs w:val="21"/>
                    </w:rPr>
                  </w:pPr>
                </w:p>
              </w:tc>
            </w:tr>
            <w:tr w14:paraId="28947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14" w:type="dxa"/>
                  <w:tcBorders>
                    <w:top w:val="single" w:color="auto" w:sz="4" w:space="0"/>
                    <w:left w:val="single" w:color="auto" w:sz="4" w:space="0"/>
                    <w:bottom w:val="single" w:color="auto" w:sz="4" w:space="0"/>
                    <w:right w:val="single" w:color="auto" w:sz="4" w:space="0"/>
                  </w:tcBorders>
                  <w:vAlign w:val="center"/>
                </w:tcPr>
                <w:p w14:paraId="7A2A8126">
                  <w:pPr>
                    <w:widowControl/>
                    <w:jc w:val="center"/>
                    <w:rPr>
                      <w:color w:val="auto"/>
                      <w:szCs w:val="21"/>
                    </w:rPr>
                  </w:pPr>
                  <w:r>
                    <w:rPr>
                      <w:color w:val="auto"/>
                      <w:szCs w:val="21"/>
                    </w:rPr>
                    <w:t>环境空气</w:t>
                  </w:r>
                </w:p>
              </w:tc>
              <w:tc>
                <w:tcPr>
                  <w:tcW w:w="1309" w:type="dxa"/>
                  <w:tcBorders>
                    <w:top w:val="single" w:color="auto" w:sz="4" w:space="0"/>
                    <w:left w:val="single" w:color="auto" w:sz="4" w:space="0"/>
                    <w:bottom w:val="single" w:color="auto" w:sz="4" w:space="0"/>
                    <w:right w:val="single" w:color="auto" w:sz="4" w:space="0"/>
                  </w:tcBorders>
                  <w:vAlign w:val="center"/>
                </w:tcPr>
                <w:p w14:paraId="59F8B8FB">
                  <w:pPr>
                    <w:widowControl/>
                    <w:jc w:val="center"/>
                    <w:rPr>
                      <w:rFonts w:hint="default" w:eastAsia="宋体"/>
                      <w:color w:val="auto"/>
                      <w:szCs w:val="21"/>
                      <w:lang w:val="en-US" w:eastAsia="zh-CN"/>
                    </w:rPr>
                  </w:pPr>
                  <w:r>
                    <w:rPr>
                      <w:rFonts w:hint="eastAsia"/>
                      <w:color w:val="auto"/>
                      <w:szCs w:val="21"/>
                      <w:lang w:val="en-US" w:eastAsia="zh-CN"/>
                    </w:rPr>
                    <w:t>/</w:t>
                  </w:r>
                </w:p>
              </w:tc>
              <w:tc>
                <w:tcPr>
                  <w:tcW w:w="688" w:type="dxa"/>
                  <w:tcBorders>
                    <w:top w:val="single" w:color="auto" w:sz="4" w:space="0"/>
                    <w:left w:val="single" w:color="auto" w:sz="4" w:space="0"/>
                    <w:bottom w:val="single" w:color="auto" w:sz="4" w:space="0"/>
                    <w:right w:val="single" w:color="auto" w:sz="4" w:space="0"/>
                  </w:tcBorders>
                  <w:shd w:val="clear" w:color="auto" w:fill="auto"/>
                  <w:vAlign w:val="center"/>
                </w:tcPr>
                <w:p w14:paraId="49FC198A">
                  <w:pPr>
                    <w:widowControl/>
                    <w:adjustRightInd w:val="0"/>
                    <w:snapToGrid w:val="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p>
              </w:tc>
              <w:tc>
                <w:tcPr>
                  <w:tcW w:w="755" w:type="dxa"/>
                  <w:tcBorders>
                    <w:top w:val="single" w:color="auto" w:sz="4" w:space="0"/>
                    <w:left w:val="single" w:color="auto" w:sz="4" w:space="0"/>
                    <w:bottom w:val="single" w:color="auto" w:sz="4" w:space="0"/>
                    <w:right w:val="single" w:color="auto" w:sz="4" w:space="0"/>
                  </w:tcBorders>
                  <w:shd w:val="clear" w:color="auto" w:fill="auto"/>
                  <w:vAlign w:val="center"/>
                </w:tcPr>
                <w:p w14:paraId="75AFCB3B">
                  <w:pPr>
                    <w:widowControl/>
                    <w:adjustRightInd w:val="0"/>
                    <w:snapToGrid w:val="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p>
              </w:tc>
              <w:tc>
                <w:tcPr>
                  <w:tcW w:w="629" w:type="dxa"/>
                  <w:tcBorders>
                    <w:top w:val="single" w:color="auto" w:sz="4" w:space="0"/>
                    <w:left w:val="single" w:color="auto" w:sz="4" w:space="0"/>
                    <w:bottom w:val="single" w:color="auto" w:sz="4" w:space="0"/>
                    <w:right w:val="single" w:color="auto" w:sz="4" w:space="0"/>
                  </w:tcBorders>
                  <w:vAlign w:val="center"/>
                </w:tcPr>
                <w:p w14:paraId="339C2C58">
                  <w:pPr>
                    <w:widowControl/>
                    <w:jc w:val="center"/>
                    <w:rPr>
                      <w:rFonts w:hint="eastAsia" w:eastAsia="宋体"/>
                      <w:color w:val="auto"/>
                      <w:szCs w:val="21"/>
                      <w:lang w:eastAsia="zh-CN"/>
                    </w:rPr>
                  </w:pPr>
                  <w:r>
                    <w:rPr>
                      <w:rFonts w:hint="eastAsia"/>
                      <w:color w:val="auto"/>
                      <w:szCs w:val="21"/>
                      <w:lang w:val="en-US" w:eastAsia="zh-CN"/>
                    </w:rPr>
                    <w:t>/</w:t>
                  </w:r>
                </w:p>
              </w:tc>
              <w:tc>
                <w:tcPr>
                  <w:tcW w:w="865" w:type="dxa"/>
                  <w:tcBorders>
                    <w:top w:val="single" w:color="auto" w:sz="4" w:space="0"/>
                    <w:left w:val="single" w:color="auto" w:sz="4" w:space="0"/>
                    <w:bottom w:val="single" w:color="auto" w:sz="4" w:space="0"/>
                    <w:right w:val="single" w:color="auto" w:sz="4" w:space="0"/>
                  </w:tcBorders>
                  <w:vAlign w:val="center"/>
                </w:tcPr>
                <w:p w14:paraId="05A7CB3C">
                  <w:pPr>
                    <w:widowControl/>
                    <w:jc w:val="center"/>
                    <w:rPr>
                      <w:rFonts w:hint="default" w:eastAsia="宋体"/>
                      <w:color w:val="auto"/>
                      <w:szCs w:val="21"/>
                      <w:lang w:val="en-US" w:eastAsia="zh-CN"/>
                    </w:rPr>
                  </w:pPr>
                  <w:r>
                    <w:rPr>
                      <w:rFonts w:hint="eastAsia"/>
                      <w:color w:val="auto"/>
                      <w:szCs w:val="21"/>
                      <w:lang w:val="en-US" w:eastAsia="zh-CN"/>
                    </w:rPr>
                    <w:t>/</w:t>
                  </w:r>
                </w:p>
              </w:tc>
              <w:tc>
                <w:tcPr>
                  <w:tcW w:w="1062" w:type="dxa"/>
                  <w:tcBorders>
                    <w:top w:val="single" w:color="auto" w:sz="4" w:space="0"/>
                    <w:left w:val="single" w:color="auto" w:sz="4" w:space="0"/>
                    <w:bottom w:val="single" w:color="auto" w:sz="4" w:space="0"/>
                    <w:right w:val="single" w:color="auto" w:sz="4" w:space="0"/>
                  </w:tcBorders>
                  <w:vAlign w:val="center"/>
                </w:tcPr>
                <w:p w14:paraId="003B7AC3">
                  <w:pPr>
                    <w:widowControl/>
                    <w:jc w:val="center"/>
                    <w:rPr>
                      <w:rFonts w:hint="default" w:eastAsia="宋体"/>
                      <w:color w:val="auto"/>
                      <w:szCs w:val="21"/>
                      <w:lang w:val="en-US" w:eastAsia="zh-CN"/>
                    </w:rPr>
                  </w:pPr>
                  <w:r>
                    <w:rPr>
                      <w:rFonts w:hint="eastAsia"/>
                      <w:color w:val="auto"/>
                      <w:szCs w:val="21"/>
                      <w:lang w:val="en-US" w:eastAsia="zh-CN"/>
                    </w:rPr>
                    <w:t>/</w:t>
                  </w:r>
                </w:p>
              </w:tc>
              <w:tc>
                <w:tcPr>
                  <w:tcW w:w="2071" w:type="dxa"/>
                  <w:tcBorders>
                    <w:top w:val="single" w:color="auto" w:sz="4" w:space="0"/>
                    <w:left w:val="single" w:color="auto" w:sz="4" w:space="0"/>
                    <w:bottom w:val="single" w:color="auto" w:sz="4" w:space="0"/>
                    <w:right w:val="single" w:color="auto" w:sz="4" w:space="0"/>
                  </w:tcBorders>
                  <w:vAlign w:val="center"/>
                </w:tcPr>
                <w:p w14:paraId="0360271D">
                  <w:pPr>
                    <w:widowControl/>
                    <w:jc w:val="center"/>
                    <w:rPr>
                      <w:rFonts w:hint="eastAsia"/>
                      <w:color w:val="auto"/>
                      <w:szCs w:val="21"/>
                      <w:lang w:val="en-US" w:eastAsia="zh-CN"/>
                    </w:rPr>
                  </w:pPr>
                  <w:r>
                    <w:rPr>
                      <w:rFonts w:hint="eastAsia"/>
                      <w:color w:val="auto"/>
                      <w:szCs w:val="21"/>
                      <w:lang w:val="en-US" w:eastAsia="zh-CN"/>
                    </w:rPr>
                    <w:t>《环境空气质量标准》GB3095-2012中的二级标准及修改清单</w:t>
                  </w:r>
                </w:p>
              </w:tc>
            </w:tr>
            <w:tr w14:paraId="4FC75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14" w:type="dxa"/>
                  <w:tcBorders>
                    <w:top w:val="single" w:color="auto" w:sz="4" w:space="0"/>
                    <w:left w:val="single" w:color="auto" w:sz="4" w:space="0"/>
                    <w:bottom w:val="single" w:color="auto" w:sz="4" w:space="0"/>
                    <w:right w:val="single" w:color="auto" w:sz="4" w:space="0"/>
                  </w:tcBorders>
                  <w:vAlign w:val="center"/>
                </w:tcPr>
                <w:p w14:paraId="0C830506">
                  <w:pPr>
                    <w:widowControl/>
                    <w:jc w:val="center"/>
                    <w:rPr>
                      <w:rFonts w:hint="eastAsia" w:eastAsia="宋体"/>
                      <w:color w:val="auto"/>
                      <w:szCs w:val="21"/>
                      <w:lang w:val="en-US" w:eastAsia="zh-CN"/>
                    </w:rPr>
                  </w:pPr>
                  <w:r>
                    <w:rPr>
                      <w:rFonts w:hint="eastAsia"/>
                      <w:color w:val="auto"/>
                      <w:szCs w:val="21"/>
                      <w:lang w:val="en-US" w:eastAsia="zh-CN"/>
                    </w:rPr>
                    <w:t>声环境</w:t>
                  </w:r>
                </w:p>
              </w:tc>
              <w:tc>
                <w:tcPr>
                  <w:tcW w:w="1309" w:type="dxa"/>
                  <w:tcBorders>
                    <w:top w:val="single" w:color="auto" w:sz="4" w:space="0"/>
                    <w:left w:val="single" w:color="auto" w:sz="4" w:space="0"/>
                    <w:bottom w:val="single" w:color="auto" w:sz="4" w:space="0"/>
                    <w:right w:val="single" w:color="auto" w:sz="4" w:space="0"/>
                  </w:tcBorders>
                  <w:vAlign w:val="center"/>
                </w:tcPr>
                <w:p w14:paraId="24C9F345">
                  <w:pPr>
                    <w:widowControl/>
                    <w:jc w:val="center"/>
                    <w:rPr>
                      <w:rFonts w:hint="eastAsia"/>
                      <w:color w:val="auto"/>
                      <w:szCs w:val="21"/>
                      <w:lang w:val="en-US" w:eastAsia="zh-CN"/>
                    </w:rPr>
                  </w:pPr>
                  <w:r>
                    <w:rPr>
                      <w:rFonts w:hint="eastAsia"/>
                      <w:color w:val="auto"/>
                      <w:szCs w:val="21"/>
                      <w:lang w:val="en-US" w:eastAsia="zh-CN"/>
                    </w:rPr>
                    <w:t>厂界</w:t>
                  </w:r>
                </w:p>
              </w:tc>
              <w:tc>
                <w:tcPr>
                  <w:tcW w:w="688" w:type="dxa"/>
                  <w:tcBorders>
                    <w:top w:val="single" w:color="auto" w:sz="4" w:space="0"/>
                    <w:left w:val="single" w:color="auto" w:sz="4" w:space="0"/>
                    <w:bottom w:val="single" w:color="auto" w:sz="4" w:space="0"/>
                    <w:right w:val="single" w:color="auto" w:sz="4" w:space="0"/>
                  </w:tcBorders>
                  <w:shd w:val="clear" w:color="auto" w:fill="auto"/>
                  <w:vAlign w:val="center"/>
                </w:tcPr>
                <w:p w14:paraId="26D90370">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w:t>
                  </w:r>
                </w:p>
              </w:tc>
              <w:tc>
                <w:tcPr>
                  <w:tcW w:w="755" w:type="dxa"/>
                  <w:tcBorders>
                    <w:top w:val="single" w:color="auto" w:sz="4" w:space="0"/>
                    <w:left w:val="single" w:color="auto" w:sz="4" w:space="0"/>
                    <w:bottom w:val="single" w:color="auto" w:sz="4" w:space="0"/>
                    <w:right w:val="single" w:color="auto" w:sz="4" w:space="0"/>
                  </w:tcBorders>
                  <w:shd w:val="clear" w:color="auto" w:fill="auto"/>
                  <w:vAlign w:val="center"/>
                </w:tcPr>
                <w:p w14:paraId="5F8AE776">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w:t>
                  </w:r>
                </w:p>
              </w:tc>
              <w:tc>
                <w:tcPr>
                  <w:tcW w:w="629" w:type="dxa"/>
                  <w:tcBorders>
                    <w:top w:val="single" w:color="auto" w:sz="4" w:space="0"/>
                    <w:left w:val="single" w:color="auto" w:sz="4" w:space="0"/>
                    <w:bottom w:val="single" w:color="auto" w:sz="4" w:space="0"/>
                    <w:right w:val="single" w:color="auto" w:sz="4" w:space="0"/>
                  </w:tcBorders>
                  <w:vAlign w:val="center"/>
                </w:tcPr>
                <w:p w14:paraId="3D4E9F67">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w:t>
                  </w:r>
                </w:p>
              </w:tc>
              <w:tc>
                <w:tcPr>
                  <w:tcW w:w="865" w:type="dxa"/>
                  <w:tcBorders>
                    <w:top w:val="single" w:color="auto" w:sz="4" w:space="0"/>
                    <w:left w:val="single" w:color="auto" w:sz="4" w:space="0"/>
                    <w:bottom w:val="single" w:color="auto" w:sz="4" w:space="0"/>
                    <w:right w:val="single" w:color="auto" w:sz="4" w:space="0"/>
                  </w:tcBorders>
                  <w:vAlign w:val="center"/>
                </w:tcPr>
                <w:p w14:paraId="111E8E16">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w:t>
                  </w:r>
                </w:p>
              </w:tc>
              <w:tc>
                <w:tcPr>
                  <w:tcW w:w="1062" w:type="dxa"/>
                  <w:tcBorders>
                    <w:top w:val="single" w:color="auto" w:sz="4" w:space="0"/>
                    <w:left w:val="single" w:color="auto" w:sz="4" w:space="0"/>
                    <w:bottom w:val="single" w:color="auto" w:sz="4" w:space="0"/>
                    <w:right w:val="single" w:color="auto" w:sz="4" w:space="0"/>
                  </w:tcBorders>
                  <w:vAlign w:val="center"/>
                </w:tcPr>
                <w:p w14:paraId="1CD3D9E5">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w:t>
                  </w:r>
                </w:p>
              </w:tc>
              <w:tc>
                <w:tcPr>
                  <w:tcW w:w="2071" w:type="dxa"/>
                  <w:tcBorders>
                    <w:top w:val="single" w:color="auto" w:sz="4" w:space="0"/>
                    <w:left w:val="single" w:color="auto" w:sz="4" w:space="0"/>
                    <w:bottom w:val="single" w:color="auto" w:sz="4" w:space="0"/>
                    <w:right w:val="single" w:color="auto" w:sz="4" w:space="0"/>
                  </w:tcBorders>
                  <w:vAlign w:val="center"/>
                </w:tcPr>
                <w:p w14:paraId="68980B0B">
                  <w:pPr>
                    <w:widowControl/>
                    <w:jc w:val="center"/>
                    <w:rPr>
                      <w:rFonts w:hint="eastAsia"/>
                      <w:color w:val="auto"/>
                      <w:szCs w:val="21"/>
                      <w:lang w:val="en-US" w:eastAsia="zh-CN"/>
                    </w:rPr>
                  </w:pPr>
                  <w:r>
                    <w:rPr>
                      <w:rFonts w:hint="eastAsia"/>
                      <w:color w:val="auto"/>
                      <w:szCs w:val="21"/>
                      <w:lang w:val="en-US" w:eastAsia="zh-CN"/>
                    </w:rPr>
                    <w:t>《声环境质量标准》（GB3096-2008）中2类标准</w:t>
                  </w:r>
                </w:p>
              </w:tc>
            </w:tr>
            <w:tr w14:paraId="3C705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14" w:type="dxa"/>
                  <w:vMerge w:val="restart"/>
                  <w:tcBorders>
                    <w:top w:val="single" w:color="auto" w:sz="4" w:space="0"/>
                    <w:left w:val="single" w:color="auto" w:sz="4" w:space="0"/>
                    <w:right w:val="single" w:color="auto" w:sz="4" w:space="0"/>
                  </w:tcBorders>
                  <w:vAlign w:val="center"/>
                </w:tcPr>
                <w:p w14:paraId="7B4FD647">
                  <w:pPr>
                    <w:widowControl/>
                    <w:adjustRightInd w:val="0"/>
                    <w:snapToGrid w:val="0"/>
                    <w:jc w:val="center"/>
                    <w:textAlignment w:val="center"/>
                    <w:rPr>
                      <w:rFonts w:hint="default"/>
                      <w:color w:val="auto"/>
                      <w:szCs w:val="21"/>
                      <w:lang w:val="en-US" w:eastAsia="zh-CN"/>
                    </w:rPr>
                  </w:pPr>
                  <w:r>
                    <w:rPr>
                      <w:rFonts w:hint="eastAsia"/>
                      <w:color w:val="auto"/>
                      <w:szCs w:val="21"/>
                      <w:lang w:val="en-US" w:eastAsia="zh-CN"/>
                    </w:rPr>
                    <w:t>生态环境</w:t>
                  </w:r>
                </w:p>
              </w:tc>
              <w:tc>
                <w:tcPr>
                  <w:tcW w:w="1309" w:type="dxa"/>
                  <w:tcBorders>
                    <w:top w:val="single" w:color="auto" w:sz="4" w:space="0"/>
                    <w:left w:val="single" w:color="auto" w:sz="4" w:space="0"/>
                    <w:bottom w:val="single" w:color="auto" w:sz="4" w:space="0"/>
                    <w:right w:val="single" w:color="auto" w:sz="4" w:space="0"/>
                  </w:tcBorders>
                  <w:vAlign w:val="center"/>
                </w:tcPr>
                <w:p w14:paraId="30A27CB9">
                  <w:pPr>
                    <w:widowControl/>
                    <w:adjustRightInd w:val="0"/>
                    <w:snapToGrid w:val="0"/>
                    <w:jc w:val="center"/>
                    <w:textAlignment w:val="center"/>
                    <w:rPr>
                      <w:rFonts w:hint="default"/>
                      <w:color w:val="auto"/>
                      <w:szCs w:val="21"/>
                      <w:lang w:val="en-US" w:eastAsia="zh-CN"/>
                    </w:rPr>
                  </w:pPr>
                  <w:r>
                    <w:rPr>
                      <w:rFonts w:hint="eastAsia"/>
                      <w:color w:val="auto"/>
                      <w:szCs w:val="21"/>
                      <w:lang w:val="en-US" w:eastAsia="zh-CN"/>
                    </w:rPr>
                    <w:t>长江</w:t>
                  </w:r>
                </w:p>
              </w:tc>
              <w:tc>
                <w:tcPr>
                  <w:tcW w:w="688" w:type="dxa"/>
                  <w:tcBorders>
                    <w:top w:val="single" w:color="auto" w:sz="4" w:space="0"/>
                    <w:left w:val="single" w:color="auto" w:sz="4" w:space="0"/>
                    <w:bottom w:val="single" w:color="auto" w:sz="4" w:space="0"/>
                    <w:right w:val="single" w:color="auto" w:sz="4" w:space="0"/>
                  </w:tcBorders>
                  <w:shd w:val="clear" w:color="auto" w:fill="auto"/>
                  <w:vAlign w:val="center"/>
                </w:tcPr>
                <w:p w14:paraId="1624BB26">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w:t>
                  </w:r>
                </w:p>
              </w:tc>
              <w:tc>
                <w:tcPr>
                  <w:tcW w:w="755" w:type="dxa"/>
                  <w:tcBorders>
                    <w:top w:val="single" w:color="auto" w:sz="4" w:space="0"/>
                    <w:left w:val="single" w:color="auto" w:sz="4" w:space="0"/>
                    <w:bottom w:val="single" w:color="auto" w:sz="4" w:space="0"/>
                    <w:right w:val="single" w:color="auto" w:sz="4" w:space="0"/>
                  </w:tcBorders>
                  <w:shd w:val="clear" w:color="auto" w:fill="auto"/>
                  <w:vAlign w:val="center"/>
                </w:tcPr>
                <w:p w14:paraId="560B5A9F">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w:t>
                  </w:r>
                </w:p>
              </w:tc>
              <w:tc>
                <w:tcPr>
                  <w:tcW w:w="629" w:type="dxa"/>
                  <w:tcBorders>
                    <w:top w:val="single" w:color="auto" w:sz="4" w:space="0"/>
                    <w:left w:val="single" w:color="auto" w:sz="4" w:space="0"/>
                    <w:bottom w:val="single" w:color="auto" w:sz="4" w:space="0"/>
                    <w:right w:val="single" w:color="auto" w:sz="4" w:space="0"/>
                  </w:tcBorders>
                  <w:vAlign w:val="center"/>
                </w:tcPr>
                <w:p w14:paraId="6126BF4B">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w:t>
                  </w:r>
                </w:p>
              </w:tc>
              <w:tc>
                <w:tcPr>
                  <w:tcW w:w="865" w:type="dxa"/>
                  <w:tcBorders>
                    <w:top w:val="single" w:color="auto" w:sz="4" w:space="0"/>
                    <w:left w:val="single" w:color="auto" w:sz="4" w:space="0"/>
                    <w:bottom w:val="single" w:color="auto" w:sz="4" w:space="0"/>
                    <w:right w:val="single" w:color="auto" w:sz="4" w:space="0"/>
                  </w:tcBorders>
                  <w:vAlign w:val="center"/>
                </w:tcPr>
                <w:p w14:paraId="4CE96142">
                  <w:pPr>
                    <w:widowControl/>
                    <w:adjustRightInd w:val="0"/>
                    <w:snapToGrid w:val="0"/>
                    <w:jc w:val="center"/>
                    <w:textAlignment w:val="center"/>
                    <w:rPr>
                      <w:rFonts w:hint="default"/>
                      <w:color w:val="auto"/>
                      <w:szCs w:val="21"/>
                      <w:lang w:val="en-US" w:eastAsia="zh-CN"/>
                    </w:rPr>
                  </w:pPr>
                  <w:r>
                    <w:rPr>
                      <w:rFonts w:hint="eastAsia"/>
                      <w:color w:val="auto"/>
                      <w:szCs w:val="21"/>
                      <w:lang w:val="en-US" w:eastAsia="zh-CN"/>
                    </w:rPr>
                    <w:t>1643</w:t>
                  </w:r>
                </w:p>
              </w:tc>
              <w:tc>
                <w:tcPr>
                  <w:tcW w:w="1062" w:type="dxa"/>
                  <w:tcBorders>
                    <w:top w:val="single" w:color="auto" w:sz="4" w:space="0"/>
                    <w:left w:val="single" w:color="auto" w:sz="4" w:space="0"/>
                    <w:bottom w:val="single" w:color="auto" w:sz="4" w:space="0"/>
                    <w:right w:val="single" w:color="auto" w:sz="4" w:space="0"/>
                  </w:tcBorders>
                  <w:vAlign w:val="center"/>
                </w:tcPr>
                <w:p w14:paraId="048FFC4B">
                  <w:pPr>
                    <w:widowControl/>
                    <w:adjustRightInd w:val="0"/>
                    <w:snapToGrid w:val="0"/>
                    <w:jc w:val="center"/>
                    <w:textAlignment w:val="center"/>
                    <w:rPr>
                      <w:rFonts w:hint="default"/>
                      <w:color w:val="auto"/>
                      <w:szCs w:val="21"/>
                      <w:lang w:val="en-US" w:eastAsia="zh-CN"/>
                    </w:rPr>
                  </w:pPr>
                  <w:r>
                    <w:rPr>
                      <w:rFonts w:hint="eastAsia"/>
                      <w:color w:val="auto"/>
                      <w:szCs w:val="21"/>
                      <w:lang w:val="en-US" w:eastAsia="zh-CN"/>
                    </w:rPr>
                    <w:t>大型</w:t>
                  </w:r>
                </w:p>
              </w:tc>
              <w:tc>
                <w:tcPr>
                  <w:tcW w:w="2071" w:type="dxa"/>
                  <w:tcBorders>
                    <w:top w:val="single" w:color="auto" w:sz="4" w:space="0"/>
                    <w:left w:val="single" w:color="auto" w:sz="4" w:space="0"/>
                    <w:bottom w:val="single" w:color="auto" w:sz="4" w:space="0"/>
                    <w:right w:val="single" w:color="auto" w:sz="4" w:space="0"/>
                  </w:tcBorders>
                  <w:vAlign w:val="center"/>
                </w:tcPr>
                <w:p w14:paraId="5646D62C">
                  <w:pPr>
                    <w:widowControl/>
                    <w:jc w:val="center"/>
                    <w:rPr>
                      <w:rFonts w:hint="eastAsia"/>
                      <w:color w:val="auto"/>
                      <w:szCs w:val="21"/>
                      <w:lang w:val="en-US" w:eastAsia="zh-CN"/>
                    </w:rPr>
                  </w:pPr>
                  <w:r>
                    <w:rPr>
                      <w:rFonts w:hint="eastAsia"/>
                      <w:color w:val="auto"/>
                      <w:szCs w:val="21"/>
                      <w:lang w:val="en-US" w:eastAsia="zh-CN"/>
                    </w:rPr>
                    <w:t>《地表水环境质量标准》（GB 3838-2002）Ⅲ类</w:t>
                  </w:r>
                </w:p>
              </w:tc>
            </w:tr>
            <w:tr w14:paraId="0C5B3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14" w:type="dxa"/>
                  <w:vMerge w:val="continue"/>
                  <w:tcBorders>
                    <w:left w:val="single" w:color="auto" w:sz="4" w:space="0"/>
                    <w:right w:val="single" w:color="auto" w:sz="4" w:space="0"/>
                  </w:tcBorders>
                  <w:vAlign w:val="center"/>
                </w:tcPr>
                <w:p w14:paraId="51F6A8C6">
                  <w:pPr>
                    <w:widowControl/>
                    <w:adjustRightInd w:val="0"/>
                    <w:snapToGrid w:val="0"/>
                    <w:jc w:val="center"/>
                    <w:textAlignment w:val="center"/>
                    <w:rPr>
                      <w:rFonts w:hint="eastAsia"/>
                      <w:color w:val="auto"/>
                      <w:szCs w:val="21"/>
                      <w:lang w:val="en-US" w:eastAsia="zh-CN"/>
                    </w:rPr>
                  </w:pPr>
                </w:p>
              </w:tc>
              <w:tc>
                <w:tcPr>
                  <w:tcW w:w="1309" w:type="dxa"/>
                  <w:tcBorders>
                    <w:top w:val="single" w:color="auto" w:sz="4" w:space="0"/>
                    <w:left w:val="single" w:color="auto" w:sz="4" w:space="0"/>
                    <w:bottom w:val="single" w:color="auto" w:sz="4" w:space="0"/>
                    <w:right w:val="single" w:color="auto" w:sz="4" w:space="0"/>
                  </w:tcBorders>
                  <w:vAlign w:val="center"/>
                </w:tcPr>
                <w:p w14:paraId="52869AE8">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香隅河</w:t>
                  </w:r>
                </w:p>
              </w:tc>
              <w:tc>
                <w:tcPr>
                  <w:tcW w:w="688" w:type="dxa"/>
                  <w:tcBorders>
                    <w:top w:val="single" w:color="auto" w:sz="4" w:space="0"/>
                    <w:left w:val="single" w:color="auto" w:sz="4" w:space="0"/>
                    <w:bottom w:val="single" w:color="auto" w:sz="4" w:space="0"/>
                    <w:right w:val="single" w:color="auto" w:sz="4" w:space="0"/>
                  </w:tcBorders>
                  <w:shd w:val="clear" w:color="auto" w:fill="auto"/>
                  <w:vAlign w:val="center"/>
                </w:tcPr>
                <w:p w14:paraId="57A918B3">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w:t>
                  </w:r>
                </w:p>
              </w:tc>
              <w:tc>
                <w:tcPr>
                  <w:tcW w:w="755" w:type="dxa"/>
                  <w:tcBorders>
                    <w:top w:val="single" w:color="auto" w:sz="4" w:space="0"/>
                    <w:left w:val="single" w:color="auto" w:sz="4" w:space="0"/>
                    <w:bottom w:val="single" w:color="auto" w:sz="4" w:space="0"/>
                    <w:right w:val="single" w:color="auto" w:sz="4" w:space="0"/>
                  </w:tcBorders>
                  <w:shd w:val="clear" w:color="auto" w:fill="auto"/>
                  <w:vAlign w:val="center"/>
                </w:tcPr>
                <w:p w14:paraId="469A7B20">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w:t>
                  </w:r>
                </w:p>
              </w:tc>
              <w:tc>
                <w:tcPr>
                  <w:tcW w:w="629" w:type="dxa"/>
                  <w:tcBorders>
                    <w:top w:val="single" w:color="auto" w:sz="4" w:space="0"/>
                    <w:left w:val="single" w:color="auto" w:sz="4" w:space="0"/>
                    <w:bottom w:val="single" w:color="auto" w:sz="4" w:space="0"/>
                    <w:right w:val="single" w:color="auto" w:sz="4" w:space="0"/>
                  </w:tcBorders>
                  <w:vAlign w:val="center"/>
                </w:tcPr>
                <w:p w14:paraId="60E6B739">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w:t>
                  </w:r>
                </w:p>
              </w:tc>
              <w:tc>
                <w:tcPr>
                  <w:tcW w:w="865" w:type="dxa"/>
                  <w:tcBorders>
                    <w:top w:val="single" w:color="auto" w:sz="4" w:space="0"/>
                    <w:left w:val="single" w:color="auto" w:sz="4" w:space="0"/>
                    <w:bottom w:val="single" w:color="auto" w:sz="4" w:space="0"/>
                    <w:right w:val="single" w:color="auto" w:sz="4" w:space="0"/>
                  </w:tcBorders>
                  <w:vAlign w:val="center"/>
                </w:tcPr>
                <w:p w14:paraId="74BEB1EE">
                  <w:pPr>
                    <w:widowControl/>
                    <w:adjustRightInd w:val="0"/>
                    <w:snapToGrid w:val="0"/>
                    <w:jc w:val="center"/>
                    <w:textAlignment w:val="center"/>
                    <w:rPr>
                      <w:rFonts w:hint="default"/>
                      <w:color w:val="auto"/>
                      <w:szCs w:val="21"/>
                      <w:lang w:val="en-US" w:eastAsia="zh-CN"/>
                    </w:rPr>
                  </w:pPr>
                  <w:r>
                    <w:rPr>
                      <w:rFonts w:hint="eastAsia"/>
                      <w:color w:val="auto"/>
                      <w:szCs w:val="21"/>
                      <w:lang w:val="en-US" w:eastAsia="zh-CN"/>
                    </w:rPr>
                    <w:t>5663</w:t>
                  </w:r>
                </w:p>
              </w:tc>
              <w:tc>
                <w:tcPr>
                  <w:tcW w:w="1062" w:type="dxa"/>
                  <w:tcBorders>
                    <w:top w:val="single" w:color="auto" w:sz="4" w:space="0"/>
                    <w:left w:val="single" w:color="auto" w:sz="4" w:space="0"/>
                    <w:bottom w:val="single" w:color="auto" w:sz="4" w:space="0"/>
                    <w:right w:val="single" w:color="auto" w:sz="4" w:space="0"/>
                  </w:tcBorders>
                  <w:vAlign w:val="center"/>
                </w:tcPr>
                <w:p w14:paraId="6D3A1444">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小型</w:t>
                  </w:r>
                </w:p>
              </w:tc>
              <w:tc>
                <w:tcPr>
                  <w:tcW w:w="2071" w:type="dxa"/>
                  <w:vMerge w:val="restart"/>
                  <w:tcBorders>
                    <w:top w:val="single" w:color="auto" w:sz="4" w:space="0"/>
                    <w:left w:val="single" w:color="auto" w:sz="4" w:space="0"/>
                    <w:right w:val="single" w:color="auto" w:sz="4" w:space="0"/>
                  </w:tcBorders>
                  <w:vAlign w:val="center"/>
                </w:tcPr>
                <w:p w14:paraId="328A5739">
                  <w:pPr>
                    <w:widowControl/>
                    <w:jc w:val="center"/>
                    <w:rPr>
                      <w:rFonts w:hint="eastAsia"/>
                      <w:color w:val="auto"/>
                      <w:szCs w:val="21"/>
                      <w:lang w:val="en-US" w:eastAsia="zh-CN"/>
                    </w:rPr>
                  </w:pPr>
                  <w:r>
                    <w:rPr>
                      <w:rFonts w:hint="eastAsia"/>
                      <w:color w:val="auto"/>
                      <w:szCs w:val="21"/>
                      <w:lang w:val="en-US" w:eastAsia="zh-CN"/>
                    </w:rPr>
                    <w:t>《地表水环境质量标准》（GB 3838-2002）IV类</w:t>
                  </w:r>
                </w:p>
              </w:tc>
            </w:tr>
            <w:tr w14:paraId="53151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14" w:type="dxa"/>
                  <w:vMerge w:val="continue"/>
                  <w:tcBorders>
                    <w:left w:val="single" w:color="auto" w:sz="4" w:space="0"/>
                    <w:right w:val="single" w:color="auto" w:sz="4" w:space="0"/>
                  </w:tcBorders>
                  <w:vAlign w:val="center"/>
                </w:tcPr>
                <w:p w14:paraId="156F9661">
                  <w:pPr>
                    <w:widowControl/>
                    <w:adjustRightInd w:val="0"/>
                    <w:snapToGrid w:val="0"/>
                    <w:jc w:val="center"/>
                    <w:textAlignment w:val="center"/>
                    <w:rPr>
                      <w:rFonts w:hint="eastAsia"/>
                      <w:color w:val="auto"/>
                      <w:szCs w:val="21"/>
                      <w:lang w:val="en-US" w:eastAsia="zh-CN"/>
                    </w:rPr>
                  </w:pPr>
                </w:p>
              </w:tc>
              <w:tc>
                <w:tcPr>
                  <w:tcW w:w="1309" w:type="dxa"/>
                  <w:tcBorders>
                    <w:top w:val="single" w:color="auto" w:sz="4" w:space="0"/>
                    <w:left w:val="single" w:color="auto" w:sz="4" w:space="0"/>
                    <w:bottom w:val="single" w:color="auto" w:sz="4" w:space="0"/>
                    <w:right w:val="single" w:color="auto" w:sz="4" w:space="0"/>
                  </w:tcBorders>
                  <w:vAlign w:val="center"/>
                </w:tcPr>
                <w:p w14:paraId="3ACEFA76">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浪溪水</w:t>
                  </w:r>
                </w:p>
              </w:tc>
              <w:tc>
                <w:tcPr>
                  <w:tcW w:w="688" w:type="dxa"/>
                  <w:tcBorders>
                    <w:top w:val="single" w:color="auto" w:sz="4" w:space="0"/>
                    <w:left w:val="single" w:color="auto" w:sz="4" w:space="0"/>
                    <w:bottom w:val="single" w:color="auto" w:sz="4" w:space="0"/>
                    <w:right w:val="single" w:color="auto" w:sz="4" w:space="0"/>
                  </w:tcBorders>
                  <w:shd w:val="clear" w:color="auto" w:fill="auto"/>
                  <w:vAlign w:val="center"/>
                </w:tcPr>
                <w:p w14:paraId="764FC4A4">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w:t>
                  </w:r>
                </w:p>
              </w:tc>
              <w:tc>
                <w:tcPr>
                  <w:tcW w:w="755" w:type="dxa"/>
                  <w:tcBorders>
                    <w:top w:val="single" w:color="auto" w:sz="4" w:space="0"/>
                    <w:left w:val="single" w:color="auto" w:sz="4" w:space="0"/>
                    <w:bottom w:val="single" w:color="auto" w:sz="4" w:space="0"/>
                    <w:right w:val="single" w:color="auto" w:sz="4" w:space="0"/>
                  </w:tcBorders>
                  <w:shd w:val="clear" w:color="auto" w:fill="auto"/>
                  <w:vAlign w:val="center"/>
                </w:tcPr>
                <w:p w14:paraId="7BEFE311">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w:t>
                  </w:r>
                </w:p>
              </w:tc>
              <w:tc>
                <w:tcPr>
                  <w:tcW w:w="629" w:type="dxa"/>
                  <w:tcBorders>
                    <w:top w:val="single" w:color="auto" w:sz="4" w:space="0"/>
                    <w:left w:val="single" w:color="auto" w:sz="4" w:space="0"/>
                    <w:bottom w:val="single" w:color="auto" w:sz="4" w:space="0"/>
                    <w:right w:val="single" w:color="auto" w:sz="4" w:space="0"/>
                  </w:tcBorders>
                  <w:vAlign w:val="center"/>
                </w:tcPr>
                <w:p w14:paraId="7F48ED79">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w:t>
                  </w:r>
                </w:p>
              </w:tc>
              <w:tc>
                <w:tcPr>
                  <w:tcW w:w="865" w:type="dxa"/>
                  <w:tcBorders>
                    <w:top w:val="single" w:color="auto" w:sz="4" w:space="0"/>
                    <w:left w:val="single" w:color="auto" w:sz="4" w:space="0"/>
                    <w:bottom w:val="single" w:color="auto" w:sz="4" w:space="0"/>
                    <w:right w:val="single" w:color="auto" w:sz="4" w:space="0"/>
                  </w:tcBorders>
                  <w:vAlign w:val="center"/>
                </w:tcPr>
                <w:p w14:paraId="291519F8">
                  <w:pPr>
                    <w:widowControl/>
                    <w:adjustRightInd w:val="0"/>
                    <w:snapToGrid w:val="0"/>
                    <w:jc w:val="center"/>
                    <w:textAlignment w:val="center"/>
                    <w:rPr>
                      <w:rFonts w:hint="default"/>
                      <w:color w:val="auto"/>
                      <w:szCs w:val="21"/>
                      <w:lang w:val="en-US" w:eastAsia="zh-CN"/>
                    </w:rPr>
                  </w:pPr>
                  <w:r>
                    <w:rPr>
                      <w:rFonts w:hint="eastAsia"/>
                      <w:color w:val="auto"/>
                      <w:szCs w:val="21"/>
                      <w:lang w:val="en-US" w:eastAsia="zh-CN"/>
                    </w:rPr>
                    <w:t>4109</w:t>
                  </w:r>
                </w:p>
              </w:tc>
              <w:tc>
                <w:tcPr>
                  <w:tcW w:w="1062" w:type="dxa"/>
                  <w:tcBorders>
                    <w:top w:val="single" w:color="auto" w:sz="4" w:space="0"/>
                    <w:left w:val="single" w:color="auto" w:sz="4" w:space="0"/>
                    <w:bottom w:val="single" w:color="auto" w:sz="4" w:space="0"/>
                    <w:right w:val="single" w:color="auto" w:sz="4" w:space="0"/>
                  </w:tcBorders>
                  <w:vAlign w:val="center"/>
                </w:tcPr>
                <w:p w14:paraId="02098179">
                  <w:pPr>
                    <w:widowControl/>
                    <w:adjustRightInd w:val="0"/>
                    <w:snapToGrid w:val="0"/>
                    <w:jc w:val="center"/>
                    <w:textAlignment w:val="center"/>
                    <w:rPr>
                      <w:rFonts w:hint="eastAsia"/>
                      <w:color w:val="auto"/>
                      <w:szCs w:val="21"/>
                      <w:lang w:val="en-US" w:eastAsia="zh-CN"/>
                    </w:rPr>
                  </w:pPr>
                  <w:r>
                    <w:rPr>
                      <w:rFonts w:hint="eastAsia"/>
                      <w:color w:val="auto"/>
                      <w:szCs w:val="21"/>
                      <w:lang w:val="en-US" w:eastAsia="zh-CN"/>
                    </w:rPr>
                    <w:t>小型</w:t>
                  </w:r>
                </w:p>
              </w:tc>
              <w:tc>
                <w:tcPr>
                  <w:tcW w:w="2071" w:type="dxa"/>
                  <w:vMerge w:val="continue"/>
                  <w:tcBorders>
                    <w:left w:val="single" w:color="auto" w:sz="4" w:space="0"/>
                    <w:right w:val="single" w:color="auto" w:sz="4" w:space="0"/>
                  </w:tcBorders>
                  <w:vAlign w:val="center"/>
                </w:tcPr>
                <w:p w14:paraId="1AAFED5A">
                  <w:pPr>
                    <w:widowControl/>
                    <w:adjustRightInd w:val="0"/>
                    <w:snapToGrid w:val="0"/>
                    <w:jc w:val="center"/>
                    <w:textAlignment w:val="center"/>
                    <w:rPr>
                      <w:rFonts w:hint="eastAsia"/>
                      <w:color w:val="auto"/>
                      <w:szCs w:val="21"/>
                      <w:lang w:val="en-US" w:eastAsia="zh-CN"/>
                    </w:rPr>
                  </w:pPr>
                </w:p>
              </w:tc>
            </w:tr>
          </w:tbl>
          <w:p w14:paraId="2D4171BD">
            <w:pPr>
              <w:rPr>
                <w:color w:val="auto"/>
                <w:kern w:val="0"/>
                <w:sz w:val="24"/>
              </w:rPr>
            </w:pPr>
            <w:r>
              <w:rPr>
                <w:color w:val="auto"/>
                <w:kern w:val="0"/>
                <w:szCs w:val="21"/>
              </w:rPr>
              <w:t>注：以厂区</w:t>
            </w:r>
            <w:r>
              <w:rPr>
                <w:rFonts w:hint="eastAsia"/>
                <w:color w:val="auto"/>
                <w:kern w:val="0"/>
                <w:szCs w:val="21"/>
              </w:rPr>
              <w:t>西</w:t>
            </w:r>
            <w:r>
              <w:rPr>
                <w:color w:val="auto"/>
                <w:kern w:val="0"/>
                <w:szCs w:val="21"/>
              </w:rPr>
              <w:t>南角为坐标原点</w:t>
            </w:r>
          </w:p>
        </w:tc>
      </w:tr>
      <w:tr w14:paraId="10BC79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736" w:type="dxa"/>
            <w:tcMar>
              <w:left w:w="28" w:type="dxa"/>
              <w:right w:w="28" w:type="dxa"/>
            </w:tcMar>
            <w:vAlign w:val="center"/>
          </w:tcPr>
          <w:p w14:paraId="1F05B9B9">
            <w:pPr>
              <w:adjustRightInd w:val="0"/>
              <w:snapToGrid w:val="0"/>
              <w:jc w:val="center"/>
              <w:rPr>
                <w:color w:val="auto"/>
                <w:kern w:val="0"/>
                <w:sz w:val="24"/>
              </w:rPr>
            </w:pPr>
            <w:r>
              <w:rPr>
                <w:color w:val="auto"/>
                <w:kern w:val="0"/>
                <w:sz w:val="24"/>
              </w:rPr>
              <w:t>污染</w:t>
            </w:r>
          </w:p>
          <w:p w14:paraId="43E93F27">
            <w:pPr>
              <w:adjustRightInd w:val="0"/>
              <w:snapToGrid w:val="0"/>
              <w:jc w:val="center"/>
              <w:rPr>
                <w:color w:val="auto"/>
                <w:kern w:val="0"/>
                <w:sz w:val="24"/>
              </w:rPr>
            </w:pPr>
            <w:r>
              <w:rPr>
                <w:color w:val="auto"/>
                <w:kern w:val="0"/>
                <w:sz w:val="24"/>
              </w:rPr>
              <w:t>物排</w:t>
            </w:r>
          </w:p>
          <w:p w14:paraId="5311A3AD">
            <w:pPr>
              <w:adjustRightInd w:val="0"/>
              <w:snapToGrid w:val="0"/>
              <w:jc w:val="center"/>
              <w:rPr>
                <w:color w:val="auto"/>
                <w:kern w:val="0"/>
                <w:sz w:val="24"/>
              </w:rPr>
            </w:pPr>
            <w:r>
              <w:rPr>
                <w:color w:val="auto"/>
                <w:kern w:val="0"/>
                <w:sz w:val="24"/>
              </w:rPr>
              <w:t>放控</w:t>
            </w:r>
          </w:p>
          <w:p w14:paraId="02E6DD4F">
            <w:pPr>
              <w:adjustRightInd w:val="0"/>
              <w:snapToGrid w:val="0"/>
              <w:jc w:val="center"/>
              <w:rPr>
                <w:color w:val="auto"/>
                <w:kern w:val="0"/>
                <w:sz w:val="24"/>
              </w:rPr>
            </w:pPr>
            <w:r>
              <w:rPr>
                <w:color w:val="auto"/>
                <w:kern w:val="0"/>
                <w:sz w:val="24"/>
              </w:rPr>
              <w:t>制标</w:t>
            </w:r>
          </w:p>
          <w:p w14:paraId="4551BAB1">
            <w:pPr>
              <w:adjustRightInd w:val="0"/>
              <w:snapToGrid w:val="0"/>
              <w:jc w:val="center"/>
              <w:rPr>
                <w:color w:val="auto"/>
                <w:kern w:val="0"/>
                <w:sz w:val="24"/>
              </w:rPr>
            </w:pPr>
            <w:r>
              <w:rPr>
                <w:color w:val="auto"/>
                <w:kern w:val="0"/>
                <w:sz w:val="24"/>
              </w:rPr>
              <w:t>准</w:t>
            </w:r>
          </w:p>
        </w:tc>
        <w:tc>
          <w:tcPr>
            <w:tcW w:w="8325" w:type="dxa"/>
            <w:vAlign w:val="center"/>
          </w:tcPr>
          <w:p w14:paraId="5FBD846D">
            <w:pPr>
              <w:snapToGrid w:val="0"/>
              <w:spacing w:line="360" w:lineRule="auto"/>
              <w:rPr>
                <w:b/>
                <w:color w:val="auto"/>
                <w:sz w:val="24"/>
              </w:rPr>
            </w:pPr>
            <w:r>
              <w:rPr>
                <w:b/>
                <w:color w:val="auto"/>
                <w:sz w:val="24"/>
              </w:rPr>
              <w:t>1、废气</w:t>
            </w:r>
          </w:p>
          <w:p w14:paraId="06288A67">
            <w:pPr>
              <w:widowControl/>
              <w:spacing w:line="360" w:lineRule="auto"/>
              <w:ind w:firstLine="482" w:firstLineChars="200"/>
              <w:rPr>
                <w:rFonts w:hint="eastAsia"/>
                <w:color w:val="auto"/>
                <w:sz w:val="24"/>
                <w:lang w:eastAsia="zh-CN"/>
              </w:rPr>
            </w:pPr>
            <w:r>
              <w:rPr>
                <w:rFonts w:hint="eastAsia"/>
                <w:b/>
                <w:bCs/>
                <w:color w:val="auto"/>
                <w:sz w:val="24"/>
                <w:lang w:eastAsia="zh-CN"/>
              </w:rPr>
              <w:t>运营期：</w:t>
            </w:r>
            <w:r>
              <w:rPr>
                <w:rFonts w:hint="eastAsia"/>
                <w:color w:val="auto"/>
                <w:sz w:val="24"/>
                <w:lang w:eastAsia="zh-CN"/>
              </w:rPr>
              <w:t>项目NH</w:t>
            </w:r>
            <w:r>
              <w:rPr>
                <w:rFonts w:hint="eastAsia"/>
                <w:color w:val="auto"/>
                <w:sz w:val="24"/>
                <w:vertAlign w:val="subscript"/>
                <w:lang w:eastAsia="zh-CN"/>
              </w:rPr>
              <w:t>3</w:t>
            </w:r>
            <w:r>
              <w:rPr>
                <w:rFonts w:hint="eastAsia"/>
                <w:color w:val="auto"/>
                <w:sz w:val="24"/>
                <w:lang w:eastAsia="zh-CN"/>
              </w:rPr>
              <w:t>、H</w:t>
            </w:r>
            <w:r>
              <w:rPr>
                <w:rFonts w:hint="eastAsia"/>
                <w:color w:val="auto"/>
                <w:sz w:val="24"/>
                <w:vertAlign w:val="subscript"/>
                <w:lang w:eastAsia="zh-CN"/>
              </w:rPr>
              <w:t>2</w:t>
            </w:r>
            <w:r>
              <w:rPr>
                <w:rFonts w:hint="eastAsia"/>
                <w:color w:val="auto"/>
                <w:sz w:val="24"/>
                <w:lang w:eastAsia="zh-CN"/>
              </w:rPr>
              <w:t>S、臭气浓度排放执行《恶臭污染物排放标准》(GB14554-93)中相关标准限值要求。</w:t>
            </w:r>
            <w:r>
              <w:rPr>
                <w:rFonts w:hint="eastAsia" w:cs="Times New Roman"/>
                <w:color w:val="auto"/>
                <w:sz w:val="24"/>
                <w:szCs w:val="24"/>
                <w:lang w:eastAsia="zh-CN"/>
              </w:rPr>
              <w:t>加热和三相</w:t>
            </w:r>
            <w:r>
              <w:rPr>
                <w:rFonts w:hint="eastAsia" w:ascii="Times New Roman" w:hAnsi="Times New Roman" w:eastAsia="宋体" w:cs="Times New Roman"/>
                <w:color w:val="auto"/>
                <w:sz w:val="24"/>
                <w:szCs w:val="24"/>
                <w:lang w:eastAsia="zh-CN"/>
              </w:rPr>
              <w:t>分离产生的非甲烷总烃执行《大气污染物综合排放标准》（GB16297-1996）中二级排放标准限值要求。</w:t>
            </w:r>
            <w:r>
              <w:rPr>
                <w:rFonts w:hint="eastAsia"/>
                <w:color w:val="auto"/>
                <w:sz w:val="24"/>
                <w:lang w:eastAsia="zh-CN"/>
              </w:rPr>
              <w:t>厂区内非甲烷总烃无组织排放执行《挥发性有机物无组织排放控制标准》（GB37822-2019）中附录A中特别排放限值。</w:t>
            </w:r>
          </w:p>
          <w:p w14:paraId="36BCC6ED">
            <w:pPr>
              <w:snapToGrid w:val="0"/>
              <w:spacing w:line="360" w:lineRule="auto"/>
              <w:ind w:firstLine="482"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b/>
                <w:color w:val="auto"/>
                <w:sz w:val="24"/>
                <w:szCs w:val="24"/>
              </w:rPr>
              <w:t>施工期：</w:t>
            </w:r>
            <w:r>
              <w:rPr>
                <w:rFonts w:hint="default" w:ascii="Times New Roman" w:hAnsi="Times New Roman" w:eastAsia="宋体" w:cs="Times New Roman"/>
                <w:color w:val="auto"/>
                <w:sz w:val="24"/>
                <w:szCs w:val="24"/>
              </w:rPr>
              <w:t>项目施工期场地颗粒物需满足安徽省地方标准《施工场地颗粒物排放标准》(DB34/4811-2024)表1限值。</w:t>
            </w:r>
          </w:p>
          <w:p w14:paraId="239D32DE">
            <w:pPr>
              <w:widowControl/>
              <w:spacing w:line="360" w:lineRule="auto"/>
              <w:ind w:firstLine="480" w:firstLineChars="200"/>
              <w:rPr>
                <w:rFonts w:hint="default" w:ascii="Times New Roman" w:hAnsi="Times New Roman" w:cs="Times New Roman"/>
                <w:color w:val="auto"/>
                <w:sz w:val="24"/>
                <w:szCs w:val="24"/>
              </w:rPr>
            </w:pPr>
            <w:r>
              <w:rPr>
                <w:rFonts w:hint="eastAsia"/>
                <w:color w:val="auto"/>
                <w:sz w:val="24"/>
                <w:lang w:eastAsia="zh-CN"/>
              </w:rPr>
              <w:t>具体排放限值见下表。</w:t>
            </w:r>
          </w:p>
          <w:p w14:paraId="7A27E6D8">
            <w:pPr>
              <w:overflowPunct w:val="0"/>
              <w:autoSpaceDE w:val="0"/>
              <w:autoSpaceDN w:val="0"/>
              <w:snapToGrid w:val="0"/>
              <w:jc w:val="center"/>
              <w:rPr>
                <w:rFonts w:hint="default" w:ascii="Times New Roman" w:hAnsi="Times New Roman" w:cs="Times New Roman"/>
                <w:b/>
                <w:bCs/>
                <w:color w:val="auto"/>
                <w:kern w:val="0"/>
                <w:sz w:val="24"/>
              </w:rPr>
            </w:pPr>
            <w:r>
              <w:rPr>
                <w:rFonts w:hint="default" w:ascii="Times New Roman" w:hAnsi="Times New Roman" w:cs="Times New Roman"/>
                <w:b/>
                <w:bCs/>
                <w:color w:val="auto"/>
                <w:kern w:val="0"/>
                <w:sz w:val="21"/>
                <w:szCs w:val="21"/>
              </w:rPr>
              <w:t xml:space="preserve">表3-5 </w:t>
            </w:r>
            <w:r>
              <w:rPr>
                <w:rFonts w:hint="eastAsia" w:cs="Times New Roman"/>
                <w:b/>
                <w:bCs/>
                <w:color w:val="auto"/>
                <w:kern w:val="0"/>
                <w:sz w:val="21"/>
                <w:szCs w:val="21"/>
                <w:lang w:eastAsia="zh-CN"/>
              </w:rPr>
              <w:t>①废气</w:t>
            </w:r>
            <w:r>
              <w:rPr>
                <w:rFonts w:hint="default" w:ascii="Times New Roman" w:hAnsi="Times New Roman" w:cs="Times New Roman"/>
                <w:b/>
                <w:bCs/>
                <w:color w:val="auto"/>
                <w:kern w:val="0"/>
                <w:sz w:val="21"/>
                <w:szCs w:val="21"/>
              </w:rPr>
              <w:t>排放标准</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3"/>
              <w:gridCol w:w="1214"/>
              <w:gridCol w:w="973"/>
              <w:gridCol w:w="1101"/>
              <w:gridCol w:w="1214"/>
              <w:gridCol w:w="2371"/>
            </w:tblGrid>
            <w:tr w14:paraId="581C3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Merge w:val="restart"/>
                  <w:noWrap w:val="0"/>
                  <w:vAlign w:val="center"/>
                </w:tcPr>
                <w:p w14:paraId="4CF2B58D">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b/>
                      <w:bCs/>
                      <w:color w:val="auto"/>
                      <w:kern w:val="2"/>
                      <w:sz w:val="21"/>
                      <w:szCs w:val="21"/>
                    </w:rPr>
                  </w:pPr>
                  <w:r>
                    <w:rPr>
                      <w:rFonts w:hint="default" w:ascii="Times New Roman" w:hAnsi="Times New Roman" w:eastAsia="宋体" w:cs="Times New Roman"/>
                      <w:b/>
                      <w:bCs/>
                      <w:color w:val="auto"/>
                      <w:kern w:val="2"/>
                      <w:sz w:val="21"/>
                      <w:szCs w:val="21"/>
                    </w:rPr>
                    <w:t>污染物</w:t>
                  </w:r>
                </w:p>
              </w:tc>
              <w:tc>
                <w:tcPr>
                  <w:tcW w:w="749" w:type="pct"/>
                  <w:vMerge w:val="restart"/>
                  <w:noWrap w:val="0"/>
                  <w:vAlign w:val="center"/>
                </w:tcPr>
                <w:p w14:paraId="472106A9">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b/>
                      <w:bCs/>
                      <w:color w:val="auto"/>
                      <w:kern w:val="2"/>
                      <w:sz w:val="21"/>
                      <w:szCs w:val="21"/>
                    </w:rPr>
                  </w:pPr>
                  <w:r>
                    <w:rPr>
                      <w:rFonts w:hint="default" w:ascii="Times New Roman" w:hAnsi="Times New Roman" w:eastAsia="宋体" w:cs="Times New Roman"/>
                      <w:b/>
                      <w:bCs/>
                      <w:color w:val="auto"/>
                      <w:kern w:val="2"/>
                      <w:sz w:val="21"/>
                      <w:szCs w:val="21"/>
                    </w:rPr>
                    <w:t>最高允许排放浓度</w:t>
                  </w:r>
                </w:p>
                <w:p w14:paraId="47B73093">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b/>
                      <w:bCs/>
                      <w:color w:val="auto"/>
                      <w:kern w:val="2"/>
                      <w:sz w:val="21"/>
                      <w:szCs w:val="21"/>
                    </w:rPr>
                  </w:pPr>
                  <w:r>
                    <w:rPr>
                      <w:rFonts w:hint="default" w:ascii="Times New Roman" w:hAnsi="Times New Roman" w:eastAsia="宋体" w:cs="Times New Roman"/>
                      <w:b/>
                      <w:bCs/>
                      <w:color w:val="auto"/>
                      <w:kern w:val="2"/>
                      <w:sz w:val="21"/>
                      <w:szCs w:val="21"/>
                    </w:rPr>
                    <w:t>（mg/m³）</w:t>
                  </w:r>
                </w:p>
              </w:tc>
              <w:tc>
                <w:tcPr>
                  <w:tcW w:w="1281" w:type="pct"/>
                  <w:gridSpan w:val="2"/>
                  <w:noWrap w:val="0"/>
                  <w:vAlign w:val="center"/>
                </w:tcPr>
                <w:p w14:paraId="2F16F5CF">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b/>
                      <w:bCs/>
                      <w:color w:val="auto"/>
                      <w:kern w:val="2"/>
                      <w:sz w:val="21"/>
                      <w:szCs w:val="21"/>
                    </w:rPr>
                  </w:pPr>
                  <w:r>
                    <w:rPr>
                      <w:rFonts w:hint="default" w:ascii="Times New Roman" w:hAnsi="Times New Roman" w:eastAsia="宋体" w:cs="Times New Roman"/>
                      <w:b/>
                      <w:bCs/>
                      <w:color w:val="auto"/>
                      <w:kern w:val="2"/>
                      <w:sz w:val="21"/>
                      <w:szCs w:val="21"/>
                    </w:rPr>
                    <w:t>最高允许排放速率</w:t>
                  </w:r>
                </w:p>
              </w:tc>
              <w:tc>
                <w:tcPr>
                  <w:tcW w:w="750" w:type="pct"/>
                  <w:vMerge w:val="restart"/>
                  <w:noWrap w:val="0"/>
                  <w:vAlign w:val="center"/>
                </w:tcPr>
                <w:p w14:paraId="29677586">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b/>
                      <w:bCs/>
                      <w:color w:val="auto"/>
                      <w:kern w:val="2"/>
                      <w:sz w:val="21"/>
                      <w:szCs w:val="21"/>
                    </w:rPr>
                  </w:pPr>
                  <w:r>
                    <w:rPr>
                      <w:rFonts w:hint="default" w:ascii="Times New Roman" w:hAnsi="Times New Roman" w:eastAsia="宋体" w:cs="Times New Roman"/>
                      <w:b/>
                      <w:bCs/>
                      <w:color w:val="auto"/>
                      <w:kern w:val="2"/>
                      <w:sz w:val="21"/>
                      <w:szCs w:val="21"/>
                    </w:rPr>
                    <w:t>厂界标准值（mg/m³）</w:t>
                  </w:r>
                </w:p>
              </w:tc>
              <w:tc>
                <w:tcPr>
                  <w:tcW w:w="1461" w:type="pct"/>
                  <w:vMerge w:val="restart"/>
                  <w:noWrap w:val="0"/>
                  <w:vAlign w:val="center"/>
                </w:tcPr>
                <w:p w14:paraId="033E0FD5">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b/>
                      <w:bCs/>
                      <w:color w:val="auto"/>
                      <w:kern w:val="2"/>
                      <w:sz w:val="21"/>
                      <w:szCs w:val="21"/>
                    </w:rPr>
                  </w:pPr>
                  <w:r>
                    <w:rPr>
                      <w:rFonts w:hint="default" w:ascii="Times New Roman" w:hAnsi="Times New Roman" w:eastAsia="宋体" w:cs="Times New Roman"/>
                      <w:b/>
                      <w:bCs/>
                      <w:color w:val="auto"/>
                      <w:kern w:val="2"/>
                      <w:sz w:val="21"/>
                      <w:szCs w:val="21"/>
                    </w:rPr>
                    <w:t>标准来源</w:t>
                  </w:r>
                </w:p>
              </w:tc>
            </w:tr>
            <w:tr w14:paraId="2ED3F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Merge w:val="continue"/>
                  <w:noWrap w:val="0"/>
                  <w:vAlign w:val="center"/>
                </w:tcPr>
                <w:p w14:paraId="55073CE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p>
              </w:tc>
              <w:tc>
                <w:tcPr>
                  <w:tcW w:w="749" w:type="pct"/>
                  <w:vMerge w:val="continue"/>
                  <w:noWrap w:val="0"/>
                  <w:vAlign w:val="center"/>
                </w:tcPr>
                <w:p w14:paraId="3B03F9F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p>
              </w:tc>
              <w:tc>
                <w:tcPr>
                  <w:tcW w:w="601" w:type="pct"/>
                  <w:noWrap w:val="0"/>
                  <w:vAlign w:val="center"/>
                </w:tcPr>
                <w:p w14:paraId="577427AC">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b/>
                      <w:bCs/>
                      <w:color w:val="auto"/>
                      <w:kern w:val="2"/>
                      <w:sz w:val="21"/>
                      <w:szCs w:val="21"/>
                    </w:rPr>
                  </w:pPr>
                  <w:r>
                    <w:rPr>
                      <w:rFonts w:hint="default" w:ascii="Times New Roman" w:hAnsi="Times New Roman" w:eastAsia="宋体" w:cs="Times New Roman"/>
                      <w:b/>
                      <w:bCs/>
                      <w:color w:val="auto"/>
                      <w:kern w:val="2"/>
                      <w:sz w:val="21"/>
                      <w:szCs w:val="21"/>
                    </w:rPr>
                    <w:t>排气筒高度（m）</w:t>
                  </w:r>
                </w:p>
              </w:tc>
              <w:tc>
                <w:tcPr>
                  <w:tcW w:w="679" w:type="pct"/>
                  <w:noWrap w:val="0"/>
                  <w:vAlign w:val="center"/>
                </w:tcPr>
                <w:p w14:paraId="0EB15DB5">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b/>
                      <w:bCs/>
                      <w:color w:val="auto"/>
                      <w:kern w:val="2"/>
                      <w:sz w:val="21"/>
                      <w:szCs w:val="21"/>
                    </w:rPr>
                  </w:pPr>
                  <w:r>
                    <w:rPr>
                      <w:rFonts w:hint="default" w:ascii="Times New Roman" w:hAnsi="Times New Roman" w:eastAsia="宋体" w:cs="Times New Roman"/>
                      <w:b/>
                      <w:bCs/>
                      <w:color w:val="auto"/>
                      <w:kern w:val="2"/>
                      <w:sz w:val="21"/>
                      <w:szCs w:val="21"/>
                    </w:rPr>
                    <w:t>二级（kg/h）</w:t>
                  </w:r>
                </w:p>
              </w:tc>
              <w:tc>
                <w:tcPr>
                  <w:tcW w:w="750" w:type="pct"/>
                  <w:vMerge w:val="continue"/>
                  <w:noWrap w:val="0"/>
                  <w:vAlign w:val="center"/>
                </w:tcPr>
                <w:p w14:paraId="43FC6C64">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rPr>
                  </w:pPr>
                </w:p>
              </w:tc>
              <w:tc>
                <w:tcPr>
                  <w:tcW w:w="1461" w:type="pct"/>
                  <w:vMerge w:val="continue"/>
                  <w:noWrap w:val="0"/>
                  <w:vAlign w:val="center"/>
                </w:tcPr>
                <w:p w14:paraId="3A904618">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rPr>
                  </w:pPr>
                </w:p>
              </w:tc>
            </w:tr>
            <w:tr w14:paraId="14604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noWrap w:val="0"/>
                  <w:vAlign w:val="center"/>
                </w:tcPr>
                <w:p w14:paraId="51F84C8F">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H</w:t>
                  </w:r>
                  <w:r>
                    <w:rPr>
                      <w:rFonts w:hint="default" w:ascii="Times New Roman" w:hAnsi="Times New Roman" w:eastAsia="宋体" w:cs="Times New Roman"/>
                      <w:color w:val="auto"/>
                      <w:kern w:val="2"/>
                      <w:sz w:val="21"/>
                      <w:szCs w:val="21"/>
                      <w:vertAlign w:val="subscript"/>
                    </w:rPr>
                    <w:t>2</w:t>
                  </w:r>
                  <w:r>
                    <w:rPr>
                      <w:rFonts w:hint="default" w:ascii="Times New Roman" w:hAnsi="Times New Roman" w:eastAsia="宋体" w:cs="Times New Roman"/>
                      <w:color w:val="auto"/>
                      <w:kern w:val="2"/>
                      <w:sz w:val="21"/>
                      <w:szCs w:val="21"/>
                    </w:rPr>
                    <w:t>S</w:t>
                  </w:r>
                </w:p>
              </w:tc>
              <w:tc>
                <w:tcPr>
                  <w:tcW w:w="749" w:type="pct"/>
                  <w:noWrap w:val="0"/>
                  <w:vAlign w:val="center"/>
                </w:tcPr>
                <w:p w14:paraId="34429220">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w:t>
                  </w:r>
                </w:p>
              </w:tc>
              <w:tc>
                <w:tcPr>
                  <w:tcW w:w="601" w:type="pct"/>
                  <w:noWrap w:val="0"/>
                  <w:vAlign w:val="center"/>
                </w:tcPr>
                <w:p w14:paraId="7365201A">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lang w:val="en-US" w:eastAsia="zh-CN"/>
                    </w:rPr>
                  </w:pPr>
                  <w:r>
                    <w:rPr>
                      <w:rFonts w:hint="eastAsia" w:cs="Times New Roman"/>
                      <w:color w:val="auto"/>
                      <w:kern w:val="2"/>
                      <w:sz w:val="21"/>
                      <w:szCs w:val="21"/>
                      <w:lang w:val="en-US" w:eastAsia="zh-CN"/>
                    </w:rPr>
                    <w:t>15</w:t>
                  </w:r>
                </w:p>
              </w:tc>
              <w:tc>
                <w:tcPr>
                  <w:tcW w:w="679" w:type="pct"/>
                  <w:noWrap w:val="0"/>
                  <w:vAlign w:val="center"/>
                </w:tcPr>
                <w:p w14:paraId="46A2EBE5">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rPr>
                    <w:t>0.</w:t>
                  </w:r>
                  <w:r>
                    <w:rPr>
                      <w:rFonts w:hint="eastAsia" w:cs="Times New Roman"/>
                      <w:color w:val="auto"/>
                      <w:kern w:val="2"/>
                      <w:sz w:val="21"/>
                      <w:szCs w:val="21"/>
                      <w:lang w:val="en-US" w:eastAsia="zh-CN"/>
                    </w:rPr>
                    <w:t>33</w:t>
                  </w:r>
                </w:p>
              </w:tc>
              <w:tc>
                <w:tcPr>
                  <w:tcW w:w="750" w:type="pct"/>
                  <w:noWrap w:val="0"/>
                  <w:vAlign w:val="center"/>
                </w:tcPr>
                <w:p w14:paraId="2811F19F">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0.06</w:t>
                  </w:r>
                </w:p>
              </w:tc>
              <w:tc>
                <w:tcPr>
                  <w:tcW w:w="1461" w:type="pct"/>
                  <w:vMerge w:val="restart"/>
                  <w:noWrap w:val="0"/>
                  <w:vAlign w:val="center"/>
                </w:tcPr>
                <w:p w14:paraId="03729C94">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《恶臭污染物排放标准》（GB14554-93）</w:t>
                  </w:r>
                </w:p>
              </w:tc>
            </w:tr>
            <w:tr w14:paraId="7E3D0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noWrap w:val="0"/>
                  <w:vAlign w:val="center"/>
                </w:tcPr>
                <w:p w14:paraId="285B84A5">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NH</w:t>
                  </w:r>
                  <w:r>
                    <w:rPr>
                      <w:rFonts w:hint="default" w:ascii="Times New Roman" w:hAnsi="Times New Roman" w:eastAsia="宋体" w:cs="Times New Roman"/>
                      <w:color w:val="auto"/>
                      <w:kern w:val="2"/>
                      <w:sz w:val="21"/>
                      <w:szCs w:val="21"/>
                      <w:vertAlign w:val="subscript"/>
                    </w:rPr>
                    <w:t>3</w:t>
                  </w:r>
                </w:p>
              </w:tc>
              <w:tc>
                <w:tcPr>
                  <w:tcW w:w="749" w:type="pct"/>
                  <w:noWrap w:val="0"/>
                  <w:vAlign w:val="center"/>
                </w:tcPr>
                <w:p w14:paraId="0B0BBCA0">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w:t>
                  </w:r>
                </w:p>
              </w:tc>
              <w:tc>
                <w:tcPr>
                  <w:tcW w:w="601" w:type="pct"/>
                  <w:noWrap w:val="0"/>
                  <w:vAlign w:val="center"/>
                </w:tcPr>
                <w:p w14:paraId="6EF00A25">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lang w:val="en-US" w:eastAsia="zh-CN"/>
                    </w:rPr>
                  </w:pPr>
                  <w:r>
                    <w:rPr>
                      <w:rFonts w:hint="eastAsia" w:cs="Times New Roman"/>
                      <w:color w:val="auto"/>
                      <w:kern w:val="2"/>
                      <w:sz w:val="21"/>
                      <w:szCs w:val="21"/>
                      <w:lang w:val="en-US" w:eastAsia="zh-CN"/>
                    </w:rPr>
                    <w:t>15</w:t>
                  </w:r>
                </w:p>
              </w:tc>
              <w:tc>
                <w:tcPr>
                  <w:tcW w:w="679" w:type="pct"/>
                  <w:noWrap w:val="0"/>
                  <w:vAlign w:val="center"/>
                </w:tcPr>
                <w:p w14:paraId="2F5E5974">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lang w:val="en-US" w:eastAsia="zh-CN"/>
                    </w:rPr>
                  </w:pPr>
                  <w:r>
                    <w:rPr>
                      <w:rFonts w:hint="eastAsia" w:cs="Times New Roman"/>
                      <w:color w:val="auto"/>
                      <w:kern w:val="2"/>
                      <w:sz w:val="21"/>
                      <w:szCs w:val="21"/>
                      <w:lang w:val="en-US" w:eastAsia="zh-CN"/>
                    </w:rPr>
                    <w:t>4.9</w:t>
                  </w:r>
                </w:p>
              </w:tc>
              <w:tc>
                <w:tcPr>
                  <w:tcW w:w="750" w:type="pct"/>
                  <w:noWrap w:val="0"/>
                  <w:vAlign w:val="center"/>
                </w:tcPr>
                <w:p w14:paraId="45428139">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1.5</w:t>
                  </w:r>
                </w:p>
              </w:tc>
              <w:tc>
                <w:tcPr>
                  <w:tcW w:w="1461" w:type="pct"/>
                  <w:vMerge w:val="continue"/>
                  <w:noWrap w:val="0"/>
                  <w:vAlign w:val="center"/>
                </w:tcPr>
                <w:p w14:paraId="0B520ED9">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rPr>
                  </w:pPr>
                </w:p>
              </w:tc>
            </w:tr>
            <w:tr w14:paraId="5A7D0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noWrap w:val="0"/>
                  <w:vAlign w:val="center"/>
                </w:tcPr>
                <w:p w14:paraId="1D69C0D1">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臭气浓度（无量纲）</w:t>
                  </w:r>
                </w:p>
              </w:tc>
              <w:tc>
                <w:tcPr>
                  <w:tcW w:w="749" w:type="pct"/>
                  <w:noWrap w:val="0"/>
                  <w:vAlign w:val="center"/>
                </w:tcPr>
                <w:p w14:paraId="25C67471">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w:t>
                  </w:r>
                </w:p>
              </w:tc>
              <w:tc>
                <w:tcPr>
                  <w:tcW w:w="601" w:type="pct"/>
                  <w:noWrap w:val="0"/>
                  <w:vAlign w:val="center"/>
                </w:tcPr>
                <w:p w14:paraId="7BE58629">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lang w:val="en-US" w:eastAsia="zh-CN"/>
                    </w:rPr>
                  </w:pPr>
                  <w:r>
                    <w:rPr>
                      <w:rFonts w:hint="eastAsia" w:cs="Times New Roman"/>
                      <w:color w:val="auto"/>
                      <w:kern w:val="2"/>
                      <w:sz w:val="21"/>
                      <w:szCs w:val="21"/>
                      <w:lang w:val="en-US" w:eastAsia="zh-CN"/>
                    </w:rPr>
                    <w:t>15</w:t>
                  </w:r>
                </w:p>
              </w:tc>
              <w:tc>
                <w:tcPr>
                  <w:tcW w:w="679" w:type="pct"/>
                  <w:noWrap w:val="0"/>
                  <w:vAlign w:val="center"/>
                </w:tcPr>
                <w:p w14:paraId="30CC37B3">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2000（无量纲）</w:t>
                  </w:r>
                </w:p>
              </w:tc>
              <w:tc>
                <w:tcPr>
                  <w:tcW w:w="750" w:type="pct"/>
                  <w:noWrap w:val="0"/>
                  <w:vAlign w:val="center"/>
                </w:tcPr>
                <w:p w14:paraId="44EA23F8">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20（无量纲）</w:t>
                  </w:r>
                </w:p>
              </w:tc>
              <w:tc>
                <w:tcPr>
                  <w:tcW w:w="1461" w:type="pct"/>
                  <w:vMerge w:val="continue"/>
                  <w:noWrap w:val="0"/>
                  <w:vAlign w:val="center"/>
                </w:tcPr>
                <w:p w14:paraId="3B0CEBC5">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rPr>
                  </w:pPr>
                </w:p>
              </w:tc>
            </w:tr>
            <w:tr w14:paraId="10C82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noWrap w:val="0"/>
                  <w:vAlign w:val="center"/>
                </w:tcPr>
                <w:p w14:paraId="0DDEE7BF">
                  <w:pPr>
                    <w:pStyle w:val="120"/>
                    <w:keepNext w:val="0"/>
                    <w:keepLines w:val="0"/>
                    <w:pageBreakBefore w:val="0"/>
                    <w:kinsoku/>
                    <w:wordWrap/>
                    <w:overflowPunct/>
                    <w:topLinePunct w:val="0"/>
                    <w:autoSpaceDE/>
                    <w:autoSpaceDN/>
                    <w:bidi w:val="0"/>
                    <w:ind w:firstLine="0" w:firstLineChars="0"/>
                    <w:jc w:val="center"/>
                    <w:textAlignment w:val="auto"/>
                    <w:rPr>
                      <w:rFonts w:hint="eastAsia" w:ascii="Times New Roman" w:hAnsi="Times New Roman" w:eastAsia="宋体" w:cs="Times New Roman"/>
                      <w:color w:val="auto"/>
                      <w:kern w:val="2"/>
                      <w:sz w:val="21"/>
                      <w:szCs w:val="21"/>
                      <w:lang w:eastAsia="zh-CN"/>
                    </w:rPr>
                  </w:pPr>
                  <w:r>
                    <w:rPr>
                      <w:rFonts w:hint="eastAsia" w:ascii="Times New Roman" w:hAnsi="Times New Roman" w:eastAsia="宋体" w:cs="Times New Roman"/>
                      <w:color w:val="auto"/>
                      <w:kern w:val="2"/>
                      <w:sz w:val="21"/>
                      <w:szCs w:val="21"/>
                      <w:lang w:eastAsia="zh-CN"/>
                    </w:rPr>
                    <w:t>非甲烷总烃</w:t>
                  </w:r>
                </w:p>
              </w:tc>
              <w:tc>
                <w:tcPr>
                  <w:tcW w:w="749" w:type="pct"/>
                  <w:noWrap w:val="0"/>
                  <w:vAlign w:val="center"/>
                </w:tcPr>
                <w:p w14:paraId="32A2BACF">
                  <w:pPr>
                    <w:pStyle w:val="120"/>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120</w:t>
                  </w:r>
                </w:p>
              </w:tc>
              <w:tc>
                <w:tcPr>
                  <w:tcW w:w="601" w:type="pct"/>
                  <w:noWrap w:val="0"/>
                  <w:vAlign w:val="center"/>
                </w:tcPr>
                <w:p w14:paraId="616910DB">
                  <w:pPr>
                    <w:pStyle w:val="120"/>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rPr>
                  </w:pPr>
                  <w:r>
                    <w:rPr>
                      <w:rFonts w:hint="eastAsia" w:cs="Times New Roman"/>
                      <w:color w:val="auto"/>
                      <w:kern w:val="2"/>
                      <w:sz w:val="21"/>
                      <w:szCs w:val="21"/>
                      <w:lang w:val="en-US" w:eastAsia="zh-CN"/>
                    </w:rPr>
                    <w:t>15</w:t>
                  </w:r>
                </w:p>
              </w:tc>
              <w:tc>
                <w:tcPr>
                  <w:tcW w:w="679" w:type="pct"/>
                  <w:noWrap w:val="0"/>
                  <w:vAlign w:val="center"/>
                </w:tcPr>
                <w:p w14:paraId="0DB19B9C">
                  <w:pPr>
                    <w:pStyle w:val="120"/>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rPr>
                  </w:pPr>
                  <w:r>
                    <w:rPr>
                      <w:rFonts w:hint="eastAsia" w:cs="Times New Roman"/>
                      <w:color w:val="auto"/>
                      <w:kern w:val="2"/>
                      <w:sz w:val="21"/>
                      <w:szCs w:val="21"/>
                      <w:lang w:val="en-US" w:eastAsia="zh-CN"/>
                    </w:rPr>
                    <w:t>5</w:t>
                  </w:r>
                  <w:r>
                    <w:rPr>
                      <w:rFonts w:hint="eastAsia" w:cs="Times New Roman"/>
                      <w:color w:val="auto"/>
                      <w:kern w:val="2"/>
                      <w:sz w:val="21"/>
                      <w:szCs w:val="21"/>
                      <w:vertAlign w:val="superscript"/>
                      <w:lang w:val="en-US" w:eastAsia="zh-CN"/>
                    </w:rPr>
                    <w:t>a</w:t>
                  </w:r>
                </w:p>
              </w:tc>
              <w:tc>
                <w:tcPr>
                  <w:tcW w:w="750" w:type="pct"/>
                  <w:noWrap w:val="0"/>
                  <w:vAlign w:val="center"/>
                </w:tcPr>
                <w:p w14:paraId="4CFEABCA">
                  <w:pPr>
                    <w:pStyle w:val="120"/>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2"/>
                      <w:sz w:val="21"/>
                      <w:szCs w:val="21"/>
                    </w:rPr>
                  </w:pPr>
                  <w:r>
                    <w:rPr>
                      <w:rFonts w:hint="eastAsia" w:ascii="Times New Roman" w:hAnsi="Times New Roman" w:eastAsia="宋体" w:cs="Times New Roman"/>
                      <w:color w:val="auto"/>
                      <w:kern w:val="2"/>
                      <w:sz w:val="21"/>
                      <w:szCs w:val="21"/>
                      <w:lang w:val="en-US" w:eastAsia="zh-CN"/>
                    </w:rPr>
                    <w:t>4.0</w:t>
                  </w:r>
                </w:p>
              </w:tc>
              <w:tc>
                <w:tcPr>
                  <w:tcW w:w="1461" w:type="pct"/>
                  <w:noWrap w:val="0"/>
                  <w:vAlign w:val="center"/>
                </w:tcPr>
                <w:p w14:paraId="3ACF8C51">
                  <w:pPr>
                    <w:pStyle w:val="120"/>
                    <w:keepNext w:val="0"/>
                    <w:keepLines w:val="0"/>
                    <w:pageBreakBefore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cs="Times New Roman"/>
                      <w:color w:val="auto"/>
                      <w:sz w:val="21"/>
                      <w:szCs w:val="21"/>
                    </w:rPr>
                    <w:t>《</w:t>
                  </w:r>
                  <w:r>
                    <w:rPr>
                      <w:rFonts w:hint="default" w:ascii="Times New Roman" w:hAnsi="Times New Roman" w:cs="Times New Roman"/>
                      <w:color w:val="auto"/>
                      <w:sz w:val="21"/>
                      <w:szCs w:val="21"/>
                      <w:lang w:val="en-US" w:eastAsia="zh-CN"/>
                    </w:rPr>
                    <w:t>大</w:t>
                  </w:r>
                  <w:r>
                    <w:rPr>
                      <w:rFonts w:hint="default" w:ascii="Times New Roman" w:hAnsi="Times New Roman" w:cs="Times New Roman"/>
                      <w:color w:val="auto"/>
                      <w:sz w:val="21"/>
                      <w:szCs w:val="21"/>
                    </w:rPr>
                    <w:t>气污染物综合排放标准》（GB16297-1996）</w:t>
                  </w:r>
                </w:p>
              </w:tc>
            </w:tr>
            <w:tr w14:paraId="3279F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6"/>
                  <w:noWrap w:val="0"/>
                  <w:vAlign w:val="center"/>
                </w:tcPr>
                <w:p w14:paraId="4D6F039F">
                  <w:pPr>
                    <w:pStyle w:val="120"/>
                    <w:keepNext w:val="0"/>
                    <w:keepLines w:val="0"/>
                    <w:pageBreakBefore w:val="0"/>
                    <w:kinsoku/>
                    <w:wordWrap/>
                    <w:overflowPunct/>
                    <w:topLinePunct w:val="0"/>
                    <w:autoSpaceDE/>
                    <w:autoSpaceDN/>
                    <w:bidi w:val="0"/>
                    <w:jc w:val="left"/>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a</w:t>
                  </w:r>
                  <w:r>
                    <w:rPr>
                      <w:rFonts w:hint="default" w:ascii="Times New Roman" w:hAnsi="Times New Roman" w:cs="Times New Roman"/>
                      <w:color w:val="auto"/>
                      <w:sz w:val="21"/>
                      <w:szCs w:val="21"/>
                    </w:rPr>
                    <w:t>排气简高度除须遵守表列排放速率标准值外,还应高出周围200m半径范围的建筑5m以上,不能达到该要求的排气筒,应按其高度对应的表列排放速率标准值严格50%执行</w:t>
                  </w:r>
                  <w:r>
                    <w:rPr>
                      <w:rFonts w:hint="eastAsia" w:cs="Times New Roman"/>
                      <w:color w:val="auto"/>
                      <w:sz w:val="21"/>
                      <w:szCs w:val="21"/>
                      <w:lang w:eastAsia="zh-CN"/>
                    </w:rPr>
                    <w:t>，因此本项目非甲烷总体排放速率按照</w:t>
                  </w:r>
                  <w:r>
                    <w:rPr>
                      <w:rFonts w:hint="eastAsia" w:cs="Times New Roman"/>
                      <w:color w:val="auto"/>
                      <w:sz w:val="21"/>
                      <w:szCs w:val="21"/>
                      <w:lang w:val="en-US" w:eastAsia="zh-CN"/>
                    </w:rPr>
                    <w:t>5kg/h执行</w:t>
                  </w:r>
                </w:p>
              </w:tc>
            </w:tr>
          </w:tbl>
          <w:p w14:paraId="532398A4">
            <w:pPr>
              <w:pageBreakBefore w:val="0"/>
              <w:kinsoku/>
              <w:wordWrap/>
              <w:bidi w:val="0"/>
              <w:adjustRightInd w:val="0"/>
              <w:snapToGrid w:val="0"/>
              <w:spacing w:line="240" w:lineRule="auto"/>
              <w:jc w:val="center"/>
              <w:rPr>
                <w:rFonts w:hint="default" w:ascii="Times New Roman" w:hAnsi="Times New Roman" w:eastAsia="宋体" w:cs="Times New Roman"/>
                <w:b/>
                <w:bCs/>
                <w:color w:val="auto"/>
                <w:spacing w:val="0"/>
                <w:kern w:val="2"/>
                <w:sz w:val="21"/>
                <w:szCs w:val="21"/>
              </w:rPr>
            </w:pPr>
            <w:r>
              <w:rPr>
                <w:rFonts w:hint="default" w:ascii="Times New Roman" w:hAnsi="Times New Roman" w:eastAsia="宋体" w:cs="Times New Roman"/>
                <w:b/>
                <w:bCs/>
                <w:color w:val="auto"/>
                <w:spacing w:val="0"/>
                <w:kern w:val="2"/>
                <w:sz w:val="21"/>
                <w:szCs w:val="21"/>
              </w:rPr>
              <w:t>表</w:t>
            </w:r>
            <w:r>
              <w:rPr>
                <w:rFonts w:hint="eastAsia" w:ascii="Times New Roman" w:hAnsi="Times New Roman" w:eastAsia="宋体" w:cs="Times New Roman"/>
                <w:b/>
                <w:bCs/>
                <w:color w:val="auto"/>
                <w:spacing w:val="0"/>
                <w:kern w:val="2"/>
                <w:sz w:val="21"/>
                <w:szCs w:val="21"/>
                <w:lang w:val="en-US" w:eastAsia="zh-CN"/>
              </w:rPr>
              <w:t>3-5 ②</w:t>
            </w:r>
            <w:r>
              <w:rPr>
                <w:rFonts w:hint="default" w:ascii="Times New Roman" w:hAnsi="Times New Roman" w:eastAsia="宋体" w:cs="Times New Roman"/>
                <w:b/>
                <w:bCs/>
                <w:color w:val="auto"/>
                <w:spacing w:val="0"/>
                <w:kern w:val="2"/>
                <w:sz w:val="21"/>
                <w:szCs w:val="21"/>
                <w:lang w:eastAsia="zh-CN"/>
              </w:rPr>
              <w:t>厂区内</w:t>
            </w:r>
            <w:r>
              <w:rPr>
                <w:rFonts w:hint="default" w:ascii="Times New Roman" w:hAnsi="Times New Roman" w:eastAsia="宋体" w:cs="Times New Roman"/>
                <w:b/>
                <w:bCs/>
                <w:color w:val="auto"/>
                <w:spacing w:val="0"/>
                <w:kern w:val="2"/>
                <w:sz w:val="21"/>
                <w:szCs w:val="21"/>
                <w:lang w:val="en-US" w:eastAsia="zh-CN"/>
              </w:rPr>
              <w:t>VOCs无组织排放限值</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1"/>
              <w:gridCol w:w="1854"/>
              <w:gridCol w:w="2732"/>
              <w:gridCol w:w="2167"/>
            </w:tblGrid>
            <w:tr w14:paraId="0C334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pct"/>
                  <w:noWrap w:val="0"/>
                  <w:vAlign w:val="center"/>
                </w:tcPr>
                <w:p w14:paraId="709FA4C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0"/>
                      <w:kern w:val="2"/>
                      <w:sz w:val="21"/>
                      <w:szCs w:val="21"/>
                    </w:rPr>
                  </w:pPr>
                  <w:r>
                    <w:rPr>
                      <w:rFonts w:hint="default" w:ascii="Times New Roman" w:hAnsi="Times New Roman" w:eastAsia="宋体" w:cs="Times New Roman"/>
                      <w:color w:val="auto"/>
                      <w:spacing w:val="0"/>
                      <w:kern w:val="2"/>
                      <w:sz w:val="21"/>
                      <w:szCs w:val="21"/>
                      <w:lang w:eastAsia="zh-CN"/>
                    </w:rPr>
                    <w:t>污染物项目</w:t>
                  </w:r>
                </w:p>
              </w:tc>
              <w:tc>
                <w:tcPr>
                  <w:tcW w:w="1145" w:type="pct"/>
                  <w:noWrap w:val="0"/>
                  <w:vAlign w:val="center"/>
                </w:tcPr>
                <w:p w14:paraId="7B81770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0"/>
                      <w:kern w:val="2"/>
                      <w:sz w:val="21"/>
                      <w:szCs w:val="21"/>
                    </w:rPr>
                  </w:pPr>
                  <w:r>
                    <w:rPr>
                      <w:rFonts w:hint="default" w:ascii="Times New Roman" w:hAnsi="Times New Roman" w:eastAsia="宋体" w:cs="Times New Roman"/>
                      <w:color w:val="auto"/>
                      <w:spacing w:val="0"/>
                      <w:kern w:val="2"/>
                      <w:sz w:val="21"/>
                      <w:szCs w:val="21"/>
                      <w:lang w:eastAsia="zh-CN"/>
                    </w:rPr>
                    <w:t>特别排放限值</w:t>
                  </w:r>
                  <w:r>
                    <w:rPr>
                      <w:rFonts w:hint="default" w:ascii="Times New Roman" w:hAnsi="Times New Roman" w:eastAsia="宋体" w:cs="Times New Roman"/>
                      <w:color w:val="auto"/>
                      <w:spacing w:val="0"/>
                      <w:kern w:val="2"/>
                      <w:sz w:val="21"/>
                      <w:szCs w:val="21"/>
                    </w:rPr>
                    <w:t>（mg/m³）</w:t>
                  </w:r>
                </w:p>
              </w:tc>
              <w:tc>
                <w:tcPr>
                  <w:tcW w:w="1687" w:type="pct"/>
                  <w:tcBorders>
                    <w:left w:val="single" w:color="000000" w:sz="4" w:space="0"/>
                    <w:bottom w:val="single" w:color="000000" w:sz="4" w:space="0"/>
                  </w:tcBorders>
                  <w:noWrap w:val="0"/>
                  <w:vAlign w:val="center"/>
                </w:tcPr>
                <w:p w14:paraId="6A6E80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0"/>
                      <w:kern w:val="2"/>
                      <w:sz w:val="21"/>
                      <w:szCs w:val="21"/>
                      <w:lang w:eastAsia="zh-CN"/>
                    </w:rPr>
                  </w:pPr>
                  <w:r>
                    <w:rPr>
                      <w:rFonts w:hint="default" w:ascii="Times New Roman" w:hAnsi="Times New Roman" w:eastAsia="宋体" w:cs="Times New Roman"/>
                      <w:color w:val="auto"/>
                      <w:spacing w:val="0"/>
                      <w:kern w:val="2"/>
                      <w:sz w:val="21"/>
                      <w:szCs w:val="21"/>
                      <w:lang w:eastAsia="zh-CN"/>
                    </w:rPr>
                    <w:t>限值含义</w:t>
                  </w:r>
                </w:p>
              </w:tc>
              <w:tc>
                <w:tcPr>
                  <w:tcW w:w="1338" w:type="pct"/>
                  <w:tcBorders>
                    <w:left w:val="single" w:color="000000" w:sz="4" w:space="0"/>
                    <w:bottom w:val="single" w:color="000000" w:sz="4" w:space="0"/>
                  </w:tcBorders>
                  <w:noWrap w:val="0"/>
                  <w:vAlign w:val="center"/>
                </w:tcPr>
                <w:p w14:paraId="73699D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0"/>
                      <w:kern w:val="2"/>
                      <w:sz w:val="21"/>
                      <w:szCs w:val="21"/>
                    </w:rPr>
                  </w:pPr>
                  <w:r>
                    <w:rPr>
                      <w:rFonts w:hint="default" w:ascii="Times New Roman" w:hAnsi="Times New Roman" w:eastAsia="宋体" w:cs="Times New Roman"/>
                      <w:color w:val="auto"/>
                      <w:spacing w:val="0"/>
                      <w:kern w:val="2"/>
                      <w:sz w:val="21"/>
                      <w:szCs w:val="21"/>
                      <w:lang w:eastAsia="zh-CN"/>
                    </w:rPr>
                    <w:t>无组织排放监控位置</w:t>
                  </w:r>
                </w:p>
              </w:tc>
            </w:tr>
            <w:tr w14:paraId="11960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pct"/>
                  <w:vMerge w:val="restart"/>
                  <w:noWrap w:val="0"/>
                  <w:vAlign w:val="center"/>
                </w:tcPr>
                <w:p w14:paraId="7C34FD4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0"/>
                      <w:kern w:val="2"/>
                      <w:sz w:val="21"/>
                      <w:szCs w:val="21"/>
                      <w:lang w:eastAsia="zh-CN"/>
                    </w:rPr>
                  </w:pPr>
                  <w:r>
                    <w:rPr>
                      <w:rFonts w:hint="default" w:ascii="Times New Roman" w:hAnsi="Times New Roman" w:eastAsia="宋体" w:cs="Times New Roman"/>
                      <w:color w:val="auto"/>
                      <w:spacing w:val="0"/>
                      <w:kern w:val="2"/>
                      <w:sz w:val="21"/>
                      <w:szCs w:val="21"/>
                      <w:lang w:val="en-US" w:eastAsia="zh-CN"/>
                    </w:rPr>
                    <w:t>非甲烷总烃</w:t>
                  </w:r>
                </w:p>
              </w:tc>
              <w:tc>
                <w:tcPr>
                  <w:tcW w:w="1145" w:type="pct"/>
                  <w:noWrap w:val="0"/>
                  <w:vAlign w:val="center"/>
                </w:tcPr>
                <w:p w14:paraId="7BB2E0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0"/>
                      <w:kern w:val="2"/>
                      <w:sz w:val="21"/>
                      <w:szCs w:val="21"/>
                      <w:highlight w:val="none"/>
                      <w:lang w:val="en-US" w:eastAsia="zh-CN"/>
                    </w:rPr>
                  </w:pPr>
                  <w:r>
                    <w:rPr>
                      <w:rFonts w:hint="default" w:ascii="Times New Roman" w:hAnsi="Times New Roman" w:eastAsia="宋体" w:cs="Times New Roman"/>
                      <w:color w:val="auto"/>
                      <w:spacing w:val="0"/>
                      <w:kern w:val="2"/>
                      <w:sz w:val="21"/>
                      <w:szCs w:val="21"/>
                      <w:highlight w:val="none"/>
                      <w:lang w:val="en-US" w:eastAsia="zh-CN"/>
                    </w:rPr>
                    <w:t>6</w:t>
                  </w:r>
                </w:p>
              </w:tc>
              <w:tc>
                <w:tcPr>
                  <w:tcW w:w="1687" w:type="pct"/>
                  <w:tcBorders>
                    <w:left w:val="single" w:color="000000" w:sz="4" w:space="0"/>
                  </w:tcBorders>
                  <w:noWrap w:val="0"/>
                  <w:vAlign w:val="center"/>
                </w:tcPr>
                <w:p w14:paraId="01FA8D0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0"/>
                      <w:kern w:val="2"/>
                      <w:sz w:val="21"/>
                      <w:szCs w:val="21"/>
                      <w:lang w:val="en-US" w:eastAsia="zh-CN"/>
                    </w:rPr>
                  </w:pPr>
                  <w:r>
                    <w:rPr>
                      <w:rFonts w:hint="default" w:ascii="Times New Roman" w:hAnsi="Times New Roman" w:eastAsia="宋体" w:cs="Times New Roman"/>
                      <w:color w:val="auto"/>
                      <w:spacing w:val="0"/>
                      <w:kern w:val="2"/>
                      <w:sz w:val="21"/>
                      <w:szCs w:val="21"/>
                      <w:lang w:val="en-US" w:eastAsia="zh-CN"/>
                    </w:rPr>
                    <w:t>监控点处1h平均浓度值</w:t>
                  </w:r>
                </w:p>
              </w:tc>
              <w:tc>
                <w:tcPr>
                  <w:tcW w:w="1338" w:type="pct"/>
                  <w:vMerge w:val="restart"/>
                  <w:tcBorders>
                    <w:left w:val="single" w:color="000000" w:sz="4" w:space="0"/>
                  </w:tcBorders>
                  <w:noWrap w:val="0"/>
                  <w:vAlign w:val="center"/>
                </w:tcPr>
                <w:p w14:paraId="58DAED5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0"/>
                      <w:kern w:val="2"/>
                      <w:sz w:val="21"/>
                      <w:szCs w:val="21"/>
                      <w:lang w:val="en-US" w:eastAsia="zh-CN"/>
                    </w:rPr>
                  </w:pPr>
                  <w:r>
                    <w:rPr>
                      <w:rFonts w:hint="default" w:ascii="Times New Roman" w:hAnsi="Times New Roman" w:eastAsia="宋体" w:cs="Times New Roman"/>
                      <w:color w:val="auto"/>
                      <w:spacing w:val="0"/>
                      <w:kern w:val="2"/>
                      <w:sz w:val="21"/>
                      <w:szCs w:val="21"/>
                      <w:lang w:val="en-US" w:eastAsia="zh-CN"/>
                    </w:rPr>
                    <w:t>在厂房外设置监控点</w:t>
                  </w:r>
                </w:p>
              </w:tc>
            </w:tr>
            <w:tr w14:paraId="751AF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pct"/>
                  <w:vMerge w:val="continue"/>
                  <w:noWrap w:val="0"/>
                  <w:vAlign w:val="center"/>
                </w:tcPr>
                <w:p w14:paraId="112EA0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0"/>
                      <w:kern w:val="2"/>
                      <w:sz w:val="21"/>
                      <w:szCs w:val="21"/>
                      <w:lang w:eastAsia="zh-CN"/>
                    </w:rPr>
                  </w:pPr>
                </w:p>
              </w:tc>
              <w:tc>
                <w:tcPr>
                  <w:tcW w:w="1145" w:type="pct"/>
                  <w:noWrap w:val="0"/>
                  <w:vAlign w:val="center"/>
                </w:tcPr>
                <w:p w14:paraId="7318E99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0"/>
                      <w:kern w:val="2"/>
                      <w:sz w:val="21"/>
                      <w:szCs w:val="21"/>
                      <w:highlight w:val="none"/>
                      <w:lang w:val="en-US" w:eastAsia="zh-CN"/>
                    </w:rPr>
                  </w:pPr>
                  <w:r>
                    <w:rPr>
                      <w:rFonts w:hint="default" w:ascii="Times New Roman" w:hAnsi="Times New Roman" w:eastAsia="宋体" w:cs="Times New Roman"/>
                      <w:color w:val="auto"/>
                      <w:spacing w:val="0"/>
                      <w:kern w:val="2"/>
                      <w:sz w:val="21"/>
                      <w:szCs w:val="21"/>
                      <w:highlight w:val="none"/>
                      <w:lang w:val="en-US" w:eastAsia="zh-CN"/>
                    </w:rPr>
                    <w:t>20</w:t>
                  </w:r>
                </w:p>
              </w:tc>
              <w:tc>
                <w:tcPr>
                  <w:tcW w:w="1687" w:type="pct"/>
                  <w:tcBorders>
                    <w:left w:val="single" w:color="000000" w:sz="4" w:space="0"/>
                  </w:tcBorders>
                  <w:noWrap w:val="0"/>
                  <w:vAlign w:val="center"/>
                </w:tcPr>
                <w:p w14:paraId="418C33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0"/>
                      <w:kern w:val="2"/>
                      <w:sz w:val="21"/>
                      <w:szCs w:val="21"/>
                      <w:lang w:val="en-US" w:eastAsia="zh-CN"/>
                    </w:rPr>
                  </w:pPr>
                  <w:r>
                    <w:rPr>
                      <w:rFonts w:hint="default" w:ascii="Times New Roman" w:hAnsi="Times New Roman" w:eastAsia="宋体" w:cs="Times New Roman"/>
                      <w:color w:val="auto"/>
                      <w:spacing w:val="0"/>
                      <w:kern w:val="2"/>
                      <w:sz w:val="21"/>
                      <w:szCs w:val="21"/>
                      <w:lang w:val="en-US" w:eastAsia="zh-CN"/>
                    </w:rPr>
                    <w:t>监控点处任意一次浓度值</w:t>
                  </w:r>
                </w:p>
              </w:tc>
              <w:tc>
                <w:tcPr>
                  <w:tcW w:w="1338" w:type="pct"/>
                  <w:vMerge w:val="continue"/>
                  <w:tcBorders>
                    <w:left w:val="single" w:color="000000" w:sz="4" w:space="0"/>
                  </w:tcBorders>
                  <w:noWrap w:val="0"/>
                  <w:vAlign w:val="center"/>
                </w:tcPr>
                <w:p w14:paraId="207C92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0"/>
                      <w:kern w:val="2"/>
                      <w:sz w:val="21"/>
                      <w:szCs w:val="21"/>
                      <w:lang w:val="en-US" w:eastAsia="zh-CN"/>
                    </w:rPr>
                  </w:pPr>
                </w:p>
              </w:tc>
            </w:tr>
          </w:tbl>
          <w:p w14:paraId="0F32254E">
            <w:pPr>
              <w:ind w:firstLine="422" w:firstLineChars="20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kern w:val="0"/>
                <w:sz w:val="21"/>
                <w:szCs w:val="21"/>
              </w:rPr>
              <w:t>表3-</w:t>
            </w:r>
            <w:r>
              <w:rPr>
                <w:rFonts w:hint="eastAsia" w:cs="Times New Roman"/>
                <w:b/>
                <w:color w:val="auto"/>
                <w:kern w:val="0"/>
                <w:sz w:val="21"/>
                <w:szCs w:val="21"/>
                <w:lang w:val="en-US" w:eastAsia="zh-CN"/>
              </w:rPr>
              <w:t>5  ③</w:t>
            </w:r>
            <w:r>
              <w:rPr>
                <w:rFonts w:hint="default" w:ascii="Times New Roman" w:hAnsi="Times New Roman" w:eastAsia="宋体" w:cs="Times New Roman"/>
                <w:b/>
                <w:color w:val="auto"/>
                <w:sz w:val="21"/>
                <w:szCs w:val="21"/>
              </w:rPr>
              <w:t>施工期场地颗粒物排放标准</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53"/>
              <w:gridCol w:w="1555"/>
              <w:gridCol w:w="2869"/>
              <w:gridCol w:w="2122"/>
            </w:tblGrid>
            <w:tr w14:paraId="60D2E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59" w:type="dxa"/>
                  <w:noWrap w:val="0"/>
                  <w:vAlign w:val="center"/>
                </w:tcPr>
                <w:p w14:paraId="4A4C5FC5">
                  <w:pPr>
                    <w:jc w:val="center"/>
                    <w:rPr>
                      <w:rFonts w:hint="default" w:ascii="Times New Roman" w:hAnsi="Times New Roman" w:eastAsia="宋体" w:cs="Times New Roman"/>
                      <w:b/>
                      <w:color w:val="auto"/>
                      <w:kern w:val="0"/>
                      <w:sz w:val="21"/>
                      <w:szCs w:val="21"/>
                    </w:rPr>
                  </w:pPr>
                  <w:r>
                    <w:rPr>
                      <w:rFonts w:hint="default" w:ascii="Times New Roman" w:hAnsi="Times New Roman" w:eastAsia="宋体" w:cs="Times New Roman"/>
                      <w:b/>
                      <w:color w:val="auto"/>
                      <w:kern w:val="0"/>
                      <w:sz w:val="21"/>
                      <w:szCs w:val="21"/>
                    </w:rPr>
                    <w:t>控制项目</w:t>
                  </w:r>
                </w:p>
              </w:tc>
              <w:tc>
                <w:tcPr>
                  <w:tcW w:w="1559" w:type="dxa"/>
                  <w:noWrap w:val="0"/>
                  <w:vAlign w:val="center"/>
                </w:tcPr>
                <w:p w14:paraId="106A9987">
                  <w:pPr>
                    <w:jc w:val="center"/>
                    <w:rPr>
                      <w:rFonts w:hint="default" w:ascii="Times New Roman" w:hAnsi="Times New Roman" w:eastAsia="宋体" w:cs="Times New Roman"/>
                      <w:b/>
                      <w:color w:val="auto"/>
                      <w:kern w:val="0"/>
                      <w:sz w:val="21"/>
                      <w:szCs w:val="21"/>
                    </w:rPr>
                  </w:pPr>
                  <w:r>
                    <w:rPr>
                      <w:rFonts w:hint="default" w:ascii="Times New Roman" w:hAnsi="Times New Roman" w:eastAsia="宋体" w:cs="Times New Roman"/>
                      <w:b/>
                      <w:color w:val="auto"/>
                      <w:kern w:val="0"/>
                      <w:sz w:val="21"/>
                      <w:szCs w:val="21"/>
                    </w:rPr>
                    <w:t>单位</w:t>
                  </w:r>
                </w:p>
              </w:tc>
              <w:tc>
                <w:tcPr>
                  <w:tcW w:w="2881" w:type="dxa"/>
                  <w:noWrap w:val="0"/>
                  <w:vAlign w:val="center"/>
                </w:tcPr>
                <w:p w14:paraId="4E1D4B4E">
                  <w:pPr>
                    <w:jc w:val="center"/>
                    <w:rPr>
                      <w:rFonts w:hint="default" w:ascii="Times New Roman" w:hAnsi="Times New Roman" w:eastAsia="宋体" w:cs="Times New Roman"/>
                      <w:b/>
                      <w:color w:val="auto"/>
                      <w:kern w:val="0"/>
                      <w:sz w:val="21"/>
                      <w:szCs w:val="21"/>
                    </w:rPr>
                  </w:pPr>
                  <w:r>
                    <w:rPr>
                      <w:rFonts w:hint="default" w:ascii="Times New Roman" w:hAnsi="Times New Roman" w:eastAsia="宋体" w:cs="Times New Roman"/>
                      <w:b/>
                      <w:color w:val="auto"/>
                      <w:kern w:val="0"/>
                      <w:sz w:val="21"/>
                      <w:szCs w:val="21"/>
                    </w:rPr>
                    <w:t>监控点浓度限值</w:t>
                  </w:r>
                </w:p>
              </w:tc>
              <w:tc>
                <w:tcPr>
                  <w:tcW w:w="2131" w:type="dxa"/>
                  <w:noWrap w:val="0"/>
                  <w:vAlign w:val="center"/>
                </w:tcPr>
                <w:p w14:paraId="32D9017C">
                  <w:pPr>
                    <w:jc w:val="center"/>
                    <w:rPr>
                      <w:rFonts w:hint="default" w:ascii="Times New Roman" w:hAnsi="Times New Roman" w:eastAsia="宋体" w:cs="Times New Roman"/>
                      <w:b/>
                      <w:color w:val="auto"/>
                      <w:kern w:val="0"/>
                      <w:sz w:val="21"/>
                      <w:szCs w:val="21"/>
                    </w:rPr>
                  </w:pPr>
                  <w:r>
                    <w:rPr>
                      <w:rFonts w:hint="default" w:ascii="Times New Roman" w:hAnsi="Times New Roman" w:eastAsia="宋体" w:cs="Times New Roman"/>
                      <w:b/>
                      <w:color w:val="auto"/>
                      <w:kern w:val="0"/>
                      <w:sz w:val="21"/>
                      <w:szCs w:val="21"/>
                    </w:rPr>
                    <w:t>达标判定依据</w:t>
                  </w:r>
                </w:p>
              </w:tc>
            </w:tr>
            <w:tr w14:paraId="366EF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59" w:type="dxa"/>
                  <w:vMerge w:val="restart"/>
                  <w:noWrap w:val="0"/>
                  <w:vAlign w:val="center"/>
                </w:tcPr>
                <w:p w14:paraId="42321433">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TSP</w:t>
                  </w:r>
                </w:p>
              </w:tc>
              <w:tc>
                <w:tcPr>
                  <w:tcW w:w="1559" w:type="dxa"/>
                  <w:vMerge w:val="restart"/>
                  <w:noWrap w:val="0"/>
                  <w:vAlign w:val="center"/>
                </w:tcPr>
                <w:p w14:paraId="313B8C08">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bCs/>
                      <w:color w:val="auto"/>
                      <w:kern w:val="0"/>
                      <w:sz w:val="21"/>
                      <w:szCs w:val="21"/>
                    </w:rPr>
                    <w:t>μg/m</w:t>
                  </w:r>
                  <w:r>
                    <w:rPr>
                      <w:rFonts w:hint="default" w:ascii="Times New Roman" w:hAnsi="Times New Roman" w:eastAsia="宋体" w:cs="Times New Roman"/>
                      <w:bCs/>
                      <w:color w:val="auto"/>
                      <w:kern w:val="0"/>
                      <w:sz w:val="21"/>
                      <w:szCs w:val="21"/>
                      <w:vertAlign w:val="superscript"/>
                    </w:rPr>
                    <w:t>3</w:t>
                  </w:r>
                </w:p>
              </w:tc>
              <w:tc>
                <w:tcPr>
                  <w:tcW w:w="2881" w:type="dxa"/>
                  <w:noWrap w:val="0"/>
                  <w:vAlign w:val="center"/>
                </w:tcPr>
                <w:p w14:paraId="7F44F0AA">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1000</w:t>
                  </w:r>
                </w:p>
              </w:tc>
              <w:tc>
                <w:tcPr>
                  <w:tcW w:w="2131" w:type="dxa"/>
                  <w:noWrap w:val="0"/>
                  <w:vAlign w:val="center"/>
                </w:tcPr>
                <w:p w14:paraId="207268C2">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超标次数≤1次/日</w:t>
                  </w:r>
                </w:p>
              </w:tc>
            </w:tr>
            <w:tr w14:paraId="2ACB2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59" w:type="dxa"/>
                  <w:vMerge w:val="continue"/>
                  <w:noWrap w:val="0"/>
                  <w:vAlign w:val="center"/>
                </w:tcPr>
                <w:p w14:paraId="619EBA93">
                  <w:pPr>
                    <w:jc w:val="center"/>
                    <w:rPr>
                      <w:rFonts w:hint="default" w:ascii="Times New Roman" w:hAnsi="Times New Roman" w:eastAsia="宋体" w:cs="Times New Roman"/>
                      <w:color w:val="auto"/>
                      <w:kern w:val="0"/>
                      <w:sz w:val="21"/>
                      <w:szCs w:val="21"/>
                    </w:rPr>
                  </w:pPr>
                </w:p>
              </w:tc>
              <w:tc>
                <w:tcPr>
                  <w:tcW w:w="1559" w:type="dxa"/>
                  <w:vMerge w:val="continue"/>
                  <w:noWrap w:val="0"/>
                  <w:vAlign w:val="center"/>
                </w:tcPr>
                <w:p w14:paraId="5235FB0A">
                  <w:pPr>
                    <w:jc w:val="center"/>
                    <w:rPr>
                      <w:rFonts w:hint="default" w:ascii="Times New Roman" w:hAnsi="Times New Roman" w:eastAsia="宋体" w:cs="Times New Roman"/>
                      <w:color w:val="auto"/>
                      <w:kern w:val="0"/>
                      <w:sz w:val="21"/>
                      <w:szCs w:val="21"/>
                    </w:rPr>
                  </w:pPr>
                </w:p>
              </w:tc>
              <w:tc>
                <w:tcPr>
                  <w:tcW w:w="2881" w:type="dxa"/>
                  <w:noWrap w:val="0"/>
                  <w:vAlign w:val="center"/>
                </w:tcPr>
                <w:p w14:paraId="32E386F6">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500</w:t>
                  </w:r>
                </w:p>
              </w:tc>
              <w:tc>
                <w:tcPr>
                  <w:tcW w:w="2131" w:type="dxa"/>
                  <w:noWrap w:val="0"/>
                  <w:vAlign w:val="center"/>
                </w:tcPr>
                <w:p w14:paraId="1ADCD908">
                  <w:pPr>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超标次数≤6次/日</w:t>
                  </w:r>
                </w:p>
              </w:tc>
            </w:tr>
            <w:tr w14:paraId="24DCC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30" w:type="dxa"/>
                  <w:gridSpan w:val="4"/>
                  <w:noWrap w:val="0"/>
                  <w:vAlign w:val="center"/>
                </w:tcPr>
                <w:p w14:paraId="7F6AF1A5">
                  <w:pPr>
                    <w:jc w:val="left"/>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任一监测点自整时起依次顺延15分钟的TSP浓度平均值不得超过的限值。超标次数指一个日历日96个TSP 15分钟浓度平均值超过监测点浓度限值的次数。</w:t>
                  </w:r>
                </w:p>
                <w:p w14:paraId="1E76F43C">
                  <w:pPr>
                    <w:jc w:val="left"/>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根据 HJ633 判定设区市 AQI 在 200~300之间且首要污染物为PM</w:t>
                  </w:r>
                  <w:r>
                    <w:rPr>
                      <w:rFonts w:hint="eastAsia" w:cs="Times New Roman"/>
                      <w:color w:val="auto"/>
                      <w:kern w:val="0"/>
                      <w:sz w:val="21"/>
                      <w:szCs w:val="21"/>
                      <w:vertAlign w:val="subscript"/>
                      <w:lang w:val="en-US" w:eastAsia="zh-CN"/>
                    </w:rPr>
                    <w:t>10</w:t>
                  </w:r>
                  <w:r>
                    <w:rPr>
                      <w:rFonts w:hint="default" w:ascii="Times New Roman" w:hAnsi="Times New Roman" w:eastAsia="宋体" w:cs="Times New Roman"/>
                      <w:color w:val="auto"/>
                      <w:kern w:val="0"/>
                      <w:sz w:val="21"/>
                      <w:szCs w:val="21"/>
                    </w:rPr>
                    <w:t>或PM</w:t>
                  </w:r>
                  <w:r>
                    <w:rPr>
                      <w:rFonts w:hint="eastAsia" w:cs="Times New Roman"/>
                      <w:color w:val="auto"/>
                      <w:kern w:val="0"/>
                      <w:sz w:val="21"/>
                      <w:szCs w:val="21"/>
                      <w:vertAlign w:val="subscript"/>
                      <w:lang w:val="en-US" w:eastAsia="zh-CN"/>
                    </w:rPr>
                    <w:t>2.5</w:t>
                  </w:r>
                  <w:r>
                    <w:rPr>
                      <w:rFonts w:hint="default" w:ascii="Times New Roman" w:hAnsi="Times New Roman" w:eastAsia="宋体" w:cs="Times New Roman"/>
                      <w:color w:val="auto"/>
                      <w:kern w:val="0"/>
                      <w:sz w:val="21"/>
                      <w:szCs w:val="21"/>
                    </w:rPr>
                    <w:t>时，TSP 实测值扣除200</w:t>
                  </w:r>
                  <w:r>
                    <w:rPr>
                      <w:rFonts w:hint="default" w:ascii="Times New Roman" w:hAnsi="Times New Roman" w:eastAsia="宋体" w:cs="Times New Roman"/>
                      <w:bCs/>
                      <w:color w:val="auto"/>
                      <w:kern w:val="0"/>
                      <w:sz w:val="21"/>
                      <w:szCs w:val="21"/>
                    </w:rPr>
                    <w:t>μ</w:t>
                  </w:r>
                  <w:r>
                    <w:rPr>
                      <w:rFonts w:hint="default" w:ascii="Times New Roman" w:hAnsi="Times New Roman" w:eastAsia="宋体" w:cs="Times New Roman"/>
                      <w:color w:val="auto"/>
                      <w:kern w:val="0"/>
                      <w:sz w:val="21"/>
                      <w:szCs w:val="21"/>
                    </w:rPr>
                    <w:t>g/m</w:t>
                  </w:r>
                  <w:r>
                    <w:rPr>
                      <w:rFonts w:hint="default" w:ascii="Times New Roman" w:hAnsi="Times New Roman" w:eastAsia="宋体" w:cs="Times New Roman"/>
                      <w:color w:val="auto"/>
                      <w:kern w:val="0"/>
                      <w:sz w:val="21"/>
                      <w:szCs w:val="21"/>
                      <w:vertAlign w:val="superscript"/>
                    </w:rPr>
                    <w:t>3</w:t>
                  </w:r>
                  <w:r>
                    <w:rPr>
                      <w:rFonts w:hint="default" w:ascii="Times New Roman" w:hAnsi="Times New Roman" w:eastAsia="宋体" w:cs="Times New Roman"/>
                      <w:color w:val="auto"/>
                      <w:kern w:val="0"/>
                      <w:sz w:val="21"/>
                      <w:szCs w:val="21"/>
                    </w:rPr>
                    <w:t>后再进行评</w:t>
                  </w:r>
                </w:p>
              </w:tc>
            </w:tr>
          </w:tbl>
          <w:p w14:paraId="54B7EC6E">
            <w:pPr>
              <w:snapToGrid w:val="0"/>
              <w:spacing w:line="360" w:lineRule="auto"/>
              <w:rPr>
                <w:b/>
                <w:color w:val="auto"/>
                <w:sz w:val="24"/>
              </w:rPr>
            </w:pPr>
            <w:r>
              <w:rPr>
                <w:b/>
                <w:color w:val="auto"/>
                <w:sz w:val="24"/>
              </w:rPr>
              <w:t>2、废水</w:t>
            </w:r>
          </w:p>
          <w:p w14:paraId="796553CC">
            <w:pPr>
              <w:spacing w:line="360" w:lineRule="auto"/>
              <w:ind w:firstLine="480" w:firstLineChars="200"/>
              <w:rPr>
                <w:color w:val="auto"/>
                <w:sz w:val="24"/>
              </w:rPr>
            </w:pPr>
            <w:r>
              <w:rPr>
                <w:rFonts w:hint="eastAsia" w:ascii="Times New Roman" w:hAnsi="Times New Roman" w:eastAsia="宋体" w:cs="Times New Roman"/>
                <w:color w:val="auto"/>
                <w:sz w:val="24"/>
                <w:lang w:eastAsia="zh-CN"/>
              </w:rPr>
              <w:t>本项目废水</w:t>
            </w:r>
            <w:r>
              <w:rPr>
                <w:rFonts w:hint="eastAsia" w:ascii="Times New Roman" w:hAnsi="Times New Roman" w:eastAsia="宋体" w:cs="Times New Roman"/>
                <w:color w:val="auto"/>
                <w:sz w:val="24"/>
                <w:lang w:val="en-US" w:eastAsia="zh-CN"/>
              </w:rPr>
              <w:t>新建管道</w:t>
            </w:r>
            <w:r>
              <w:rPr>
                <w:rFonts w:hint="eastAsia" w:cs="Times New Roman"/>
                <w:color w:val="auto"/>
                <w:sz w:val="24"/>
                <w:lang w:val="en-US" w:eastAsia="zh-CN"/>
              </w:rPr>
              <w:t>输送</w:t>
            </w:r>
            <w:r>
              <w:rPr>
                <w:rFonts w:hint="eastAsia" w:ascii="Times New Roman" w:hAnsi="Times New Roman" w:eastAsia="宋体" w:cs="Times New Roman"/>
                <w:color w:val="auto"/>
                <w:sz w:val="24"/>
                <w:lang w:val="en-US" w:eastAsia="zh-CN"/>
              </w:rPr>
              <w:t>至池州中器环保科技有限公司的污水处理设施处理后，接管浓度由中器再生与中器环保商定</w:t>
            </w:r>
            <w:r>
              <w:rPr>
                <w:rFonts w:hint="eastAsia"/>
                <w:color w:val="auto"/>
                <w:sz w:val="24"/>
                <w:lang w:eastAsia="zh-CN"/>
              </w:rPr>
              <w:t>。</w:t>
            </w:r>
            <w:r>
              <w:rPr>
                <w:rFonts w:hint="eastAsia" w:ascii="Times New Roman" w:hAnsi="Times New Roman" w:eastAsia="宋体" w:cs="Times New Roman"/>
                <w:color w:val="auto"/>
                <w:sz w:val="24"/>
                <w:lang w:val="en-US" w:eastAsia="zh-CN"/>
              </w:rPr>
              <w:t>池州中器环保科技有限公司处理后的废水接管东至经开区污水处理厂，项目废水排</w:t>
            </w:r>
            <w:r>
              <w:rPr>
                <w:rFonts w:hint="eastAsia"/>
                <w:color w:val="auto"/>
                <w:sz w:val="24"/>
                <w:lang w:eastAsia="zh-CN"/>
              </w:rPr>
              <w:t>放执行东至经开区污水处理厂的接管标准，无接管标准的执行《污水综合排放标准》（GB8978-1996）中的三级标准</w:t>
            </w:r>
            <w:r>
              <w:rPr>
                <w:rFonts w:hint="eastAsia"/>
                <w:color w:val="auto"/>
                <w:sz w:val="24"/>
              </w:rPr>
              <w:t>。</w:t>
            </w:r>
          </w:p>
          <w:p w14:paraId="480DB691">
            <w:pPr>
              <w:spacing w:line="360" w:lineRule="auto"/>
              <w:ind w:firstLine="480" w:firstLineChars="200"/>
              <w:rPr>
                <w:color w:val="auto"/>
                <w:sz w:val="24"/>
              </w:rPr>
            </w:pPr>
            <w:r>
              <w:rPr>
                <w:rFonts w:hint="eastAsia"/>
                <w:color w:val="auto"/>
                <w:sz w:val="24"/>
                <w:lang w:eastAsia="zh-CN"/>
              </w:rPr>
              <w:t>东至经开区</w:t>
            </w:r>
            <w:r>
              <w:rPr>
                <w:color w:val="auto"/>
                <w:sz w:val="24"/>
              </w:rPr>
              <w:t>污水处理厂出水执行《城镇污水处理厂污染物排放标准》（GB18918-2002）一级标准中A标准）。具体</w:t>
            </w:r>
            <w:r>
              <w:rPr>
                <w:rFonts w:hint="eastAsia"/>
                <w:color w:val="auto"/>
                <w:sz w:val="24"/>
              </w:rPr>
              <w:t>排放限</w:t>
            </w:r>
            <w:r>
              <w:rPr>
                <w:color w:val="auto"/>
                <w:sz w:val="24"/>
              </w:rPr>
              <w:t>值见下表。</w:t>
            </w:r>
          </w:p>
          <w:p w14:paraId="30C444F4">
            <w:pPr>
              <w:widowControl/>
              <w:jc w:val="center"/>
              <w:rPr>
                <w:b/>
                <w:color w:val="auto"/>
                <w:kern w:val="0"/>
                <w:szCs w:val="21"/>
              </w:rPr>
            </w:pPr>
            <w:r>
              <w:rPr>
                <w:rFonts w:hint="eastAsia"/>
                <w:b/>
                <w:color w:val="auto"/>
                <w:kern w:val="0"/>
                <w:szCs w:val="21"/>
              </w:rPr>
              <w:t>表</w:t>
            </w:r>
            <w:r>
              <w:rPr>
                <w:rFonts w:hint="eastAsia"/>
                <w:b/>
                <w:color w:val="auto"/>
                <w:kern w:val="0"/>
                <w:szCs w:val="21"/>
                <w:lang w:val="en-US" w:eastAsia="zh-CN"/>
              </w:rPr>
              <w:t>3-6</w:t>
            </w:r>
            <w:r>
              <w:rPr>
                <w:b/>
                <w:color w:val="auto"/>
                <w:kern w:val="0"/>
                <w:szCs w:val="21"/>
              </w:rPr>
              <w:t xml:space="preserve"> 废水污染物排放</w:t>
            </w:r>
            <w:r>
              <w:rPr>
                <w:rFonts w:hint="eastAsia"/>
                <w:b/>
                <w:color w:val="auto"/>
                <w:kern w:val="0"/>
                <w:szCs w:val="21"/>
              </w:rPr>
              <w:t>限值</w:t>
            </w:r>
            <w:r>
              <w:rPr>
                <w:b/>
                <w:color w:val="auto"/>
                <w:kern w:val="0"/>
                <w:szCs w:val="21"/>
              </w:rPr>
              <w:t xml:space="preserve">  单位：mg/L，pH无量纲</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0"/>
              <w:gridCol w:w="633"/>
              <w:gridCol w:w="741"/>
              <w:gridCol w:w="821"/>
              <w:gridCol w:w="741"/>
              <w:gridCol w:w="531"/>
              <w:gridCol w:w="485"/>
              <w:gridCol w:w="531"/>
              <w:gridCol w:w="656"/>
            </w:tblGrid>
            <w:tr w14:paraId="73A9A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9" w:type="pct"/>
                  <w:vAlign w:val="center"/>
                </w:tcPr>
                <w:p w14:paraId="6BBD84BD">
                  <w:pPr>
                    <w:jc w:val="center"/>
                    <w:rPr>
                      <w:b/>
                      <w:color w:val="auto"/>
                      <w:szCs w:val="21"/>
                    </w:rPr>
                  </w:pPr>
                  <w:r>
                    <w:rPr>
                      <w:b/>
                      <w:color w:val="auto"/>
                      <w:szCs w:val="21"/>
                    </w:rPr>
                    <w:t>污染物</w:t>
                  </w:r>
                </w:p>
              </w:tc>
              <w:tc>
                <w:tcPr>
                  <w:tcW w:w="392" w:type="pct"/>
                  <w:vAlign w:val="center"/>
                </w:tcPr>
                <w:p w14:paraId="7B2972BB">
                  <w:pPr>
                    <w:jc w:val="center"/>
                    <w:rPr>
                      <w:b/>
                      <w:color w:val="auto"/>
                      <w:szCs w:val="21"/>
                    </w:rPr>
                  </w:pPr>
                  <w:r>
                    <w:rPr>
                      <w:b/>
                      <w:color w:val="auto"/>
                      <w:szCs w:val="21"/>
                    </w:rPr>
                    <w:t>pH</w:t>
                  </w:r>
                </w:p>
              </w:tc>
              <w:tc>
                <w:tcPr>
                  <w:tcW w:w="457" w:type="pct"/>
                  <w:vAlign w:val="center"/>
                </w:tcPr>
                <w:p w14:paraId="305BB15B">
                  <w:pPr>
                    <w:jc w:val="center"/>
                    <w:rPr>
                      <w:b/>
                      <w:color w:val="auto"/>
                      <w:szCs w:val="21"/>
                    </w:rPr>
                  </w:pPr>
                  <w:r>
                    <w:rPr>
                      <w:b/>
                      <w:color w:val="auto"/>
                      <w:szCs w:val="21"/>
                    </w:rPr>
                    <w:t>COD</w:t>
                  </w:r>
                </w:p>
              </w:tc>
              <w:tc>
                <w:tcPr>
                  <w:tcW w:w="506" w:type="pct"/>
                  <w:vAlign w:val="center"/>
                </w:tcPr>
                <w:p w14:paraId="682A1ED1">
                  <w:pPr>
                    <w:jc w:val="center"/>
                    <w:rPr>
                      <w:b/>
                      <w:color w:val="auto"/>
                      <w:szCs w:val="21"/>
                    </w:rPr>
                  </w:pPr>
                  <w:r>
                    <w:rPr>
                      <w:b/>
                      <w:color w:val="auto"/>
                      <w:szCs w:val="21"/>
                    </w:rPr>
                    <w:t>NH</w:t>
                  </w:r>
                  <w:r>
                    <w:rPr>
                      <w:b/>
                      <w:color w:val="auto"/>
                      <w:szCs w:val="21"/>
                      <w:vertAlign w:val="subscript"/>
                    </w:rPr>
                    <w:t>3</w:t>
                  </w:r>
                  <w:r>
                    <w:rPr>
                      <w:b/>
                      <w:color w:val="auto"/>
                      <w:szCs w:val="21"/>
                    </w:rPr>
                    <w:t>-N</w:t>
                  </w:r>
                </w:p>
              </w:tc>
              <w:tc>
                <w:tcPr>
                  <w:tcW w:w="457" w:type="pct"/>
                  <w:vAlign w:val="center"/>
                </w:tcPr>
                <w:p w14:paraId="5971340B">
                  <w:pPr>
                    <w:jc w:val="center"/>
                    <w:rPr>
                      <w:b/>
                      <w:color w:val="auto"/>
                      <w:szCs w:val="21"/>
                    </w:rPr>
                  </w:pPr>
                  <w:r>
                    <w:rPr>
                      <w:b/>
                      <w:color w:val="auto"/>
                      <w:szCs w:val="21"/>
                    </w:rPr>
                    <w:t>BOD</w:t>
                  </w:r>
                  <w:r>
                    <w:rPr>
                      <w:b/>
                      <w:color w:val="auto"/>
                      <w:szCs w:val="21"/>
                      <w:vertAlign w:val="subscript"/>
                    </w:rPr>
                    <w:t>5</w:t>
                  </w:r>
                </w:p>
              </w:tc>
              <w:tc>
                <w:tcPr>
                  <w:tcW w:w="327" w:type="pct"/>
                  <w:vAlign w:val="center"/>
                </w:tcPr>
                <w:p w14:paraId="76C999E5">
                  <w:pPr>
                    <w:jc w:val="center"/>
                    <w:rPr>
                      <w:b/>
                      <w:color w:val="auto"/>
                      <w:szCs w:val="21"/>
                    </w:rPr>
                  </w:pPr>
                  <w:r>
                    <w:rPr>
                      <w:b/>
                      <w:color w:val="auto"/>
                      <w:szCs w:val="21"/>
                    </w:rPr>
                    <w:t>SS</w:t>
                  </w:r>
                </w:p>
              </w:tc>
              <w:tc>
                <w:tcPr>
                  <w:tcW w:w="299" w:type="pct"/>
                  <w:vAlign w:val="center"/>
                </w:tcPr>
                <w:p w14:paraId="09CE8ED5">
                  <w:pPr>
                    <w:jc w:val="center"/>
                    <w:rPr>
                      <w:b/>
                      <w:color w:val="auto"/>
                      <w:szCs w:val="21"/>
                    </w:rPr>
                  </w:pPr>
                  <w:r>
                    <w:rPr>
                      <w:b/>
                      <w:color w:val="auto"/>
                      <w:szCs w:val="21"/>
                    </w:rPr>
                    <w:t>TP</w:t>
                  </w:r>
                </w:p>
              </w:tc>
              <w:tc>
                <w:tcPr>
                  <w:tcW w:w="327" w:type="pct"/>
                  <w:vAlign w:val="center"/>
                </w:tcPr>
                <w:p w14:paraId="3F79DEC9">
                  <w:pPr>
                    <w:jc w:val="center"/>
                    <w:rPr>
                      <w:b/>
                      <w:color w:val="auto"/>
                      <w:szCs w:val="21"/>
                    </w:rPr>
                  </w:pPr>
                  <w:r>
                    <w:rPr>
                      <w:b/>
                      <w:color w:val="auto"/>
                      <w:szCs w:val="21"/>
                    </w:rPr>
                    <w:t>TN</w:t>
                  </w:r>
                </w:p>
              </w:tc>
              <w:tc>
                <w:tcPr>
                  <w:tcW w:w="400" w:type="pct"/>
                  <w:vAlign w:val="center"/>
                </w:tcPr>
                <w:p w14:paraId="75C58934">
                  <w:pPr>
                    <w:jc w:val="center"/>
                    <w:rPr>
                      <w:b/>
                      <w:color w:val="auto"/>
                      <w:szCs w:val="21"/>
                    </w:rPr>
                  </w:pPr>
                  <w:r>
                    <w:rPr>
                      <w:b/>
                      <w:color w:val="auto"/>
                      <w:szCs w:val="21"/>
                    </w:rPr>
                    <w:t>动植物油</w:t>
                  </w:r>
                </w:p>
              </w:tc>
            </w:tr>
            <w:tr w14:paraId="7BD69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jc w:val="center"/>
              </w:trPr>
              <w:tc>
                <w:tcPr>
                  <w:tcW w:w="1829" w:type="pct"/>
                  <w:vAlign w:val="center"/>
                </w:tcPr>
                <w:p w14:paraId="48BD036B">
                  <w:pPr>
                    <w:jc w:val="center"/>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中器再生与中器环保商定浓度</w:t>
                  </w:r>
                </w:p>
              </w:tc>
              <w:tc>
                <w:tcPr>
                  <w:tcW w:w="392" w:type="pct"/>
                  <w:vAlign w:val="center"/>
                </w:tcPr>
                <w:p w14:paraId="2DC0794D">
                  <w:pPr>
                    <w:jc w:val="center"/>
                    <w:rPr>
                      <w:rFonts w:hint="eastAsia"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w:t>
                  </w:r>
                </w:p>
              </w:tc>
              <w:tc>
                <w:tcPr>
                  <w:tcW w:w="457" w:type="pct"/>
                  <w:vAlign w:val="center"/>
                </w:tcPr>
                <w:p w14:paraId="1A7E0375">
                  <w:pPr>
                    <w:jc w:val="center"/>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45000</w:t>
                  </w:r>
                </w:p>
              </w:tc>
              <w:tc>
                <w:tcPr>
                  <w:tcW w:w="506" w:type="pct"/>
                  <w:vAlign w:val="center"/>
                </w:tcPr>
                <w:p w14:paraId="5C1BAD4B">
                  <w:pPr>
                    <w:jc w:val="center"/>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185</w:t>
                  </w:r>
                </w:p>
              </w:tc>
              <w:tc>
                <w:tcPr>
                  <w:tcW w:w="457" w:type="pct"/>
                  <w:vAlign w:val="center"/>
                </w:tcPr>
                <w:p w14:paraId="31A7C648">
                  <w:pPr>
                    <w:jc w:val="center"/>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21000</w:t>
                  </w:r>
                </w:p>
              </w:tc>
              <w:tc>
                <w:tcPr>
                  <w:tcW w:w="327" w:type="pct"/>
                  <w:vAlign w:val="center"/>
                </w:tcPr>
                <w:p w14:paraId="7B884E76">
                  <w:pPr>
                    <w:jc w:val="center"/>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500</w:t>
                  </w:r>
                </w:p>
              </w:tc>
              <w:tc>
                <w:tcPr>
                  <w:tcW w:w="299" w:type="pct"/>
                  <w:vAlign w:val="center"/>
                </w:tcPr>
                <w:p w14:paraId="5D312419">
                  <w:pPr>
                    <w:jc w:val="center"/>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96</w:t>
                  </w:r>
                </w:p>
              </w:tc>
              <w:tc>
                <w:tcPr>
                  <w:tcW w:w="327" w:type="pct"/>
                  <w:vAlign w:val="center"/>
                </w:tcPr>
                <w:p w14:paraId="55BE5841">
                  <w:pPr>
                    <w:jc w:val="center"/>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185</w:t>
                  </w:r>
                </w:p>
              </w:tc>
              <w:tc>
                <w:tcPr>
                  <w:tcW w:w="400" w:type="pct"/>
                  <w:vAlign w:val="center"/>
                </w:tcPr>
                <w:p w14:paraId="0F2EA5E6">
                  <w:pPr>
                    <w:jc w:val="center"/>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7300</w:t>
                  </w:r>
                </w:p>
              </w:tc>
            </w:tr>
            <w:tr w14:paraId="607A4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9" w:type="pct"/>
                  <w:vAlign w:val="center"/>
                </w:tcPr>
                <w:p w14:paraId="47D03BF9">
                  <w:pPr>
                    <w:jc w:val="center"/>
                    <w:rPr>
                      <w:color w:val="auto"/>
                      <w:szCs w:val="21"/>
                    </w:rPr>
                  </w:pPr>
                  <w:r>
                    <w:rPr>
                      <w:rFonts w:hint="eastAsia"/>
                      <w:bCs/>
                      <w:color w:val="auto"/>
                      <w:szCs w:val="21"/>
                      <w:lang w:eastAsia="zh-CN"/>
                    </w:rPr>
                    <w:t>东至经开区</w:t>
                  </w:r>
                  <w:r>
                    <w:rPr>
                      <w:bCs/>
                      <w:color w:val="auto"/>
                      <w:szCs w:val="21"/>
                    </w:rPr>
                    <w:t>污水处理厂接管限值</w:t>
                  </w:r>
                </w:p>
              </w:tc>
              <w:tc>
                <w:tcPr>
                  <w:tcW w:w="392" w:type="pct"/>
                  <w:vAlign w:val="center"/>
                </w:tcPr>
                <w:p w14:paraId="3999A2FE">
                  <w:pPr>
                    <w:pStyle w:val="21"/>
                    <w:jc w:val="center"/>
                    <w:rPr>
                      <w:color w:val="auto"/>
                      <w:kern w:val="2"/>
                      <w:sz w:val="21"/>
                      <w:szCs w:val="21"/>
                    </w:rPr>
                  </w:pPr>
                  <w:r>
                    <w:rPr>
                      <w:color w:val="auto"/>
                      <w:kern w:val="2"/>
                      <w:sz w:val="21"/>
                      <w:szCs w:val="21"/>
                    </w:rPr>
                    <w:t>6-9</w:t>
                  </w:r>
                </w:p>
              </w:tc>
              <w:tc>
                <w:tcPr>
                  <w:tcW w:w="457" w:type="pct"/>
                  <w:vAlign w:val="center"/>
                </w:tcPr>
                <w:p w14:paraId="59960F7D">
                  <w:pPr>
                    <w:pStyle w:val="21"/>
                    <w:jc w:val="center"/>
                    <w:rPr>
                      <w:color w:val="auto"/>
                      <w:kern w:val="2"/>
                      <w:sz w:val="21"/>
                      <w:szCs w:val="21"/>
                    </w:rPr>
                  </w:pPr>
                  <w:r>
                    <w:rPr>
                      <w:rFonts w:hint="eastAsia"/>
                      <w:color w:val="auto"/>
                      <w:kern w:val="2"/>
                      <w:sz w:val="21"/>
                      <w:szCs w:val="21"/>
                      <w:lang w:val="en-US" w:eastAsia="zh-CN"/>
                    </w:rPr>
                    <w:t>50</w:t>
                  </w:r>
                  <w:r>
                    <w:rPr>
                      <w:color w:val="auto"/>
                      <w:kern w:val="2"/>
                      <w:sz w:val="21"/>
                      <w:szCs w:val="21"/>
                    </w:rPr>
                    <w:t>0</w:t>
                  </w:r>
                </w:p>
              </w:tc>
              <w:tc>
                <w:tcPr>
                  <w:tcW w:w="506" w:type="pct"/>
                  <w:vAlign w:val="center"/>
                </w:tcPr>
                <w:p w14:paraId="522AD7FD">
                  <w:pPr>
                    <w:pStyle w:val="21"/>
                    <w:jc w:val="center"/>
                    <w:rPr>
                      <w:color w:val="auto"/>
                      <w:kern w:val="2"/>
                      <w:sz w:val="21"/>
                      <w:szCs w:val="21"/>
                    </w:rPr>
                  </w:pPr>
                  <w:r>
                    <w:rPr>
                      <w:color w:val="auto"/>
                      <w:kern w:val="2"/>
                      <w:sz w:val="21"/>
                      <w:szCs w:val="21"/>
                    </w:rPr>
                    <w:t>25</w:t>
                  </w:r>
                </w:p>
              </w:tc>
              <w:tc>
                <w:tcPr>
                  <w:tcW w:w="457" w:type="pct"/>
                  <w:vAlign w:val="center"/>
                </w:tcPr>
                <w:p w14:paraId="14193B80">
                  <w:pPr>
                    <w:pStyle w:val="21"/>
                    <w:jc w:val="center"/>
                    <w:rPr>
                      <w:color w:val="auto"/>
                      <w:kern w:val="2"/>
                      <w:sz w:val="21"/>
                      <w:szCs w:val="21"/>
                    </w:rPr>
                  </w:pPr>
                  <w:r>
                    <w:rPr>
                      <w:color w:val="auto"/>
                      <w:kern w:val="2"/>
                      <w:sz w:val="21"/>
                      <w:szCs w:val="21"/>
                    </w:rPr>
                    <w:t>1</w:t>
                  </w:r>
                  <w:r>
                    <w:rPr>
                      <w:rFonts w:hint="eastAsia"/>
                      <w:color w:val="auto"/>
                      <w:kern w:val="2"/>
                      <w:sz w:val="21"/>
                      <w:szCs w:val="21"/>
                      <w:lang w:val="en-US" w:eastAsia="zh-CN"/>
                    </w:rPr>
                    <w:t>0</w:t>
                  </w:r>
                  <w:r>
                    <w:rPr>
                      <w:color w:val="auto"/>
                      <w:kern w:val="2"/>
                      <w:sz w:val="21"/>
                      <w:szCs w:val="21"/>
                    </w:rPr>
                    <w:t>0</w:t>
                  </w:r>
                </w:p>
              </w:tc>
              <w:tc>
                <w:tcPr>
                  <w:tcW w:w="327" w:type="pct"/>
                  <w:vAlign w:val="center"/>
                </w:tcPr>
                <w:p w14:paraId="131AA2A0">
                  <w:pPr>
                    <w:pStyle w:val="21"/>
                    <w:jc w:val="center"/>
                    <w:rPr>
                      <w:color w:val="auto"/>
                      <w:kern w:val="2"/>
                      <w:sz w:val="21"/>
                      <w:szCs w:val="21"/>
                    </w:rPr>
                  </w:pPr>
                  <w:r>
                    <w:rPr>
                      <w:rFonts w:hint="eastAsia"/>
                      <w:color w:val="auto"/>
                      <w:kern w:val="2"/>
                      <w:sz w:val="21"/>
                      <w:szCs w:val="21"/>
                      <w:lang w:val="en-US" w:eastAsia="zh-CN"/>
                    </w:rPr>
                    <w:t>30</w:t>
                  </w:r>
                  <w:r>
                    <w:rPr>
                      <w:color w:val="auto"/>
                      <w:kern w:val="2"/>
                      <w:sz w:val="21"/>
                      <w:szCs w:val="21"/>
                    </w:rPr>
                    <w:t>0</w:t>
                  </w:r>
                </w:p>
              </w:tc>
              <w:tc>
                <w:tcPr>
                  <w:tcW w:w="299" w:type="pct"/>
                  <w:vAlign w:val="center"/>
                </w:tcPr>
                <w:p w14:paraId="753C03B4">
                  <w:pPr>
                    <w:pStyle w:val="21"/>
                    <w:jc w:val="center"/>
                    <w:rPr>
                      <w:rFonts w:hint="default" w:eastAsia="宋体"/>
                      <w:color w:val="auto"/>
                      <w:kern w:val="2"/>
                      <w:sz w:val="21"/>
                      <w:szCs w:val="21"/>
                      <w:lang w:val="en-US" w:eastAsia="zh-CN"/>
                    </w:rPr>
                  </w:pPr>
                  <w:r>
                    <w:rPr>
                      <w:rFonts w:hint="eastAsia"/>
                      <w:color w:val="auto"/>
                      <w:kern w:val="2"/>
                      <w:sz w:val="21"/>
                      <w:szCs w:val="21"/>
                      <w:lang w:val="en-US" w:eastAsia="zh-CN"/>
                    </w:rPr>
                    <w:t>3.0</w:t>
                  </w:r>
                </w:p>
              </w:tc>
              <w:tc>
                <w:tcPr>
                  <w:tcW w:w="327" w:type="pct"/>
                  <w:vAlign w:val="center"/>
                </w:tcPr>
                <w:p w14:paraId="26CD9793">
                  <w:pPr>
                    <w:pStyle w:val="21"/>
                    <w:jc w:val="center"/>
                    <w:rPr>
                      <w:rFonts w:hint="default" w:eastAsia="宋体"/>
                      <w:color w:val="auto"/>
                      <w:kern w:val="2"/>
                      <w:sz w:val="21"/>
                      <w:szCs w:val="21"/>
                      <w:lang w:val="en-US" w:eastAsia="zh-CN"/>
                    </w:rPr>
                  </w:pPr>
                  <w:r>
                    <w:rPr>
                      <w:rFonts w:hint="eastAsia"/>
                      <w:color w:val="auto"/>
                      <w:kern w:val="2"/>
                      <w:sz w:val="21"/>
                      <w:szCs w:val="21"/>
                      <w:lang w:val="en-US" w:eastAsia="zh-CN"/>
                    </w:rPr>
                    <w:t>60</w:t>
                  </w:r>
                </w:p>
              </w:tc>
              <w:tc>
                <w:tcPr>
                  <w:tcW w:w="400" w:type="pct"/>
                  <w:vAlign w:val="center"/>
                </w:tcPr>
                <w:p w14:paraId="538A6761">
                  <w:pPr>
                    <w:pStyle w:val="21"/>
                    <w:jc w:val="center"/>
                    <w:rPr>
                      <w:color w:val="auto"/>
                      <w:kern w:val="2"/>
                      <w:sz w:val="21"/>
                      <w:szCs w:val="21"/>
                    </w:rPr>
                  </w:pPr>
                  <w:r>
                    <w:rPr>
                      <w:rFonts w:hint="eastAsia"/>
                      <w:color w:val="auto"/>
                      <w:kern w:val="2"/>
                      <w:sz w:val="21"/>
                      <w:szCs w:val="21"/>
                    </w:rPr>
                    <w:t>/</w:t>
                  </w:r>
                </w:p>
              </w:tc>
            </w:tr>
            <w:tr w14:paraId="14690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9" w:type="pct"/>
                  <w:vAlign w:val="center"/>
                </w:tcPr>
                <w:p w14:paraId="3CCC03CF">
                  <w:pPr>
                    <w:jc w:val="center"/>
                    <w:rPr>
                      <w:bCs/>
                      <w:color w:val="auto"/>
                      <w:szCs w:val="21"/>
                    </w:rPr>
                  </w:pPr>
                  <w:r>
                    <w:rPr>
                      <w:rFonts w:hint="eastAsia"/>
                      <w:bCs/>
                      <w:color w:val="auto"/>
                      <w:szCs w:val="21"/>
                    </w:rPr>
                    <w:t>《污水综合排放标准》（GB8978-1996）中的三级标准</w:t>
                  </w:r>
                </w:p>
              </w:tc>
              <w:tc>
                <w:tcPr>
                  <w:tcW w:w="392" w:type="pct"/>
                  <w:vAlign w:val="center"/>
                </w:tcPr>
                <w:p w14:paraId="60D6B1E4">
                  <w:pPr>
                    <w:pStyle w:val="21"/>
                    <w:jc w:val="center"/>
                    <w:rPr>
                      <w:color w:val="auto"/>
                      <w:kern w:val="2"/>
                      <w:sz w:val="21"/>
                      <w:szCs w:val="21"/>
                    </w:rPr>
                  </w:pPr>
                  <w:r>
                    <w:rPr>
                      <w:color w:val="auto"/>
                      <w:kern w:val="2"/>
                      <w:sz w:val="21"/>
                      <w:szCs w:val="21"/>
                    </w:rPr>
                    <w:t>6-9</w:t>
                  </w:r>
                </w:p>
              </w:tc>
              <w:tc>
                <w:tcPr>
                  <w:tcW w:w="457" w:type="pct"/>
                  <w:vAlign w:val="center"/>
                </w:tcPr>
                <w:p w14:paraId="7E1F87A5">
                  <w:pPr>
                    <w:pStyle w:val="21"/>
                    <w:jc w:val="center"/>
                    <w:rPr>
                      <w:color w:val="auto"/>
                      <w:kern w:val="2"/>
                      <w:sz w:val="21"/>
                      <w:szCs w:val="21"/>
                    </w:rPr>
                  </w:pPr>
                  <w:r>
                    <w:rPr>
                      <w:rFonts w:hint="eastAsia"/>
                      <w:color w:val="auto"/>
                      <w:kern w:val="2"/>
                      <w:sz w:val="21"/>
                      <w:szCs w:val="21"/>
                    </w:rPr>
                    <w:t>500</w:t>
                  </w:r>
                </w:p>
              </w:tc>
              <w:tc>
                <w:tcPr>
                  <w:tcW w:w="506" w:type="pct"/>
                  <w:vAlign w:val="center"/>
                </w:tcPr>
                <w:p w14:paraId="11B615D0">
                  <w:pPr>
                    <w:pStyle w:val="21"/>
                    <w:jc w:val="center"/>
                    <w:rPr>
                      <w:color w:val="auto"/>
                      <w:kern w:val="2"/>
                      <w:sz w:val="21"/>
                      <w:szCs w:val="21"/>
                    </w:rPr>
                  </w:pPr>
                  <w:r>
                    <w:rPr>
                      <w:rFonts w:hint="eastAsia"/>
                      <w:color w:val="auto"/>
                      <w:kern w:val="2"/>
                      <w:sz w:val="21"/>
                      <w:szCs w:val="21"/>
                    </w:rPr>
                    <w:t>/</w:t>
                  </w:r>
                </w:p>
              </w:tc>
              <w:tc>
                <w:tcPr>
                  <w:tcW w:w="457" w:type="pct"/>
                  <w:vAlign w:val="center"/>
                </w:tcPr>
                <w:p w14:paraId="19DADB0A">
                  <w:pPr>
                    <w:pStyle w:val="21"/>
                    <w:jc w:val="center"/>
                    <w:rPr>
                      <w:color w:val="auto"/>
                      <w:kern w:val="2"/>
                      <w:sz w:val="21"/>
                      <w:szCs w:val="21"/>
                    </w:rPr>
                  </w:pPr>
                  <w:r>
                    <w:rPr>
                      <w:rFonts w:hint="eastAsia"/>
                      <w:color w:val="auto"/>
                      <w:kern w:val="2"/>
                      <w:sz w:val="21"/>
                      <w:szCs w:val="21"/>
                    </w:rPr>
                    <w:t>300</w:t>
                  </w:r>
                </w:p>
              </w:tc>
              <w:tc>
                <w:tcPr>
                  <w:tcW w:w="327" w:type="pct"/>
                  <w:vAlign w:val="center"/>
                </w:tcPr>
                <w:p w14:paraId="3DEE64CE">
                  <w:pPr>
                    <w:pStyle w:val="21"/>
                    <w:jc w:val="center"/>
                    <w:rPr>
                      <w:color w:val="auto"/>
                      <w:kern w:val="2"/>
                      <w:sz w:val="21"/>
                      <w:szCs w:val="21"/>
                    </w:rPr>
                  </w:pPr>
                  <w:r>
                    <w:rPr>
                      <w:rFonts w:hint="eastAsia"/>
                      <w:color w:val="auto"/>
                      <w:kern w:val="2"/>
                      <w:sz w:val="21"/>
                      <w:szCs w:val="21"/>
                    </w:rPr>
                    <w:t>400</w:t>
                  </w:r>
                </w:p>
              </w:tc>
              <w:tc>
                <w:tcPr>
                  <w:tcW w:w="299" w:type="pct"/>
                  <w:vAlign w:val="center"/>
                </w:tcPr>
                <w:p w14:paraId="78445B65">
                  <w:pPr>
                    <w:pStyle w:val="21"/>
                    <w:jc w:val="center"/>
                    <w:rPr>
                      <w:color w:val="auto"/>
                      <w:kern w:val="2"/>
                      <w:sz w:val="21"/>
                      <w:szCs w:val="21"/>
                    </w:rPr>
                  </w:pPr>
                  <w:r>
                    <w:rPr>
                      <w:rFonts w:hint="eastAsia"/>
                      <w:color w:val="auto"/>
                      <w:kern w:val="2"/>
                      <w:sz w:val="21"/>
                      <w:szCs w:val="21"/>
                    </w:rPr>
                    <w:t>/</w:t>
                  </w:r>
                </w:p>
              </w:tc>
              <w:tc>
                <w:tcPr>
                  <w:tcW w:w="327" w:type="pct"/>
                  <w:vAlign w:val="center"/>
                </w:tcPr>
                <w:p w14:paraId="426977EC">
                  <w:pPr>
                    <w:pStyle w:val="21"/>
                    <w:jc w:val="center"/>
                    <w:rPr>
                      <w:color w:val="auto"/>
                      <w:kern w:val="2"/>
                      <w:sz w:val="21"/>
                      <w:szCs w:val="21"/>
                    </w:rPr>
                  </w:pPr>
                  <w:r>
                    <w:rPr>
                      <w:rFonts w:hint="eastAsia"/>
                      <w:color w:val="auto"/>
                      <w:kern w:val="2"/>
                      <w:sz w:val="21"/>
                      <w:szCs w:val="21"/>
                    </w:rPr>
                    <w:t>/</w:t>
                  </w:r>
                </w:p>
              </w:tc>
              <w:tc>
                <w:tcPr>
                  <w:tcW w:w="400" w:type="pct"/>
                  <w:vAlign w:val="center"/>
                </w:tcPr>
                <w:p w14:paraId="6275B0C2">
                  <w:pPr>
                    <w:pStyle w:val="21"/>
                    <w:jc w:val="center"/>
                    <w:rPr>
                      <w:color w:val="auto"/>
                      <w:kern w:val="2"/>
                      <w:sz w:val="21"/>
                      <w:szCs w:val="21"/>
                    </w:rPr>
                  </w:pPr>
                  <w:r>
                    <w:rPr>
                      <w:rFonts w:hint="eastAsia"/>
                      <w:color w:val="auto"/>
                      <w:kern w:val="2"/>
                      <w:sz w:val="21"/>
                      <w:szCs w:val="21"/>
                    </w:rPr>
                    <w:t>100</w:t>
                  </w:r>
                </w:p>
              </w:tc>
            </w:tr>
            <w:tr w14:paraId="5454C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9" w:type="pct"/>
                  <w:vAlign w:val="center"/>
                </w:tcPr>
                <w:p w14:paraId="5C4BBD7F">
                  <w:pPr>
                    <w:jc w:val="center"/>
                    <w:rPr>
                      <w:color w:val="auto"/>
                      <w:szCs w:val="21"/>
                    </w:rPr>
                  </w:pPr>
                  <w:r>
                    <w:rPr>
                      <w:rFonts w:hint="eastAsia"/>
                      <w:color w:val="auto"/>
                      <w:szCs w:val="21"/>
                      <w:lang w:eastAsia="zh-CN"/>
                    </w:rPr>
                    <w:t>东至经开区</w:t>
                  </w:r>
                  <w:r>
                    <w:rPr>
                      <w:color w:val="auto"/>
                      <w:szCs w:val="21"/>
                    </w:rPr>
                    <w:t>污水处理厂出水执行标准</w:t>
                  </w:r>
                </w:p>
              </w:tc>
              <w:tc>
                <w:tcPr>
                  <w:tcW w:w="392" w:type="pct"/>
                  <w:vAlign w:val="center"/>
                </w:tcPr>
                <w:p w14:paraId="071420BF">
                  <w:pPr>
                    <w:jc w:val="center"/>
                    <w:rPr>
                      <w:color w:val="auto"/>
                      <w:szCs w:val="21"/>
                    </w:rPr>
                  </w:pPr>
                  <w:r>
                    <w:rPr>
                      <w:color w:val="auto"/>
                      <w:szCs w:val="21"/>
                    </w:rPr>
                    <w:t>6-9</w:t>
                  </w:r>
                </w:p>
              </w:tc>
              <w:tc>
                <w:tcPr>
                  <w:tcW w:w="457" w:type="pct"/>
                  <w:vAlign w:val="center"/>
                </w:tcPr>
                <w:p w14:paraId="117B175D">
                  <w:pPr>
                    <w:jc w:val="center"/>
                    <w:rPr>
                      <w:rFonts w:hint="default" w:eastAsia="宋体"/>
                      <w:color w:val="auto"/>
                      <w:szCs w:val="21"/>
                      <w:lang w:val="en-US" w:eastAsia="zh-CN"/>
                    </w:rPr>
                  </w:pPr>
                  <w:r>
                    <w:rPr>
                      <w:rFonts w:hint="eastAsia"/>
                      <w:color w:val="auto"/>
                      <w:szCs w:val="21"/>
                      <w:lang w:val="en-US" w:eastAsia="zh-CN"/>
                    </w:rPr>
                    <w:t>50</w:t>
                  </w:r>
                </w:p>
              </w:tc>
              <w:tc>
                <w:tcPr>
                  <w:tcW w:w="506" w:type="pct"/>
                  <w:vAlign w:val="center"/>
                </w:tcPr>
                <w:p w14:paraId="69346F0A">
                  <w:pPr>
                    <w:jc w:val="center"/>
                    <w:rPr>
                      <w:rFonts w:hint="eastAsia" w:eastAsia="宋体"/>
                      <w:color w:val="auto"/>
                      <w:szCs w:val="21"/>
                      <w:lang w:eastAsia="zh-CN"/>
                    </w:rPr>
                  </w:pPr>
                  <w:r>
                    <w:rPr>
                      <w:rFonts w:hint="eastAsia"/>
                      <w:color w:val="auto"/>
                      <w:szCs w:val="21"/>
                      <w:lang w:val="en-US" w:eastAsia="zh-CN"/>
                    </w:rPr>
                    <w:t>5（8）</w:t>
                  </w:r>
                </w:p>
              </w:tc>
              <w:tc>
                <w:tcPr>
                  <w:tcW w:w="457" w:type="pct"/>
                  <w:vAlign w:val="center"/>
                </w:tcPr>
                <w:p w14:paraId="2FB97C1F">
                  <w:pPr>
                    <w:jc w:val="center"/>
                    <w:rPr>
                      <w:color w:val="auto"/>
                      <w:szCs w:val="21"/>
                    </w:rPr>
                  </w:pPr>
                  <w:r>
                    <w:rPr>
                      <w:color w:val="auto"/>
                      <w:szCs w:val="21"/>
                    </w:rPr>
                    <w:t>10</w:t>
                  </w:r>
                </w:p>
              </w:tc>
              <w:tc>
                <w:tcPr>
                  <w:tcW w:w="327" w:type="pct"/>
                  <w:vAlign w:val="center"/>
                </w:tcPr>
                <w:p w14:paraId="07DDC714">
                  <w:pPr>
                    <w:jc w:val="center"/>
                    <w:rPr>
                      <w:color w:val="auto"/>
                      <w:szCs w:val="21"/>
                    </w:rPr>
                  </w:pPr>
                  <w:r>
                    <w:rPr>
                      <w:color w:val="auto"/>
                      <w:szCs w:val="21"/>
                    </w:rPr>
                    <w:t>10</w:t>
                  </w:r>
                </w:p>
              </w:tc>
              <w:tc>
                <w:tcPr>
                  <w:tcW w:w="299" w:type="pct"/>
                  <w:vAlign w:val="center"/>
                </w:tcPr>
                <w:p w14:paraId="1DA94FBA">
                  <w:pPr>
                    <w:jc w:val="center"/>
                    <w:rPr>
                      <w:rFonts w:hint="eastAsia" w:eastAsia="宋体"/>
                      <w:color w:val="auto"/>
                      <w:szCs w:val="21"/>
                      <w:lang w:eastAsia="zh-CN"/>
                    </w:rPr>
                  </w:pPr>
                  <w:r>
                    <w:rPr>
                      <w:color w:val="auto"/>
                      <w:szCs w:val="21"/>
                    </w:rPr>
                    <w:t>0.</w:t>
                  </w:r>
                  <w:r>
                    <w:rPr>
                      <w:rFonts w:hint="eastAsia"/>
                      <w:color w:val="auto"/>
                      <w:szCs w:val="21"/>
                      <w:lang w:val="en-US" w:eastAsia="zh-CN"/>
                    </w:rPr>
                    <w:t>5</w:t>
                  </w:r>
                </w:p>
              </w:tc>
              <w:tc>
                <w:tcPr>
                  <w:tcW w:w="327" w:type="pct"/>
                  <w:vAlign w:val="center"/>
                </w:tcPr>
                <w:p w14:paraId="1AF9B5FC">
                  <w:pPr>
                    <w:jc w:val="center"/>
                    <w:rPr>
                      <w:rFonts w:hint="default" w:eastAsia="宋体"/>
                      <w:color w:val="auto"/>
                      <w:szCs w:val="21"/>
                      <w:lang w:val="en-US" w:eastAsia="zh-CN"/>
                    </w:rPr>
                  </w:pPr>
                  <w:r>
                    <w:rPr>
                      <w:rFonts w:hint="eastAsia"/>
                      <w:color w:val="auto"/>
                      <w:szCs w:val="21"/>
                      <w:lang w:val="en-US" w:eastAsia="zh-CN"/>
                    </w:rPr>
                    <w:t>15</w:t>
                  </w:r>
                </w:p>
              </w:tc>
              <w:tc>
                <w:tcPr>
                  <w:tcW w:w="400" w:type="pct"/>
                  <w:vAlign w:val="center"/>
                </w:tcPr>
                <w:p w14:paraId="50650C82">
                  <w:pPr>
                    <w:jc w:val="center"/>
                    <w:rPr>
                      <w:color w:val="auto"/>
                      <w:szCs w:val="21"/>
                    </w:rPr>
                  </w:pPr>
                  <w:r>
                    <w:rPr>
                      <w:color w:val="auto"/>
                      <w:szCs w:val="21"/>
                    </w:rPr>
                    <w:t>1</w:t>
                  </w:r>
                </w:p>
              </w:tc>
            </w:tr>
            <w:tr w14:paraId="5E79D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9"/>
                  <w:vAlign w:val="center"/>
                </w:tcPr>
                <w:p w14:paraId="3BD88DB5">
                  <w:pPr>
                    <w:jc w:val="center"/>
                    <w:rPr>
                      <w:color w:val="auto"/>
                      <w:szCs w:val="21"/>
                    </w:rPr>
                  </w:pPr>
                  <w:r>
                    <w:rPr>
                      <w:rFonts w:hint="eastAsia"/>
                      <w:color w:val="auto"/>
                      <w:szCs w:val="21"/>
                    </w:rPr>
                    <w:t>注：括号外数值为水温&gt;12℃时的控制指标，括号内数值为水温≤12℃时的控制指标</w:t>
                  </w:r>
                </w:p>
              </w:tc>
            </w:tr>
          </w:tbl>
          <w:p w14:paraId="130D325B">
            <w:pPr>
              <w:snapToGrid w:val="0"/>
              <w:spacing w:line="360" w:lineRule="auto"/>
              <w:rPr>
                <w:b/>
                <w:color w:val="auto"/>
                <w:sz w:val="24"/>
              </w:rPr>
            </w:pPr>
            <w:r>
              <w:rPr>
                <w:b/>
                <w:color w:val="auto"/>
                <w:sz w:val="24"/>
              </w:rPr>
              <w:t>3、噪声</w:t>
            </w:r>
          </w:p>
          <w:p w14:paraId="011A0B95">
            <w:pPr>
              <w:pStyle w:val="76"/>
              <w:snapToGrid w:val="0"/>
              <w:spacing w:line="360" w:lineRule="auto"/>
              <w:ind w:firstLine="480" w:firstLineChars="200"/>
              <w:rPr>
                <w:rFonts w:ascii="Times New Roman"/>
                <w:color w:val="auto"/>
                <w:sz w:val="24"/>
                <w:szCs w:val="24"/>
              </w:rPr>
            </w:pPr>
            <w:r>
              <w:rPr>
                <w:rFonts w:ascii="Times New Roman"/>
                <w:color w:val="auto"/>
                <w:sz w:val="24"/>
                <w:szCs w:val="24"/>
              </w:rPr>
              <w:t>本项目</w:t>
            </w:r>
            <w:r>
              <w:rPr>
                <w:rFonts w:hint="eastAsia" w:ascii="Times New Roman"/>
                <w:color w:val="auto"/>
                <w:sz w:val="24"/>
                <w:szCs w:val="24"/>
                <w:lang w:val="en-US" w:eastAsia="zh-CN"/>
              </w:rPr>
              <w:t>施工期执行《建筑施工噪声排放标准》（GB 12523—2025）中的2类标准。</w:t>
            </w:r>
            <w:r>
              <w:rPr>
                <w:rFonts w:ascii="Times New Roman"/>
                <w:color w:val="auto"/>
                <w:sz w:val="24"/>
                <w:szCs w:val="24"/>
              </w:rPr>
              <w:t>运营期厂界噪声执行《工业企业厂界环境噪声排放标准》（GB12348-2008）中</w:t>
            </w:r>
            <w:r>
              <w:rPr>
                <w:rFonts w:hint="eastAsia" w:ascii="Times New Roman"/>
                <w:color w:val="auto"/>
                <w:sz w:val="24"/>
                <w:szCs w:val="24"/>
                <w:lang w:val="en-US" w:eastAsia="zh-CN"/>
              </w:rPr>
              <w:t>2</w:t>
            </w:r>
            <w:r>
              <w:rPr>
                <w:rFonts w:ascii="Times New Roman"/>
                <w:color w:val="auto"/>
                <w:sz w:val="24"/>
                <w:szCs w:val="24"/>
              </w:rPr>
              <w:t>类标准。具体详见下表：</w:t>
            </w:r>
          </w:p>
          <w:p w14:paraId="7D314831">
            <w:pPr>
              <w:keepNext w:val="0"/>
              <w:keepLines w:val="0"/>
              <w:pageBreakBefore w:val="0"/>
              <w:widowControl w:val="0"/>
              <w:kinsoku/>
              <w:wordWrap/>
              <w:overflowPunct/>
              <w:topLinePunct w:val="0"/>
              <w:autoSpaceDE/>
              <w:autoSpaceDN/>
              <w:bidi w:val="0"/>
              <w:adjustRightInd w:val="0"/>
              <w:snapToGrid w:val="0"/>
              <w:ind w:firstLine="198"/>
              <w:jc w:val="center"/>
              <w:textAlignment w:val="auto"/>
              <w:rPr>
                <w:b/>
                <w:color w:val="auto"/>
                <w:sz w:val="21"/>
                <w:szCs w:val="21"/>
                <w:lang w:val="zh-CN"/>
              </w:rPr>
            </w:pPr>
            <w:r>
              <w:rPr>
                <w:b/>
                <w:color w:val="auto"/>
                <w:sz w:val="21"/>
                <w:szCs w:val="21"/>
                <w:lang w:val="zh-CN"/>
              </w:rPr>
              <w:t>表</w:t>
            </w:r>
            <w:r>
              <w:rPr>
                <w:b/>
                <w:color w:val="auto"/>
                <w:sz w:val="21"/>
                <w:szCs w:val="21"/>
              </w:rPr>
              <w:t>3-</w:t>
            </w:r>
            <w:r>
              <w:rPr>
                <w:rFonts w:hint="eastAsia"/>
                <w:b/>
                <w:color w:val="auto"/>
                <w:sz w:val="21"/>
                <w:szCs w:val="21"/>
                <w:lang w:val="en-US" w:eastAsia="zh-CN"/>
              </w:rPr>
              <w:t>7</w:t>
            </w:r>
            <w:r>
              <w:rPr>
                <w:b/>
                <w:color w:val="auto"/>
                <w:sz w:val="21"/>
                <w:szCs w:val="21"/>
                <w:lang w:val="zh-CN"/>
              </w:rPr>
              <w:t xml:space="preserve"> </w:t>
            </w:r>
            <w:r>
              <w:rPr>
                <w:b/>
                <w:color w:val="auto"/>
                <w:kern w:val="0"/>
                <w:sz w:val="21"/>
                <w:szCs w:val="21"/>
              </w:rPr>
              <w:t>工业企业厂界环境噪声排放标准</w:t>
            </w:r>
            <w:r>
              <w:rPr>
                <w:b/>
                <w:color w:val="auto"/>
                <w:sz w:val="21"/>
                <w:szCs w:val="21"/>
                <w:lang w:val="zh-CN"/>
              </w:rPr>
              <w:t xml:space="preserve">   单位：dB（A）</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555"/>
              <w:gridCol w:w="3270"/>
              <w:gridCol w:w="3271"/>
            </w:tblGrid>
            <w:tr w14:paraId="581CF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60" w:type="pct"/>
                  <w:tcBorders>
                    <w:tl2br w:val="nil"/>
                    <w:tr2bl w:val="nil"/>
                  </w:tcBorders>
                  <w:vAlign w:val="center"/>
                </w:tcPr>
                <w:p w14:paraId="6E5C5AE7">
                  <w:pPr>
                    <w:snapToGrid w:val="0"/>
                    <w:jc w:val="center"/>
                    <w:rPr>
                      <w:rFonts w:hint="eastAsia" w:eastAsia="宋体"/>
                      <w:bCs/>
                      <w:color w:val="auto"/>
                      <w:sz w:val="21"/>
                      <w:szCs w:val="21"/>
                      <w:lang w:eastAsia="zh-CN"/>
                    </w:rPr>
                  </w:pPr>
                  <w:r>
                    <w:rPr>
                      <w:rFonts w:hint="eastAsia"/>
                      <w:bCs/>
                      <w:color w:val="auto"/>
                      <w:sz w:val="21"/>
                      <w:szCs w:val="21"/>
                      <w:lang w:eastAsia="zh-CN"/>
                    </w:rPr>
                    <w:t>类别</w:t>
                  </w:r>
                </w:p>
              </w:tc>
              <w:tc>
                <w:tcPr>
                  <w:tcW w:w="2019" w:type="pct"/>
                  <w:tcBorders>
                    <w:tl2br w:val="nil"/>
                    <w:tr2bl w:val="nil"/>
                  </w:tcBorders>
                  <w:vAlign w:val="center"/>
                </w:tcPr>
                <w:p w14:paraId="5B4A8392">
                  <w:pPr>
                    <w:snapToGrid w:val="0"/>
                    <w:jc w:val="center"/>
                    <w:rPr>
                      <w:bCs/>
                      <w:color w:val="auto"/>
                      <w:sz w:val="21"/>
                      <w:szCs w:val="21"/>
                    </w:rPr>
                  </w:pPr>
                  <w:r>
                    <w:rPr>
                      <w:bCs/>
                      <w:color w:val="auto"/>
                      <w:sz w:val="21"/>
                      <w:szCs w:val="21"/>
                    </w:rPr>
                    <w:t>昼间</w:t>
                  </w:r>
                </w:p>
              </w:tc>
              <w:tc>
                <w:tcPr>
                  <w:tcW w:w="2019" w:type="pct"/>
                  <w:tcBorders>
                    <w:tl2br w:val="nil"/>
                    <w:tr2bl w:val="nil"/>
                  </w:tcBorders>
                  <w:vAlign w:val="center"/>
                </w:tcPr>
                <w:p w14:paraId="793C1E5A">
                  <w:pPr>
                    <w:snapToGrid w:val="0"/>
                    <w:jc w:val="center"/>
                    <w:rPr>
                      <w:rFonts w:hint="default" w:eastAsia="宋体"/>
                      <w:bCs/>
                      <w:color w:val="auto"/>
                      <w:sz w:val="21"/>
                      <w:szCs w:val="21"/>
                      <w:lang w:val="en-US" w:eastAsia="zh-CN"/>
                    </w:rPr>
                  </w:pPr>
                  <w:r>
                    <w:rPr>
                      <w:rFonts w:hint="eastAsia"/>
                      <w:bCs/>
                      <w:color w:val="auto"/>
                      <w:sz w:val="21"/>
                      <w:szCs w:val="21"/>
                      <w:lang w:val="en-US" w:eastAsia="zh-CN"/>
                    </w:rPr>
                    <w:t>标准来源</w:t>
                  </w:r>
                </w:p>
              </w:tc>
            </w:tr>
            <w:tr w14:paraId="63C2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53" w:hRule="atLeast"/>
                <w:jc w:val="center"/>
              </w:trPr>
              <w:tc>
                <w:tcPr>
                  <w:tcW w:w="960" w:type="pct"/>
                  <w:tcBorders>
                    <w:tl2br w:val="nil"/>
                    <w:tr2bl w:val="nil"/>
                  </w:tcBorders>
                  <w:vAlign w:val="center"/>
                </w:tcPr>
                <w:p w14:paraId="7D7EFBB0">
                  <w:pPr>
                    <w:snapToGrid w:val="0"/>
                    <w:jc w:val="center"/>
                    <w:rPr>
                      <w:rFonts w:hint="eastAsia" w:eastAsia="宋体"/>
                      <w:bCs/>
                      <w:color w:val="auto"/>
                      <w:sz w:val="21"/>
                      <w:szCs w:val="21"/>
                      <w:lang w:val="en-US" w:eastAsia="zh-CN"/>
                    </w:rPr>
                  </w:pPr>
                  <w:r>
                    <w:rPr>
                      <w:rFonts w:hint="eastAsia"/>
                      <w:bCs/>
                      <w:color w:val="auto"/>
                      <w:sz w:val="21"/>
                      <w:szCs w:val="21"/>
                      <w:lang w:val="en-US" w:eastAsia="zh-CN"/>
                    </w:rPr>
                    <w:t>2类</w:t>
                  </w:r>
                </w:p>
              </w:tc>
              <w:tc>
                <w:tcPr>
                  <w:tcW w:w="2019" w:type="pct"/>
                  <w:tcBorders>
                    <w:tl2br w:val="nil"/>
                    <w:tr2bl w:val="nil"/>
                  </w:tcBorders>
                  <w:vAlign w:val="center"/>
                </w:tcPr>
                <w:p w14:paraId="32B218D1">
                  <w:pPr>
                    <w:snapToGrid w:val="0"/>
                    <w:jc w:val="center"/>
                    <w:rPr>
                      <w:rFonts w:hint="default" w:eastAsia="宋体"/>
                      <w:bCs/>
                      <w:color w:val="auto"/>
                      <w:sz w:val="21"/>
                      <w:szCs w:val="21"/>
                      <w:lang w:val="en-US" w:eastAsia="zh-CN"/>
                    </w:rPr>
                  </w:pPr>
                  <w:r>
                    <w:rPr>
                      <w:rFonts w:hint="eastAsia"/>
                      <w:bCs/>
                      <w:color w:val="auto"/>
                      <w:sz w:val="21"/>
                      <w:szCs w:val="21"/>
                      <w:lang w:val="en-US" w:eastAsia="zh-CN"/>
                    </w:rPr>
                    <w:t>60</w:t>
                  </w:r>
                </w:p>
              </w:tc>
              <w:tc>
                <w:tcPr>
                  <w:tcW w:w="2019" w:type="pct"/>
                  <w:tcBorders>
                    <w:tl2br w:val="nil"/>
                    <w:tr2bl w:val="nil"/>
                  </w:tcBorders>
                  <w:vAlign w:val="center"/>
                </w:tcPr>
                <w:p w14:paraId="1E5C045F">
                  <w:pPr>
                    <w:snapToGrid w:val="0"/>
                    <w:jc w:val="center"/>
                    <w:rPr>
                      <w:rFonts w:hint="eastAsia"/>
                      <w:bCs/>
                      <w:color w:val="auto"/>
                      <w:sz w:val="21"/>
                      <w:szCs w:val="21"/>
                      <w:lang w:val="en-US" w:eastAsia="zh-CN"/>
                    </w:rPr>
                  </w:pPr>
                  <w:r>
                    <w:rPr>
                      <w:rFonts w:hint="eastAsia"/>
                      <w:bCs/>
                      <w:color w:val="auto"/>
                      <w:sz w:val="21"/>
                      <w:szCs w:val="21"/>
                      <w:lang w:val="en-US" w:eastAsia="zh-CN"/>
                    </w:rPr>
                    <w:t>《工业企业厂界环境噪声排放标准》（GB12348-2008）</w:t>
                  </w:r>
                </w:p>
              </w:tc>
            </w:tr>
            <w:tr w14:paraId="25BF8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60" w:type="pct"/>
                  <w:tcBorders>
                    <w:tl2br w:val="nil"/>
                    <w:tr2bl w:val="nil"/>
                  </w:tcBorders>
                  <w:vAlign w:val="center"/>
                </w:tcPr>
                <w:p w14:paraId="1B0D84D6">
                  <w:pPr>
                    <w:snapToGrid w:val="0"/>
                    <w:jc w:val="center"/>
                    <w:rPr>
                      <w:rFonts w:hint="default"/>
                      <w:bCs/>
                      <w:color w:val="auto"/>
                      <w:sz w:val="21"/>
                      <w:szCs w:val="21"/>
                      <w:lang w:val="en-US" w:eastAsia="zh-CN"/>
                    </w:rPr>
                  </w:pPr>
                  <w:r>
                    <w:rPr>
                      <w:rFonts w:hint="eastAsia"/>
                      <w:bCs/>
                      <w:color w:val="auto"/>
                      <w:sz w:val="21"/>
                      <w:szCs w:val="21"/>
                      <w:lang w:val="en-US" w:eastAsia="zh-CN"/>
                    </w:rPr>
                    <w:t>/</w:t>
                  </w:r>
                </w:p>
              </w:tc>
              <w:tc>
                <w:tcPr>
                  <w:tcW w:w="2019" w:type="pct"/>
                  <w:tcBorders>
                    <w:tl2br w:val="nil"/>
                    <w:tr2bl w:val="nil"/>
                  </w:tcBorders>
                  <w:vAlign w:val="center"/>
                </w:tcPr>
                <w:p w14:paraId="09601FE9">
                  <w:pPr>
                    <w:snapToGrid w:val="0"/>
                    <w:jc w:val="center"/>
                    <w:rPr>
                      <w:rFonts w:hint="default"/>
                      <w:bCs/>
                      <w:color w:val="auto"/>
                      <w:sz w:val="21"/>
                      <w:szCs w:val="21"/>
                      <w:lang w:val="en-US" w:eastAsia="zh-CN"/>
                    </w:rPr>
                  </w:pPr>
                  <w:r>
                    <w:rPr>
                      <w:rFonts w:hint="eastAsia"/>
                      <w:bCs/>
                      <w:color w:val="auto"/>
                      <w:sz w:val="21"/>
                      <w:szCs w:val="21"/>
                      <w:lang w:val="en-US" w:eastAsia="zh-CN"/>
                    </w:rPr>
                    <w:t>70</w:t>
                  </w:r>
                </w:p>
              </w:tc>
              <w:tc>
                <w:tcPr>
                  <w:tcW w:w="2019" w:type="pct"/>
                  <w:tcBorders>
                    <w:tl2br w:val="nil"/>
                    <w:tr2bl w:val="nil"/>
                  </w:tcBorders>
                  <w:vAlign w:val="center"/>
                </w:tcPr>
                <w:p w14:paraId="2725EC9C">
                  <w:pPr>
                    <w:snapToGrid w:val="0"/>
                    <w:jc w:val="center"/>
                    <w:rPr>
                      <w:rFonts w:hint="eastAsia"/>
                      <w:bCs/>
                      <w:color w:val="auto"/>
                      <w:sz w:val="21"/>
                      <w:szCs w:val="21"/>
                      <w:lang w:val="en-US" w:eastAsia="zh-CN"/>
                    </w:rPr>
                  </w:pPr>
                  <w:r>
                    <w:rPr>
                      <w:rFonts w:hint="eastAsia"/>
                      <w:bCs/>
                      <w:color w:val="auto"/>
                      <w:sz w:val="21"/>
                      <w:szCs w:val="21"/>
                      <w:lang w:val="en-US" w:eastAsia="zh-CN"/>
                    </w:rPr>
                    <w:t>《建筑施工噪声排放标准》（GB 12523—2025）</w:t>
                  </w:r>
                </w:p>
              </w:tc>
            </w:tr>
          </w:tbl>
          <w:p w14:paraId="730826A0">
            <w:pPr>
              <w:snapToGrid w:val="0"/>
              <w:spacing w:line="360" w:lineRule="auto"/>
              <w:ind w:firstLine="482" w:firstLineChars="200"/>
              <w:rPr>
                <w:b/>
                <w:color w:val="auto"/>
                <w:sz w:val="24"/>
              </w:rPr>
            </w:pPr>
            <w:r>
              <w:rPr>
                <w:b/>
                <w:color w:val="auto"/>
                <w:sz w:val="24"/>
              </w:rPr>
              <w:t>4、固体废物</w:t>
            </w:r>
          </w:p>
          <w:p w14:paraId="2276A9DB">
            <w:pPr>
              <w:widowControl/>
              <w:adjustRightInd w:val="0"/>
              <w:snapToGrid w:val="0"/>
              <w:spacing w:line="360" w:lineRule="auto"/>
              <w:ind w:firstLine="480" w:firstLineChars="200"/>
              <w:rPr>
                <w:color w:val="auto"/>
                <w:kern w:val="0"/>
                <w:sz w:val="24"/>
              </w:rPr>
            </w:pPr>
            <w:r>
              <w:rPr>
                <w:color w:val="auto"/>
                <w:sz w:val="24"/>
                <w:lang w:eastAsia="zh-Hans"/>
              </w:rPr>
              <w:t>一般固体废物存放须执行《一般工业固体废物贮存</w:t>
            </w:r>
            <w:r>
              <w:rPr>
                <w:color w:val="auto"/>
                <w:sz w:val="24"/>
              </w:rPr>
              <w:t>和填埋</w:t>
            </w:r>
            <w:r>
              <w:rPr>
                <w:color w:val="auto"/>
                <w:sz w:val="24"/>
                <w:lang w:eastAsia="zh-Hans"/>
              </w:rPr>
              <w:t>污染控制标准》（GB18599-2020）</w:t>
            </w:r>
            <w:r>
              <w:rPr>
                <w:rFonts w:hint="eastAsia"/>
                <w:color w:val="auto"/>
                <w:sz w:val="24"/>
                <w:lang w:eastAsia="zh-CN"/>
              </w:rPr>
              <w:t>、《中华人民共和国固体废物污染环境防治法》（中华人民共和国主席令第四十三号）</w:t>
            </w:r>
            <w:r>
              <w:rPr>
                <w:color w:val="auto"/>
                <w:sz w:val="24"/>
                <w:lang w:eastAsia="zh-Hans"/>
              </w:rPr>
              <w:t>中相关要求。危废贮存执行《危险废物贮存污染控制标准》（GB18597-20</w:t>
            </w:r>
            <w:r>
              <w:rPr>
                <w:color w:val="auto"/>
                <w:sz w:val="24"/>
              </w:rPr>
              <w:t>23</w:t>
            </w:r>
            <w:r>
              <w:rPr>
                <w:color w:val="auto"/>
                <w:sz w:val="24"/>
                <w:lang w:eastAsia="zh-Hans"/>
              </w:rPr>
              <w:t>）</w:t>
            </w:r>
            <w:r>
              <w:rPr>
                <w:color w:val="auto"/>
                <w:sz w:val="24"/>
              </w:rPr>
              <w:t>中相关</w:t>
            </w:r>
            <w:r>
              <w:rPr>
                <w:color w:val="auto"/>
                <w:sz w:val="24"/>
                <w:lang w:eastAsia="zh-Hans"/>
              </w:rPr>
              <w:t>要求。</w:t>
            </w:r>
          </w:p>
        </w:tc>
      </w:tr>
      <w:tr w14:paraId="31BD86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736" w:type="dxa"/>
            <w:vAlign w:val="center"/>
          </w:tcPr>
          <w:p w14:paraId="736D2461">
            <w:pPr>
              <w:adjustRightInd w:val="0"/>
              <w:snapToGrid w:val="0"/>
              <w:jc w:val="center"/>
              <w:rPr>
                <w:color w:val="auto"/>
                <w:kern w:val="0"/>
                <w:sz w:val="24"/>
              </w:rPr>
            </w:pPr>
            <w:r>
              <w:rPr>
                <w:color w:val="auto"/>
                <w:kern w:val="0"/>
                <w:sz w:val="24"/>
              </w:rPr>
              <w:t>总量</w:t>
            </w:r>
          </w:p>
          <w:p w14:paraId="4E1CB78D">
            <w:pPr>
              <w:adjustRightInd w:val="0"/>
              <w:snapToGrid w:val="0"/>
              <w:jc w:val="center"/>
              <w:rPr>
                <w:color w:val="auto"/>
                <w:kern w:val="0"/>
                <w:sz w:val="24"/>
              </w:rPr>
            </w:pPr>
            <w:r>
              <w:rPr>
                <w:color w:val="auto"/>
                <w:kern w:val="0"/>
                <w:sz w:val="24"/>
              </w:rPr>
              <w:t>控制</w:t>
            </w:r>
          </w:p>
          <w:p w14:paraId="2DAE418C">
            <w:pPr>
              <w:adjustRightInd w:val="0"/>
              <w:snapToGrid w:val="0"/>
              <w:jc w:val="center"/>
              <w:rPr>
                <w:color w:val="auto"/>
                <w:kern w:val="0"/>
                <w:sz w:val="24"/>
              </w:rPr>
            </w:pPr>
            <w:r>
              <w:rPr>
                <w:color w:val="auto"/>
                <w:kern w:val="0"/>
                <w:sz w:val="24"/>
              </w:rPr>
              <w:t>指标</w:t>
            </w:r>
          </w:p>
        </w:tc>
        <w:tc>
          <w:tcPr>
            <w:tcW w:w="8325" w:type="dxa"/>
            <w:vAlign w:val="center"/>
          </w:tcPr>
          <w:p w14:paraId="2E4662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bCs/>
                <w:color w:val="auto"/>
                <w:sz w:val="24"/>
                <w:lang w:bidi="ar"/>
              </w:rPr>
            </w:pPr>
            <w:r>
              <w:rPr>
                <w:rFonts w:hint="eastAsia"/>
                <w:color w:val="auto"/>
                <w:sz w:val="24"/>
              </w:rPr>
              <w:t>根据《安徽省环保厅关于进一步加强建设项目新增大气污染物总量指标管理工作的通知》，目前对化学需氧量</w:t>
            </w:r>
            <w:r>
              <w:rPr>
                <w:rFonts w:hint="eastAsia"/>
                <w:color w:val="auto"/>
                <w:sz w:val="24"/>
                <w:lang w:eastAsia="zh-CN"/>
              </w:rPr>
              <w:t>（</w:t>
            </w:r>
            <w:r>
              <w:rPr>
                <w:rFonts w:hint="eastAsia"/>
                <w:color w:val="auto"/>
                <w:sz w:val="24"/>
              </w:rPr>
              <w:t>COD</w:t>
            </w:r>
            <w:r>
              <w:rPr>
                <w:rFonts w:hint="eastAsia"/>
                <w:color w:val="auto"/>
                <w:sz w:val="24"/>
                <w:lang w:eastAsia="zh-CN"/>
              </w:rPr>
              <w:t>）</w:t>
            </w:r>
            <w:r>
              <w:rPr>
                <w:rFonts w:hint="eastAsia"/>
                <w:color w:val="auto"/>
                <w:sz w:val="24"/>
              </w:rPr>
              <w:t>、氨氮</w:t>
            </w:r>
            <w:r>
              <w:rPr>
                <w:rFonts w:hint="eastAsia"/>
                <w:color w:val="auto"/>
                <w:sz w:val="24"/>
                <w:lang w:eastAsia="zh-CN"/>
              </w:rPr>
              <w:t>（</w:t>
            </w:r>
            <w:r>
              <w:rPr>
                <w:rFonts w:hint="eastAsia"/>
                <w:color w:val="auto"/>
                <w:sz w:val="24"/>
              </w:rPr>
              <w:t>NH</w:t>
            </w:r>
            <w:r>
              <w:rPr>
                <w:rFonts w:hint="eastAsia"/>
                <w:color w:val="auto"/>
                <w:sz w:val="24"/>
                <w:vertAlign w:val="subscript"/>
              </w:rPr>
              <w:t>3</w:t>
            </w:r>
            <w:r>
              <w:rPr>
                <w:rFonts w:hint="eastAsia"/>
                <w:color w:val="auto"/>
                <w:sz w:val="24"/>
              </w:rPr>
              <w:t>-N</w:t>
            </w:r>
            <w:r>
              <w:rPr>
                <w:rFonts w:hint="eastAsia"/>
                <w:color w:val="auto"/>
                <w:sz w:val="24"/>
                <w:lang w:eastAsia="zh-CN"/>
              </w:rPr>
              <w:t>）</w:t>
            </w:r>
            <w:r>
              <w:rPr>
                <w:rFonts w:hint="eastAsia"/>
                <w:color w:val="auto"/>
                <w:sz w:val="24"/>
              </w:rPr>
              <w:t>、二氧化硫</w:t>
            </w:r>
            <w:r>
              <w:rPr>
                <w:rFonts w:hint="eastAsia"/>
                <w:color w:val="auto"/>
                <w:sz w:val="24"/>
                <w:lang w:eastAsia="zh-CN"/>
              </w:rPr>
              <w:t>（</w:t>
            </w:r>
            <w:r>
              <w:rPr>
                <w:rFonts w:hint="eastAsia"/>
                <w:color w:val="auto"/>
                <w:sz w:val="24"/>
              </w:rPr>
              <w:t>SO</w:t>
            </w:r>
            <w:r>
              <w:rPr>
                <w:rFonts w:hint="eastAsia"/>
                <w:color w:val="auto"/>
                <w:sz w:val="24"/>
                <w:vertAlign w:val="subscript"/>
              </w:rPr>
              <w:t>2</w:t>
            </w:r>
            <w:r>
              <w:rPr>
                <w:rFonts w:hint="eastAsia"/>
                <w:color w:val="auto"/>
                <w:sz w:val="24"/>
                <w:lang w:eastAsia="zh-CN"/>
              </w:rPr>
              <w:t>）</w:t>
            </w:r>
            <w:r>
              <w:rPr>
                <w:rFonts w:hint="eastAsia"/>
                <w:color w:val="auto"/>
                <w:sz w:val="24"/>
              </w:rPr>
              <w:t>、氮氧化物</w:t>
            </w:r>
            <w:r>
              <w:rPr>
                <w:rFonts w:hint="eastAsia"/>
                <w:color w:val="auto"/>
                <w:sz w:val="24"/>
                <w:lang w:eastAsia="zh-CN"/>
              </w:rPr>
              <w:t>（</w:t>
            </w:r>
            <w:r>
              <w:rPr>
                <w:rFonts w:hint="eastAsia"/>
                <w:color w:val="auto"/>
                <w:sz w:val="24"/>
              </w:rPr>
              <w:t>NO</w:t>
            </w:r>
            <w:r>
              <w:rPr>
                <w:rFonts w:hint="eastAsia"/>
                <w:color w:val="auto"/>
                <w:sz w:val="24"/>
                <w:vertAlign w:val="subscript"/>
                <w:lang w:val="en-US" w:eastAsia="zh-CN"/>
              </w:rPr>
              <w:t>X</w:t>
            </w:r>
            <w:r>
              <w:rPr>
                <w:rFonts w:hint="eastAsia"/>
                <w:color w:val="auto"/>
                <w:sz w:val="24"/>
                <w:lang w:eastAsia="zh-CN"/>
              </w:rPr>
              <w:t>）</w:t>
            </w:r>
            <w:r>
              <w:rPr>
                <w:rFonts w:hint="eastAsia"/>
                <w:color w:val="auto"/>
                <w:sz w:val="24"/>
              </w:rPr>
              <w:t>、</w:t>
            </w:r>
            <w:r>
              <w:rPr>
                <w:rFonts w:hint="eastAsia"/>
                <w:color w:val="auto"/>
                <w:sz w:val="24"/>
                <w:lang w:eastAsia="zh-CN"/>
              </w:rPr>
              <w:t>烟粉尘</w:t>
            </w:r>
            <w:r>
              <w:rPr>
                <w:rFonts w:hint="eastAsia"/>
                <w:color w:val="auto"/>
                <w:sz w:val="24"/>
              </w:rPr>
              <w:t>、有机废气VOC</w:t>
            </w:r>
            <w:r>
              <w:rPr>
                <w:rFonts w:hint="eastAsia"/>
                <w:color w:val="auto"/>
                <w:sz w:val="24"/>
                <w:lang w:eastAsia="zh-CN"/>
              </w:rPr>
              <w:t>（</w:t>
            </w:r>
            <w:r>
              <w:rPr>
                <w:rFonts w:hint="eastAsia"/>
                <w:color w:val="auto"/>
                <w:sz w:val="24"/>
              </w:rPr>
              <w:t>以非甲烷总烃计算</w:t>
            </w:r>
            <w:r>
              <w:rPr>
                <w:rFonts w:hint="eastAsia"/>
                <w:color w:val="auto"/>
                <w:sz w:val="24"/>
                <w:lang w:eastAsia="zh-CN"/>
              </w:rPr>
              <w:t>）</w:t>
            </w:r>
            <w:r>
              <w:rPr>
                <w:rFonts w:hint="eastAsia"/>
                <w:color w:val="auto"/>
                <w:sz w:val="24"/>
              </w:rPr>
              <w:t>等主要污染物实行排放总</w:t>
            </w:r>
            <w:r>
              <w:rPr>
                <w:rFonts w:hint="eastAsia"/>
                <w:color w:val="auto"/>
                <w:sz w:val="24"/>
                <w:lang w:eastAsia="zh-CN"/>
              </w:rPr>
              <w:t>量</w:t>
            </w:r>
            <w:r>
              <w:rPr>
                <w:rFonts w:hint="eastAsia"/>
                <w:color w:val="auto"/>
                <w:sz w:val="24"/>
              </w:rPr>
              <w:t>控制计划管理。</w:t>
            </w:r>
            <w:r>
              <w:rPr>
                <w:bCs/>
                <w:color w:val="auto"/>
                <w:sz w:val="24"/>
              </w:rPr>
              <w:t>本项目</w:t>
            </w:r>
            <w:r>
              <w:rPr>
                <w:rFonts w:hint="eastAsia"/>
                <w:bCs/>
                <w:color w:val="auto"/>
                <w:sz w:val="24"/>
                <w:lang w:eastAsia="zh-CN"/>
              </w:rPr>
              <w:t>为新建项目，提</w:t>
            </w:r>
            <w:r>
              <w:rPr>
                <w:color w:val="auto"/>
                <w:sz w:val="24"/>
                <w:lang w:bidi="ar"/>
              </w:rPr>
              <w:t>出本项目总量控制指</w:t>
            </w:r>
            <w:r>
              <w:rPr>
                <w:bCs/>
                <w:color w:val="auto"/>
                <w:sz w:val="24"/>
                <w:lang w:bidi="ar"/>
              </w:rPr>
              <w:t>标为：COD、</w:t>
            </w:r>
            <w:r>
              <w:rPr>
                <w:rFonts w:hint="eastAsia"/>
                <w:bCs/>
                <w:color w:val="auto"/>
                <w:sz w:val="24"/>
                <w:lang w:bidi="ar"/>
              </w:rPr>
              <w:t>NH</w:t>
            </w:r>
            <w:r>
              <w:rPr>
                <w:rFonts w:hint="eastAsia"/>
                <w:bCs/>
                <w:color w:val="auto"/>
                <w:sz w:val="24"/>
                <w:vertAlign w:val="subscript"/>
                <w:lang w:bidi="ar"/>
              </w:rPr>
              <w:t>3</w:t>
            </w:r>
            <w:r>
              <w:rPr>
                <w:rFonts w:hint="eastAsia"/>
                <w:bCs/>
                <w:color w:val="auto"/>
                <w:sz w:val="24"/>
                <w:lang w:bidi="ar"/>
              </w:rPr>
              <w:t>-N、</w:t>
            </w:r>
            <w:r>
              <w:rPr>
                <w:bCs/>
                <w:color w:val="auto"/>
                <w:sz w:val="24"/>
                <w:lang w:bidi="ar"/>
              </w:rPr>
              <w:t>VOC</w:t>
            </w:r>
            <w:r>
              <w:rPr>
                <w:rFonts w:hint="eastAsia"/>
                <w:bCs/>
                <w:color w:val="auto"/>
                <w:sz w:val="24"/>
                <w:vertAlign w:val="subscript"/>
                <w:lang w:val="en-US" w:eastAsia="zh-CN" w:bidi="ar"/>
              </w:rPr>
              <w:t>S</w:t>
            </w:r>
            <w:r>
              <w:rPr>
                <w:bCs/>
                <w:color w:val="auto"/>
                <w:sz w:val="24"/>
                <w:lang w:bidi="ar"/>
              </w:rPr>
              <w:t>。</w:t>
            </w:r>
          </w:p>
          <w:p w14:paraId="2C5529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bCs/>
                <w:color w:val="auto"/>
                <w:sz w:val="24"/>
                <w:lang w:val="en-US" w:eastAsia="zh-CN"/>
              </w:rPr>
            </w:pPr>
            <w:r>
              <w:rPr>
                <w:rFonts w:hint="eastAsia"/>
                <w:bCs/>
                <w:color w:val="auto"/>
                <w:sz w:val="24"/>
                <w:lang w:val="en-US" w:eastAsia="zh-CN"/>
              </w:rPr>
              <w:t>本项目为新建项目，不涉及现有工程污染物排放。</w:t>
            </w:r>
          </w:p>
          <w:p w14:paraId="42CA5F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lang w:val="en-US" w:eastAsia="zh-CN"/>
              </w:rPr>
            </w:pPr>
            <w:r>
              <w:rPr>
                <w:rFonts w:hint="default"/>
                <w:bCs/>
                <w:color w:val="auto"/>
                <w:sz w:val="24"/>
                <w:lang w:val="en-US" w:eastAsia="zh-CN"/>
              </w:rPr>
              <w:t>本次废气</w:t>
            </w:r>
            <w:r>
              <w:rPr>
                <w:rFonts w:hint="eastAsia"/>
                <w:bCs/>
                <w:color w:val="auto"/>
                <w:sz w:val="24"/>
                <w:lang w:eastAsia="zh-CN"/>
              </w:rPr>
              <w:t>VOC</w:t>
            </w:r>
            <w:r>
              <w:rPr>
                <w:rFonts w:hint="eastAsia"/>
                <w:bCs/>
                <w:color w:val="auto"/>
                <w:sz w:val="24"/>
                <w:lang w:val="en-US" w:eastAsia="zh-CN"/>
              </w:rPr>
              <w:t>S申请指标为0.7125t/a</w:t>
            </w:r>
            <w:r>
              <w:rPr>
                <w:rFonts w:hint="default"/>
                <w:bCs/>
                <w:color w:val="auto"/>
                <w:sz w:val="24"/>
                <w:lang w:val="en-US" w:eastAsia="zh-CN"/>
              </w:rPr>
              <w:t>、废水COD为</w:t>
            </w:r>
            <w:r>
              <w:rPr>
                <w:rFonts w:hint="eastAsia"/>
                <w:bCs/>
                <w:color w:val="auto"/>
                <w:sz w:val="24"/>
                <w:lang w:val="en-US" w:eastAsia="zh-CN"/>
              </w:rPr>
              <w:t>0.501</w:t>
            </w:r>
            <w:r>
              <w:rPr>
                <w:rFonts w:hint="default"/>
                <w:bCs/>
                <w:color w:val="auto"/>
                <w:sz w:val="24"/>
                <w:lang w:val="en-US" w:eastAsia="zh-CN"/>
              </w:rPr>
              <w:t>t/a，NH3-N总量指标为</w:t>
            </w:r>
            <w:r>
              <w:rPr>
                <w:rFonts w:hint="eastAsia"/>
                <w:bCs/>
                <w:color w:val="auto"/>
                <w:sz w:val="24"/>
                <w:lang w:val="en-US" w:eastAsia="zh-CN"/>
              </w:rPr>
              <w:t>0.050</w:t>
            </w:r>
            <w:r>
              <w:rPr>
                <w:rFonts w:hint="default"/>
                <w:bCs/>
                <w:color w:val="auto"/>
                <w:sz w:val="24"/>
                <w:lang w:val="en-US" w:eastAsia="zh-CN"/>
              </w:rPr>
              <w:t>t/a</w:t>
            </w:r>
            <w:r>
              <w:rPr>
                <w:rFonts w:hint="eastAsia"/>
                <w:bCs/>
                <w:color w:val="auto"/>
                <w:sz w:val="24"/>
                <w:lang w:eastAsia="zh-CN"/>
              </w:rPr>
              <w:t>。</w:t>
            </w:r>
          </w:p>
        </w:tc>
      </w:tr>
    </w:tbl>
    <w:p w14:paraId="41712820">
      <w:pPr>
        <w:pStyle w:val="25"/>
        <w:jc w:val="center"/>
        <w:outlineLvl w:val="0"/>
        <w:rPr>
          <w:rFonts w:ascii="黑体" w:hAnsi="黑体" w:eastAsia="黑体"/>
          <w:snapToGrid w:val="0"/>
          <w:color w:val="auto"/>
          <w:sz w:val="30"/>
          <w:szCs w:val="30"/>
        </w:rPr>
      </w:pPr>
      <w:r>
        <w:rPr>
          <w:rFonts w:ascii="Times New Roman" w:hAnsi="Times New Roman"/>
          <w:snapToGrid w:val="0"/>
          <w:color w:val="auto"/>
          <w:szCs w:val="24"/>
        </w:rPr>
        <w:br w:type="page"/>
      </w:r>
      <w:r>
        <w:rPr>
          <w:rFonts w:hint="eastAsia" w:ascii="黑体" w:hAnsi="黑体" w:eastAsia="黑体"/>
          <w:snapToGrid w:val="0"/>
          <w:color w:val="auto"/>
          <w:sz w:val="30"/>
          <w:szCs w:val="30"/>
        </w:rPr>
        <w:t>四、主要环境影响和保护措施</w:t>
      </w:r>
    </w:p>
    <w:tbl>
      <w:tblPr>
        <w:tblStyle w:val="28"/>
        <w:tblW w:w="898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47"/>
        <w:gridCol w:w="8534"/>
      </w:tblGrid>
      <w:tr w14:paraId="0A7C9E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70" w:hRule="atLeast"/>
          <w:jc w:val="center"/>
        </w:trPr>
        <w:tc>
          <w:tcPr>
            <w:tcW w:w="447" w:type="dxa"/>
            <w:tcMar>
              <w:left w:w="28" w:type="dxa"/>
              <w:right w:w="28" w:type="dxa"/>
            </w:tcMar>
            <w:vAlign w:val="center"/>
          </w:tcPr>
          <w:p w14:paraId="3032A0DF">
            <w:pPr>
              <w:pStyle w:val="25"/>
              <w:adjustRightInd w:val="0"/>
              <w:snapToGrid w:val="0"/>
              <w:spacing w:before="0" w:beforeAutospacing="0" w:after="0" w:afterAutospacing="0"/>
              <w:jc w:val="center"/>
              <w:rPr>
                <w:rFonts w:ascii="Times New Roman" w:hAnsi="Times New Roman"/>
                <w:color w:val="auto"/>
                <w:kern w:val="2"/>
                <w:szCs w:val="24"/>
              </w:rPr>
            </w:pPr>
            <w:r>
              <w:rPr>
                <w:rFonts w:ascii="Times New Roman" w:hAnsi="Times New Roman"/>
                <w:color w:val="auto"/>
                <w:kern w:val="2"/>
                <w:szCs w:val="24"/>
              </w:rPr>
              <w:t>施工</w:t>
            </w:r>
          </w:p>
          <w:p w14:paraId="78E9DF53">
            <w:pPr>
              <w:pStyle w:val="25"/>
              <w:adjustRightInd w:val="0"/>
              <w:snapToGrid w:val="0"/>
              <w:spacing w:before="0" w:beforeAutospacing="0" w:after="0" w:afterAutospacing="0"/>
              <w:jc w:val="center"/>
              <w:rPr>
                <w:rFonts w:ascii="Times New Roman" w:hAnsi="Times New Roman"/>
                <w:color w:val="auto"/>
                <w:kern w:val="2"/>
                <w:szCs w:val="24"/>
              </w:rPr>
            </w:pPr>
            <w:r>
              <w:rPr>
                <w:rFonts w:ascii="Times New Roman" w:hAnsi="Times New Roman"/>
                <w:color w:val="auto"/>
                <w:kern w:val="2"/>
                <w:szCs w:val="24"/>
              </w:rPr>
              <w:t>期环</w:t>
            </w:r>
          </w:p>
          <w:p w14:paraId="05F3A9E5">
            <w:pPr>
              <w:pStyle w:val="25"/>
              <w:adjustRightInd w:val="0"/>
              <w:snapToGrid w:val="0"/>
              <w:spacing w:before="0" w:beforeAutospacing="0" w:after="0" w:afterAutospacing="0"/>
              <w:jc w:val="center"/>
              <w:rPr>
                <w:rFonts w:ascii="Times New Roman" w:hAnsi="Times New Roman"/>
                <w:color w:val="auto"/>
                <w:kern w:val="2"/>
                <w:szCs w:val="24"/>
              </w:rPr>
            </w:pPr>
            <w:r>
              <w:rPr>
                <w:rFonts w:ascii="Times New Roman" w:hAnsi="Times New Roman"/>
                <w:color w:val="auto"/>
                <w:kern w:val="2"/>
                <w:szCs w:val="24"/>
              </w:rPr>
              <w:t>境保</w:t>
            </w:r>
          </w:p>
          <w:p w14:paraId="2DF02EED">
            <w:pPr>
              <w:pStyle w:val="25"/>
              <w:adjustRightInd w:val="0"/>
              <w:snapToGrid w:val="0"/>
              <w:spacing w:before="0" w:beforeAutospacing="0" w:after="0" w:afterAutospacing="0"/>
              <w:jc w:val="center"/>
              <w:rPr>
                <w:rFonts w:ascii="Times New Roman" w:hAnsi="Times New Roman"/>
                <w:color w:val="auto"/>
                <w:kern w:val="2"/>
                <w:szCs w:val="24"/>
              </w:rPr>
            </w:pPr>
            <w:r>
              <w:rPr>
                <w:rFonts w:ascii="Times New Roman" w:hAnsi="Times New Roman"/>
                <w:color w:val="auto"/>
                <w:kern w:val="2"/>
                <w:szCs w:val="24"/>
              </w:rPr>
              <w:t>护措</w:t>
            </w:r>
          </w:p>
          <w:p w14:paraId="2DE42734">
            <w:pPr>
              <w:pStyle w:val="25"/>
              <w:adjustRightInd w:val="0"/>
              <w:snapToGrid w:val="0"/>
              <w:spacing w:before="0" w:beforeAutospacing="0" w:after="0" w:afterAutospacing="0"/>
              <w:jc w:val="center"/>
              <w:rPr>
                <w:rFonts w:ascii="Times New Roman" w:hAnsi="Times New Roman"/>
                <w:bCs/>
                <w:color w:val="auto"/>
                <w:kern w:val="2"/>
                <w:sz w:val="21"/>
                <w:szCs w:val="21"/>
              </w:rPr>
            </w:pPr>
            <w:r>
              <w:rPr>
                <w:rFonts w:ascii="Times New Roman" w:hAnsi="Times New Roman"/>
                <w:color w:val="auto"/>
                <w:kern w:val="2"/>
                <w:szCs w:val="24"/>
              </w:rPr>
              <w:t>施</w:t>
            </w:r>
          </w:p>
        </w:tc>
        <w:tc>
          <w:tcPr>
            <w:tcW w:w="8534" w:type="dxa"/>
            <w:vAlign w:val="center"/>
          </w:tcPr>
          <w:p w14:paraId="78100576">
            <w:pPr>
              <w:autoSpaceDE w:val="0"/>
              <w:autoSpaceDN w:val="0"/>
              <w:adjustRightInd w:val="0"/>
              <w:spacing w:line="360" w:lineRule="auto"/>
              <w:ind w:firstLine="480" w:firstLineChars="200"/>
              <w:rPr>
                <w:color w:val="auto"/>
                <w:sz w:val="24"/>
                <w:szCs w:val="24"/>
              </w:rPr>
            </w:pPr>
            <w:bookmarkStart w:id="2" w:name="_Toc3568"/>
            <w:bookmarkStart w:id="3" w:name="_Toc27853"/>
            <w:bookmarkStart w:id="4" w:name="_Toc26178"/>
            <w:bookmarkStart w:id="5" w:name="_Toc9451"/>
            <w:bookmarkStart w:id="6" w:name="_Toc375820585"/>
            <w:bookmarkStart w:id="7" w:name="_Toc375820814"/>
            <w:bookmarkStart w:id="8" w:name="_Toc380414268"/>
            <w:bookmarkStart w:id="9" w:name="_Toc362043473"/>
            <w:bookmarkStart w:id="10" w:name="_Toc385277530"/>
            <w:r>
              <w:rPr>
                <w:rFonts w:hint="eastAsia"/>
                <w:color w:val="auto"/>
                <w:sz w:val="24"/>
                <w:szCs w:val="24"/>
              </w:rPr>
              <w:t xml:space="preserve">1 </w:t>
            </w:r>
            <w:r>
              <w:rPr>
                <w:color w:val="auto"/>
                <w:sz w:val="24"/>
                <w:szCs w:val="24"/>
              </w:rPr>
              <w:t>施工期水环境影响分析</w:t>
            </w:r>
            <w:bookmarkEnd w:id="2"/>
            <w:bookmarkEnd w:id="3"/>
            <w:bookmarkEnd w:id="4"/>
            <w:bookmarkEnd w:id="5"/>
            <w:r>
              <w:rPr>
                <w:color w:val="auto"/>
                <w:sz w:val="24"/>
                <w:szCs w:val="24"/>
              </w:rPr>
              <w:t>及</w:t>
            </w:r>
            <w:r>
              <w:rPr>
                <w:rFonts w:hint="eastAsia"/>
                <w:color w:val="auto"/>
                <w:sz w:val="24"/>
                <w:szCs w:val="24"/>
              </w:rPr>
              <w:t>防治</w:t>
            </w:r>
            <w:r>
              <w:rPr>
                <w:color w:val="auto"/>
                <w:sz w:val="24"/>
                <w:szCs w:val="24"/>
              </w:rPr>
              <w:t>措施</w:t>
            </w:r>
          </w:p>
          <w:p w14:paraId="48685505">
            <w:pPr>
              <w:autoSpaceDE w:val="0"/>
              <w:autoSpaceDN w:val="0"/>
              <w:adjustRightInd w:val="0"/>
              <w:spacing w:line="360" w:lineRule="auto"/>
              <w:ind w:firstLine="480" w:firstLineChars="200"/>
              <w:rPr>
                <w:color w:val="auto"/>
                <w:sz w:val="24"/>
                <w:szCs w:val="24"/>
              </w:rPr>
            </w:pPr>
            <w:r>
              <w:rPr>
                <w:color w:val="auto"/>
                <w:sz w:val="24"/>
                <w:szCs w:val="24"/>
              </w:rPr>
              <w:t>施工期废水主要是来自施工废水及施工人员的生活污水。施工废水包括开挖产生的泥浆水、机械设备运转的冷却水和洗涤水；生活污水包括施工人员的盥洗水等。</w:t>
            </w:r>
          </w:p>
          <w:p w14:paraId="5015F3D4">
            <w:pPr>
              <w:autoSpaceDE w:val="0"/>
              <w:autoSpaceDN w:val="0"/>
              <w:adjustRightInd w:val="0"/>
              <w:spacing w:line="360" w:lineRule="auto"/>
              <w:ind w:firstLine="480" w:firstLineChars="200"/>
              <w:rPr>
                <w:color w:val="auto"/>
                <w:sz w:val="24"/>
                <w:szCs w:val="24"/>
              </w:rPr>
            </w:pPr>
            <w:r>
              <w:rPr>
                <w:color w:val="auto"/>
                <w:sz w:val="24"/>
                <w:szCs w:val="24"/>
              </w:rPr>
              <w:t>（1）施工废水</w:t>
            </w:r>
          </w:p>
          <w:p w14:paraId="04401921">
            <w:pPr>
              <w:autoSpaceDE w:val="0"/>
              <w:autoSpaceDN w:val="0"/>
              <w:adjustRightInd w:val="0"/>
              <w:spacing w:line="360" w:lineRule="auto"/>
              <w:ind w:firstLine="480" w:firstLineChars="200"/>
              <w:rPr>
                <w:color w:val="auto"/>
                <w:sz w:val="24"/>
                <w:szCs w:val="24"/>
              </w:rPr>
            </w:pPr>
            <w:r>
              <w:rPr>
                <w:color w:val="auto"/>
                <w:sz w:val="24"/>
                <w:szCs w:val="24"/>
              </w:rPr>
              <w:t>各种施工机械设备运转的冷却及洗涤用水，会有一定量的油污。同时在设备安装过程中，因调试、清洗设备，也会产生一定量的含油废水。在施工过程中应加强对机械设备的检修，以防止设备漏油现象的发生；施工机械设备的维修应在专业厂家进行，防止施工现场地表油类污染，以减小初期雨水的油类污染物负荷，另外，设置隔油</w:t>
            </w:r>
            <w:r>
              <w:rPr>
                <w:rFonts w:hint="eastAsia"/>
                <w:color w:val="auto"/>
                <w:sz w:val="24"/>
                <w:szCs w:val="24"/>
              </w:rPr>
              <w:t>、沉淀</w:t>
            </w:r>
            <w:r>
              <w:rPr>
                <w:color w:val="auto"/>
                <w:sz w:val="24"/>
                <w:szCs w:val="24"/>
              </w:rPr>
              <w:t>池，生产废水经隔油</w:t>
            </w:r>
            <w:r>
              <w:rPr>
                <w:rFonts w:hint="eastAsia"/>
                <w:color w:val="auto"/>
                <w:sz w:val="24"/>
                <w:szCs w:val="24"/>
              </w:rPr>
              <w:t>、沉淀</w:t>
            </w:r>
            <w:r>
              <w:rPr>
                <w:color w:val="auto"/>
                <w:sz w:val="24"/>
                <w:szCs w:val="24"/>
              </w:rPr>
              <w:t>池处理后回用于洒水抑尘，不外排。</w:t>
            </w:r>
          </w:p>
          <w:p w14:paraId="79D29681">
            <w:pPr>
              <w:autoSpaceDE w:val="0"/>
              <w:autoSpaceDN w:val="0"/>
              <w:adjustRightInd w:val="0"/>
              <w:spacing w:line="360" w:lineRule="auto"/>
              <w:ind w:firstLine="480" w:firstLineChars="200"/>
              <w:rPr>
                <w:rFonts w:hint="eastAsia"/>
                <w:color w:val="auto"/>
                <w:sz w:val="24"/>
                <w:szCs w:val="24"/>
              </w:rPr>
            </w:pPr>
            <w:r>
              <w:rPr>
                <w:color w:val="auto"/>
                <w:sz w:val="24"/>
                <w:szCs w:val="24"/>
              </w:rPr>
              <w:t>（</w:t>
            </w:r>
            <w:r>
              <w:rPr>
                <w:rFonts w:hint="eastAsia"/>
                <w:color w:val="auto"/>
                <w:sz w:val="24"/>
                <w:szCs w:val="24"/>
              </w:rPr>
              <w:t>2）施工生活污水</w:t>
            </w:r>
          </w:p>
          <w:p w14:paraId="7DAC5264">
            <w:pPr>
              <w:autoSpaceDE w:val="0"/>
              <w:autoSpaceDN w:val="0"/>
              <w:adjustRightInd w:val="0"/>
              <w:spacing w:line="360" w:lineRule="auto"/>
              <w:ind w:firstLine="480" w:firstLineChars="200"/>
              <w:rPr>
                <w:rFonts w:hint="eastAsia"/>
                <w:color w:val="auto"/>
                <w:sz w:val="24"/>
                <w:szCs w:val="24"/>
              </w:rPr>
            </w:pPr>
            <w:r>
              <w:rPr>
                <w:rFonts w:hint="eastAsia"/>
                <w:color w:val="auto"/>
                <w:sz w:val="24"/>
                <w:szCs w:val="24"/>
                <w:lang w:eastAsia="zh-CN"/>
              </w:rPr>
              <w:t>施工队居住在附近香隅镇，现场施工人员生活生活污水采用防渗旱厕收集</w:t>
            </w:r>
            <w:r>
              <w:rPr>
                <w:rFonts w:hint="eastAsia"/>
                <w:color w:val="auto"/>
                <w:sz w:val="24"/>
                <w:szCs w:val="24"/>
              </w:rPr>
              <w:t>。</w:t>
            </w:r>
          </w:p>
          <w:p w14:paraId="1E1B89C3">
            <w:pPr>
              <w:autoSpaceDE w:val="0"/>
              <w:autoSpaceDN w:val="0"/>
              <w:adjustRightInd w:val="0"/>
              <w:spacing w:line="360" w:lineRule="auto"/>
              <w:ind w:firstLine="480" w:firstLineChars="200"/>
              <w:rPr>
                <w:rFonts w:hint="eastAsia"/>
                <w:color w:val="auto"/>
                <w:sz w:val="24"/>
                <w:szCs w:val="24"/>
              </w:rPr>
            </w:pPr>
            <w:r>
              <w:rPr>
                <w:rFonts w:hint="eastAsia"/>
                <w:color w:val="auto"/>
                <w:sz w:val="24"/>
                <w:szCs w:val="24"/>
              </w:rPr>
              <w:t>通过采取以上措施后，项目施工期废水对外环境影响很小，且会随着施工期的结束而消失。</w:t>
            </w:r>
          </w:p>
          <w:p w14:paraId="134117F7">
            <w:pPr>
              <w:autoSpaceDE w:val="0"/>
              <w:autoSpaceDN w:val="0"/>
              <w:adjustRightInd w:val="0"/>
              <w:spacing w:line="360" w:lineRule="auto"/>
              <w:ind w:firstLine="480" w:firstLineChars="200"/>
              <w:rPr>
                <w:rFonts w:hint="eastAsia"/>
                <w:color w:val="auto"/>
                <w:sz w:val="24"/>
                <w:szCs w:val="24"/>
              </w:rPr>
            </w:pPr>
            <w:bookmarkStart w:id="11" w:name="_Toc380499906"/>
            <w:bookmarkStart w:id="12" w:name="_Toc6529"/>
            <w:bookmarkStart w:id="13" w:name="_Toc2355"/>
            <w:bookmarkStart w:id="14" w:name="_Toc22761"/>
            <w:bookmarkStart w:id="15" w:name="_Toc11438"/>
            <w:r>
              <w:rPr>
                <w:rFonts w:hint="eastAsia"/>
                <w:color w:val="auto"/>
                <w:sz w:val="24"/>
                <w:szCs w:val="24"/>
              </w:rPr>
              <w:t>2 施工期大气环境影响分析</w:t>
            </w:r>
            <w:bookmarkEnd w:id="11"/>
            <w:bookmarkEnd w:id="12"/>
            <w:bookmarkEnd w:id="13"/>
            <w:bookmarkEnd w:id="14"/>
            <w:bookmarkEnd w:id="15"/>
            <w:r>
              <w:rPr>
                <w:rFonts w:hint="eastAsia"/>
                <w:color w:val="auto"/>
                <w:sz w:val="24"/>
                <w:szCs w:val="24"/>
              </w:rPr>
              <w:t>及防治措施</w:t>
            </w:r>
          </w:p>
          <w:p w14:paraId="363F0C8D">
            <w:pPr>
              <w:autoSpaceDE w:val="0"/>
              <w:autoSpaceDN w:val="0"/>
              <w:adjustRightInd w:val="0"/>
              <w:spacing w:line="360" w:lineRule="auto"/>
              <w:ind w:firstLine="480" w:firstLineChars="200"/>
              <w:rPr>
                <w:color w:val="auto"/>
                <w:sz w:val="24"/>
                <w:szCs w:val="24"/>
              </w:rPr>
            </w:pPr>
            <w:bookmarkStart w:id="16" w:name="_Toc228761334"/>
            <w:bookmarkStart w:id="17" w:name="_Toc233655334"/>
            <w:bookmarkStart w:id="18" w:name="_Toc231651775"/>
            <w:bookmarkStart w:id="19" w:name="_Toc233655550"/>
            <w:r>
              <w:rPr>
                <w:color w:val="auto"/>
                <w:sz w:val="24"/>
                <w:szCs w:val="24"/>
              </w:rPr>
              <w:t>施工过程中废气主要来源于施工机械驱动设备（如柴油机等）和运输及施工车辆所排放的废气。此外，还有施工队伍因生活需要使用燃料而排放的废气等。</w:t>
            </w:r>
          </w:p>
          <w:p w14:paraId="5B7DCD95">
            <w:pPr>
              <w:autoSpaceDE w:val="0"/>
              <w:autoSpaceDN w:val="0"/>
              <w:adjustRightInd w:val="0"/>
              <w:spacing w:line="360" w:lineRule="auto"/>
              <w:ind w:firstLine="480" w:firstLineChars="200"/>
              <w:rPr>
                <w:rFonts w:hint="eastAsia"/>
                <w:color w:val="auto"/>
                <w:sz w:val="24"/>
                <w:szCs w:val="24"/>
              </w:rPr>
            </w:pPr>
            <w:r>
              <w:rPr>
                <w:rFonts w:hint="eastAsia"/>
                <w:color w:val="auto"/>
                <w:sz w:val="24"/>
                <w:szCs w:val="24"/>
              </w:rPr>
              <w:t>（1）施工扬尘</w:t>
            </w:r>
          </w:p>
          <w:p w14:paraId="259BE03A">
            <w:pPr>
              <w:spacing w:line="360" w:lineRule="auto"/>
              <w:ind w:firstLine="480" w:firstLineChars="200"/>
              <w:rPr>
                <w:color w:val="auto"/>
                <w:sz w:val="24"/>
                <w:szCs w:val="24"/>
              </w:rPr>
            </w:pPr>
            <w:r>
              <w:rPr>
                <w:color w:val="auto"/>
                <w:sz w:val="24"/>
                <w:szCs w:val="24"/>
              </w:rPr>
              <w:t>施工期间的扬尘主要来自汽车扬尘、物料堆场产生的风力扬尘。</w:t>
            </w:r>
          </w:p>
          <w:p w14:paraId="27B37B9B">
            <w:pPr>
              <w:spacing w:line="360" w:lineRule="auto"/>
              <w:ind w:firstLine="480" w:firstLineChars="200"/>
              <w:rPr>
                <w:color w:val="auto"/>
                <w:sz w:val="24"/>
                <w:szCs w:val="24"/>
              </w:rPr>
            </w:pPr>
            <w:r>
              <w:rPr>
                <w:rFonts w:hint="eastAsia"/>
                <w:color w:val="auto"/>
                <w:sz w:val="24"/>
                <w:szCs w:val="24"/>
              </w:rPr>
              <w:t>1）汽车行驶扬</w:t>
            </w:r>
            <w:r>
              <w:rPr>
                <w:color w:val="auto"/>
                <w:sz w:val="24"/>
                <w:szCs w:val="24"/>
              </w:rPr>
              <w:t>尘</w:t>
            </w:r>
          </w:p>
          <w:p w14:paraId="510D7F4D">
            <w:pPr>
              <w:spacing w:line="360" w:lineRule="auto"/>
              <w:ind w:firstLine="480" w:firstLineChars="200"/>
              <w:rPr>
                <w:color w:val="auto"/>
                <w:sz w:val="24"/>
                <w:szCs w:val="24"/>
              </w:rPr>
            </w:pPr>
            <w:r>
              <w:rPr>
                <w:color w:val="auto"/>
                <w:sz w:val="24"/>
                <w:szCs w:val="24"/>
              </w:rPr>
              <w:t xml:space="preserve">汽车行驶扬尘主要为路面扬尘以及由车辆车轮附带的泥土产生的扬尘，本项目利用周边已建成的道路，水泥和沥青路面，相比砂石、泥土等路面，含尘量少，为此，由城市道路路面引起的路面扬尘较少，环评要求施工期间，沿途经过敏感点路段时，对运输车辆进行限速行驶、及时清理路面洒落泥土，保持路面清洁，适当洒水。 </w:t>
            </w:r>
          </w:p>
          <w:p w14:paraId="0B688B9D">
            <w:pPr>
              <w:spacing w:line="360" w:lineRule="auto"/>
              <w:ind w:firstLine="480" w:firstLineChars="200"/>
              <w:rPr>
                <w:color w:val="auto"/>
                <w:sz w:val="24"/>
                <w:szCs w:val="24"/>
              </w:rPr>
            </w:pPr>
            <w:r>
              <w:rPr>
                <w:rFonts w:hint="eastAsia"/>
                <w:color w:val="auto"/>
                <w:sz w:val="24"/>
                <w:szCs w:val="24"/>
              </w:rPr>
              <w:t>2）</w:t>
            </w:r>
            <w:r>
              <w:rPr>
                <w:color w:val="auto"/>
                <w:sz w:val="24"/>
                <w:szCs w:val="24"/>
              </w:rPr>
              <w:t>施工扬尘</w:t>
            </w:r>
          </w:p>
          <w:p w14:paraId="11E6414E">
            <w:pPr>
              <w:spacing w:line="360" w:lineRule="auto"/>
              <w:ind w:firstLine="480" w:firstLineChars="200"/>
              <w:rPr>
                <w:color w:val="auto"/>
                <w:sz w:val="24"/>
                <w:szCs w:val="24"/>
              </w:rPr>
            </w:pPr>
            <w:r>
              <w:rPr>
                <w:color w:val="auto"/>
                <w:sz w:val="24"/>
                <w:szCs w:val="24"/>
              </w:rPr>
              <w:t>项目覆土阶段使用土壤为厂内开挖土层，该类土层含水率较低，在天气干燥、有风的情况下覆土时，会产生扬尘，因此建设单位必须充分重视扬尘所带来的环境污染问题，应从车辆途经路段、车辆行驶速度以及车辆轮胎清洁度，施工工地堆场、裸露地表等方面采取合理可行的污染控制措施，最大程度减轻其污染程度。</w:t>
            </w:r>
          </w:p>
          <w:p w14:paraId="5BACD6B7">
            <w:pPr>
              <w:widowControl/>
              <w:snapToGrid w:val="0"/>
              <w:spacing w:line="360" w:lineRule="auto"/>
              <w:ind w:firstLine="480" w:firstLineChars="200"/>
              <w:jc w:val="left"/>
              <w:rPr>
                <w:color w:val="auto"/>
                <w:sz w:val="24"/>
                <w:szCs w:val="24"/>
              </w:rPr>
            </w:pPr>
            <w:r>
              <w:rPr>
                <w:bCs/>
                <w:color w:val="auto"/>
                <w:sz w:val="24"/>
                <w:szCs w:val="24"/>
              </w:rPr>
              <w:t>根据《大气污染防治行动计划》、《安徽省大气污染防治条例》、《安徽省大气污染防治行动计划实施方案》</w:t>
            </w:r>
            <w:r>
              <w:rPr>
                <w:rFonts w:hint="eastAsia"/>
                <w:bCs/>
                <w:color w:val="auto"/>
                <w:sz w:val="24"/>
                <w:szCs w:val="24"/>
              </w:rPr>
              <w:t>、《</w:t>
            </w:r>
            <w:r>
              <w:rPr>
                <w:rFonts w:hint="eastAsia" w:ascii="宋体" w:hAnsi="宋体" w:cs="宋体"/>
                <w:bCs/>
                <w:color w:val="auto"/>
                <w:sz w:val="24"/>
                <w:szCs w:val="24"/>
              </w:rPr>
              <w:t>安徽省建筑工程施工和预拌混凝土生产扬尘污染防治标准（试行）</w:t>
            </w:r>
            <w:r>
              <w:rPr>
                <w:rFonts w:hint="eastAsia"/>
                <w:bCs/>
                <w:color w:val="auto"/>
                <w:sz w:val="24"/>
                <w:szCs w:val="24"/>
              </w:rPr>
              <w:t>》</w:t>
            </w:r>
            <w:r>
              <w:rPr>
                <w:bCs/>
                <w:color w:val="auto"/>
                <w:sz w:val="24"/>
                <w:szCs w:val="24"/>
              </w:rPr>
              <w:t>等</w:t>
            </w:r>
            <w:r>
              <w:rPr>
                <w:color w:val="auto"/>
                <w:sz w:val="24"/>
                <w:szCs w:val="24"/>
              </w:rPr>
              <w:t>相关文件要求，工程建设期间，建设和施工单位应负责工地周边道路的保洁与清洗责任，</w:t>
            </w:r>
            <w:r>
              <w:rPr>
                <w:rFonts w:hint="eastAsia" w:ascii="宋体" w:hAnsi="宋体" w:cs="宋体"/>
                <w:color w:val="auto"/>
                <w:kern w:val="0"/>
                <w:sz w:val="24"/>
                <w:szCs w:val="24"/>
                <w:lang w:bidi="ar"/>
              </w:rPr>
              <w:t>建筑工程施工现场扬尘污染防治应做到工地周边围挡、物料堆放覆盖、路面硬化、土方开挖湿法作业、出入车辆清洗、渣土车辆密闭运输。</w:t>
            </w:r>
            <w:r>
              <w:rPr>
                <w:color w:val="auto"/>
                <w:sz w:val="24"/>
                <w:szCs w:val="24"/>
              </w:rPr>
              <w:t>按照施工工地“六个百分百”标准，做到工</w:t>
            </w:r>
            <w:r>
              <w:rPr>
                <w:rFonts w:hint="eastAsia"/>
                <w:color w:val="auto"/>
                <w:sz w:val="24"/>
                <w:szCs w:val="24"/>
              </w:rPr>
              <w:t>地</w:t>
            </w:r>
            <w:r>
              <w:rPr>
                <w:color w:val="auto"/>
                <w:sz w:val="24"/>
                <w:szCs w:val="24"/>
              </w:rPr>
              <w:t>周边100%围挡； 物料堆放100%覆盖；出入车辆100%冲洗；施工现场地面100%硬化；土方开挖100%湿法作业；渣土车辆100%密闭运输。尽可能减少项目对周围环境产生的影响，建设单位必须充分重视扬尘所带来的环境污染问题，本环评要求采取以下措施：</w:t>
            </w:r>
          </w:p>
          <w:p w14:paraId="5E376B31">
            <w:pPr>
              <w:autoSpaceDE w:val="0"/>
              <w:autoSpaceDN w:val="0"/>
              <w:adjustRightInd w:val="0"/>
              <w:snapToGrid w:val="0"/>
              <w:spacing w:line="360" w:lineRule="auto"/>
              <w:ind w:firstLine="480" w:firstLineChars="200"/>
              <w:jc w:val="left"/>
              <w:rPr>
                <w:color w:val="auto"/>
                <w:sz w:val="24"/>
                <w:szCs w:val="24"/>
              </w:rPr>
            </w:pPr>
            <w:r>
              <w:rPr>
                <w:color w:val="auto"/>
                <w:sz w:val="24"/>
                <w:szCs w:val="24"/>
              </w:rPr>
              <w:t>①施工企业要在开工前制定建筑施工现场扬尘控制措施；</w:t>
            </w:r>
          </w:p>
          <w:p w14:paraId="6D17EC0D">
            <w:pPr>
              <w:autoSpaceDE w:val="0"/>
              <w:autoSpaceDN w:val="0"/>
              <w:adjustRightInd w:val="0"/>
              <w:snapToGrid w:val="0"/>
              <w:spacing w:line="360" w:lineRule="auto"/>
              <w:ind w:firstLine="480" w:firstLineChars="200"/>
              <w:jc w:val="left"/>
              <w:rPr>
                <w:color w:val="auto"/>
                <w:sz w:val="24"/>
                <w:szCs w:val="24"/>
              </w:rPr>
            </w:pPr>
            <w:r>
              <w:rPr>
                <w:color w:val="auto"/>
                <w:sz w:val="24"/>
                <w:szCs w:val="24"/>
              </w:rPr>
              <w:t>②施工现场实行围挡封闭，围挡高度不得低于1.8m，</w:t>
            </w:r>
            <w:r>
              <w:rPr>
                <w:rFonts w:hint="eastAsia"/>
                <w:color w:val="auto"/>
                <w:sz w:val="24"/>
                <w:szCs w:val="24"/>
              </w:rPr>
              <w:t>围挡</w:t>
            </w:r>
            <w:r>
              <w:rPr>
                <w:color w:val="auto"/>
                <w:sz w:val="24"/>
                <w:szCs w:val="24"/>
              </w:rPr>
              <w:t>底边应当封闭并设置防溢沉淀井，不得有泥浆外漏；</w:t>
            </w:r>
          </w:p>
          <w:p w14:paraId="3BDAE417">
            <w:pPr>
              <w:widowControl/>
              <w:snapToGrid w:val="0"/>
              <w:spacing w:line="360" w:lineRule="auto"/>
              <w:ind w:firstLine="480" w:firstLineChars="200"/>
              <w:jc w:val="left"/>
              <w:rPr>
                <w:color w:val="auto"/>
                <w:sz w:val="24"/>
                <w:szCs w:val="24"/>
              </w:rPr>
            </w:pPr>
            <w:r>
              <w:rPr>
                <w:color w:val="auto"/>
                <w:sz w:val="24"/>
                <w:szCs w:val="24"/>
              </w:rPr>
              <w:t>③</w:t>
            </w:r>
            <w:r>
              <w:rPr>
                <w:color w:val="auto"/>
                <w:kern w:val="0"/>
                <w:sz w:val="24"/>
                <w:szCs w:val="24"/>
                <w:lang w:bidi="ar"/>
              </w:rPr>
              <w:t>施工现场临时设施、临时道路的设置应科学合理，并应符合安全、消防、节能、环保等有关规定。施工区、材料加工及存放区应与办公区、生活区划分清楚，并应采取相应的隔离措施</w:t>
            </w:r>
            <w:r>
              <w:rPr>
                <w:color w:val="auto"/>
                <w:sz w:val="24"/>
                <w:szCs w:val="24"/>
              </w:rPr>
              <w:t>；</w:t>
            </w:r>
            <w:r>
              <w:rPr>
                <w:color w:val="auto"/>
                <w:kern w:val="0"/>
                <w:sz w:val="24"/>
                <w:szCs w:val="24"/>
                <w:lang w:bidi="ar"/>
              </w:rPr>
              <w:t>施工现场出入口、主要道路必须采用硬化处理措施，尽量做到“永临结合”。宜设置循环通道或贯通的施工道路，其宽度和承载力应满足车辆通行和消防要求；沿施工道路两侧宜通长布设标准化的道路喷淋系统。施工现场辅助临时道路、加工区、施工用材料堆放场、临时停车场地等应采取铺砌块（砖）、焦渣、碎石铺装等固化措施。鼓励采用装配式、定型化、可重复使用的预制混凝土铺砌块。施工场区内裸露场地和堆放的土方必须采用防尘网覆盖、绿化或固化等扬尘污染防治措施。施工现场地表水和地下管沟应排水畅通，场地无积水。严禁将污水直接排入雨水管网，污水宜沉淀后重复使用。建设单位负责对待建场地裸露地面进行覆盖；超过三个月的，应当进行临时 绿化或者透水铺装。</w:t>
            </w:r>
          </w:p>
          <w:p w14:paraId="3589E2DB">
            <w:pPr>
              <w:widowControl/>
              <w:snapToGrid w:val="0"/>
              <w:spacing w:line="360" w:lineRule="auto"/>
              <w:ind w:firstLine="480" w:firstLineChars="200"/>
              <w:jc w:val="left"/>
              <w:rPr>
                <w:color w:val="auto"/>
                <w:sz w:val="24"/>
                <w:szCs w:val="24"/>
              </w:rPr>
            </w:pPr>
            <w:r>
              <w:rPr>
                <w:color w:val="auto"/>
                <w:sz w:val="24"/>
                <w:szCs w:val="24"/>
              </w:rPr>
              <w:t>④</w:t>
            </w:r>
            <w:r>
              <w:rPr>
                <w:color w:val="auto"/>
                <w:kern w:val="0"/>
                <w:sz w:val="24"/>
                <w:szCs w:val="24"/>
                <w:lang w:bidi="ar"/>
              </w:rPr>
              <w:t>施工现场出入口大门内侧场内主道路应按有关规定设置固定车辆自动冲洗设施，包括冲洗平台、冲洗设备、排水沟、沉淀池等。特殊情况及拆除工程施工现场，可采用满足现场冲洗要求的移动式冲洗设备。车辆冲洗装置冲洗水压不应</w:t>
            </w:r>
            <w:r>
              <w:rPr>
                <w:rFonts w:hint="eastAsia"/>
                <w:color w:val="auto"/>
                <w:kern w:val="0"/>
                <w:sz w:val="24"/>
                <w:szCs w:val="24"/>
                <w:lang w:bidi="ar"/>
              </w:rPr>
              <w:t>小于</w:t>
            </w:r>
            <w:r>
              <w:rPr>
                <w:color w:val="auto"/>
                <w:kern w:val="0"/>
                <w:sz w:val="24"/>
                <w:szCs w:val="24"/>
                <w:lang w:bidi="ar"/>
              </w:rPr>
              <w:t>0.3MPa，冲洗时间不宜少于3min。车辆冲洗应有专人负责并填写台账。确保车辆外部、底盘、轮胎处不得粘有污物和泥土，施工工地大门外车辆出口路面上不应有明显的泥印和泥浆水，以及砂石、灰土等易扬尘材料。车辆冲洗宜采用循环用水，设置分级沉淀池，沉淀池应做防渗处理，污水不得直接排入市政管网，沉淀池、排水沟中积存的污泥应定期清理。 冲洗装置应从工程开工之日起设置，并保留至工程竣工，对损坏的设备要及时进行维修，保证正常使用。</w:t>
            </w:r>
          </w:p>
          <w:p w14:paraId="7E5CEAAE">
            <w:pPr>
              <w:widowControl/>
              <w:snapToGrid w:val="0"/>
              <w:spacing w:line="360" w:lineRule="auto"/>
              <w:ind w:firstLine="480" w:firstLineChars="200"/>
              <w:jc w:val="left"/>
              <w:rPr>
                <w:color w:val="auto"/>
                <w:sz w:val="24"/>
                <w:szCs w:val="24"/>
              </w:rPr>
            </w:pPr>
            <w:r>
              <w:rPr>
                <w:color w:val="auto"/>
                <w:sz w:val="24"/>
                <w:szCs w:val="24"/>
              </w:rPr>
              <w:t>⑤</w:t>
            </w:r>
            <w:r>
              <w:rPr>
                <w:color w:val="auto"/>
                <w:kern w:val="0"/>
                <w:sz w:val="24"/>
                <w:szCs w:val="24"/>
                <w:lang w:bidi="ar"/>
              </w:rPr>
              <w:t>施工现场土方堆放时，除应采取覆盖防尘网、绿化等防尘措施，并适时洒水外。还应做到：土方堆放高度不宜超过相邻围挡；使用土方时禁止将所有遮盖的防尘网全部打开；雨季时应采取措施防止随雨水冲刷进入水体或市政雨水管道。 钢材、木材、周转材料等物料应分类分区存放，场地应采取硬化或砖、焦渣、碎石铺装等防尘措施。严禁在施工现场</w:t>
            </w:r>
            <w:r>
              <w:rPr>
                <w:rFonts w:hint="eastAsia"/>
                <w:color w:val="auto"/>
                <w:kern w:val="0"/>
                <w:sz w:val="24"/>
                <w:szCs w:val="24"/>
                <w:lang w:bidi="ar"/>
              </w:rPr>
              <w:t>围挡</w:t>
            </w:r>
            <w:r>
              <w:rPr>
                <w:color w:val="auto"/>
                <w:kern w:val="0"/>
                <w:sz w:val="24"/>
                <w:szCs w:val="24"/>
                <w:lang w:bidi="ar"/>
              </w:rPr>
              <w:t xml:space="preserve">外堆放建筑材料和建筑垃圾。 </w:t>
            </w:r>
          </w:p>
          <w:p w14:paraId="40EED9E5">
            <w:pPr>
              <w:widowControl/>
              <w:snapToGrid w:val="0"/>
              <w:spacing w:line="360" w:lineRule="auto"/>
              <w:ind w:firstLine="480" w:firstLineChars="200"/>
              <w:jc w:val="left"/>
              <w:rPr>
                <w:color w:val="auto"/>
                <w:sz w:val="24"/>
                <w:szCs w:val="24"/>
              </w:rPr>
            </w:pPr>
            <w:r>
              <w:rPr>
                <w:color w:val="auto"/>
                <w:sz w:val="24"/>
                <w:szCs w:val="24"/>
              </w:rPr>
              <w:t>⑥</w:t>
            </w:r>
            <w:r>
              <w:rPr>
                <w:color w:val="auto"/>
                <w:kern w:val="0"/>
                <w:sz w:val="24"/>
                <w:szCs w:val="24"/>
                <w:lang w:bidi="ar"/>
              </w:rPr>
              <w:t>建筑垃圾处置实行减量化、资源化、无害化和“谁产生、谁处置”的原则。施工单位应当合理利用资源，防止浪费，减少渣土与建筑垃圾的产出量。施工现场建筑垃圾应集中、分类堆放，严密遮盖。必要时建立密闭式垃圾站。楼层内清理施工垃圾，应采取先洒水降尘后清扫的作业方法，并使用密闭式专用垃圾通道（管道）或袋装清运。施工现场内严禁随意丢弃和焚烧各类废弃物，严禁高空</w:t>
            </w:r>
            <w:r>
              <w:rPr>
                <w:rFonts w:hint="eastAsia"/>
                <w:color w:val="auto"/>
                <w:kern w:val="0"/>
                <w:sz w:val="24"/>
                <w:szCs w:val="24"/>
                <w:lang w:bidi="ar"/>
              </w:rPr>
              <w:t>抛撒</w:t>
            </w:r>
            <w:r>
              <w:rPr>
                <w:color w:val="auto"/>
                <w:kern w:val="0"/>
                <w:sz w:val="24"/>
                <w:szCs w:val="24"/>
                <w:lang w:bidi="ar"/>
              </w:rPr>
              <w:t>建筑垃圾。施工工程中产生的弃土、弃料及其他建筑垃圾， 应及时清运。若在工地内堆置超过48小时的，应在施工</w:t>
            </w:r>
            <w:r>
              <w:rPr>
                <w:rFonts w:hint="eastAsia"/>
                <w:color w:val="auto"/>
                <w:kern w:val="0"/>
                <w:sz w:val="24"/>
                <w:szCs w:val="24"/>
                <w:lang w:eastAsia="zh-CN" w:bidi="ar"/>
              </w:rPr>
              <w:t>场地</w:t>
            </w:r>
            <w:r>
              <w:rPr>
                <w:color w:val="auto"/>
                <w:kern w:val="0"/>
                <w:sz w:val="24"/>
                <w:szCs w:val="24"/>
                <w:lang w:bidi="ar"/>
              </w:rPr>
              <w:t xml:space="preserve">内设置临时堆放场，并采取下列措施之一：覆盖防尘布、防尘网；定期喷洒抑尘剂； 定期洒水压尘；其他有效的防尘措施。 </w:t>
            </w:r>
          </w:p>
          <w:p w14:paraId="199DBE0F">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color w:val="auto"/>
                <w:sz w:val="24"/>
                <w:szCs w:val="24"/>
              </w:rPr>
            </w:pPr>
            <w:r>
              <w:rPr>
                <w:color w:val="auto"/>
                <w:kern w:val="0"/>
                <w:sz w:val="24"/>
                <w:szCs w:val="24"/>
                <w:lang w:bidi="ar"/>
              </w:rPr>
              <w:t xml:space="preserve">建筑垃圾和土方运输车辆运输中必须采取密闭措施，切实达到无外露、无遗撒、无高尖、无扬尘的要求，按规定的时间、地点、线路运输和装卸。外运泥浆应使用具有吸排性能的密封罐车。 </w:t>
            </w:r>
          </w:p>
          <w:p w14:paraId="0FDF3AD6">
            <w:pPr>
              <w:autoSpaceDE w:val="0"/>
              <w:autoSpaceDN w:val="0"/>
              <w:adjustRightInd w:val="0"/>
              <w:snapToGrid w:val="0"/>
              <w:spacing w:line="360" w:lineRule="auto"/>
              <w:ind w:firstLine="480" w:firstLineChars="200"/>
              <w:jc w:val="left"/>
              <w:rPr>
                <w:color w:val="auto"/>
                <w:sz w:val="24"/>
                <w:szCs w:val="24"/>
              </w:rPr>
            </w:pPr>
            <w:r>
              <w:rPr>
                <w:color w:val="auto"/>
                <w:sz w:val="24"/>
                <w:szCs w:val="24"/>
              </w:rPr>
              <w:t>⑦施工现场使用商品混凝土；</w:t>
            </w:r>
          </w:p>
          <w:p w14:paraId="74F0BA3D">
            <w:pPr>
              <w:autoSpaceDE w:val="0"/>
              <w:autoSpaceDN w:val="0"/>
              <w:adjustRightInd w:val="0"/>
              <w:snapToGrid w:val="0"/>
              <w:spacing w:line="360" w:lineRule="auto"/>
              <w:ind w:firstLine="480" w:firstLineChars="200"/>
              <w:jc w:val="left"/>
              <w:rPr>
                <w:color w:val="auto"/>
                <w:sz w:val="24"/>
                <w:szCs w:val="24"/>
              </w:rPr>
            </w:pPr>
            <w:r>
              <w:rPr>
                <w:color w:val="auto"/>
                <w:sz w:val="24"/>
                <w:szCs w:val="24"/>
              </w:rPr>
              <w:t>综上所述，项目施工期产生的扬尘只要采取以上措施处理后，对周边环境影响较小。</w:t>
            </w:r>
          </w:p>
          <w:p w14:paraId="224743AC">
            <w:pPr>
              <w:autoSpaceDE w:val="0"/>
              <w:autoSpaceDN w:val="0"/>
              <w:adjustRightInd w:val="0"/>
              <w:spacing w:line="360" w:lineRule="auto"/>
              <w:ind w:firstLine="480" w:firstLineChars="200"/>
              <w:rPr>
                <w:color w:val="auto"/>
                <w:sz w:val="24"/>
                <w:szCs w:val="24"/>
              </w:rPr>
            </w:pPr>
            <w:r>
              <w:rPr>
                <w:rFonts w:hint="eastAsia"/>
                <w:color w:val="auto"/>
                <w:sz w:val="24"/>
                <w:szCs w:val="24"/>
              </w:rPr>
              <w:t>（2）</w:t>
            </w:r>
            <w:r>
              <w:rPr>
                <w:color w:val="auto"/>
                <w:sz w:val="24"/>
                <w:szCs w:val="24"/>
              </w:rPr>
              <w:t>燃油废气</w:t>
            </w:r>
          </w:p>
          <w:p w14:paraId="3CAFBF52">
            <w:pPr>
              <w:autoSpaceDE w:val="0"/>
              <w:autoSpaceDN w:val="0"/>
              <w:adjustRightInd w:val="0"/>
              <w:spacing w:line="360" w:lineRule="auto"/>
              <w:ind w:firstLine="480" w:firstLineChars="200"/>
              <w:rPr>
                <w:color w:val="auto"/>
                <w:sz w:val="24"/>
                <w:szCs w:val="24"/>
              </w:rPr>
            </w:pPr>
            <w:r>
              <w:rPr>
                <w:color w:val="auto"/>
                <w:sz w:val="24"/>
                <w:szCs w:val="24"/>
              </w:rPr>
              <w:t>施工机械和运输车辆排放的尾气中含有一氧化碳(CO)、氮氧化物(主要以NO和NO</w:t>
            </w:r>
            <w:r>
              <w:rPr>
                <w:color w:val="auto"/>
                <w:sz w:val="24"/>
                <w:szCs w:val="24"/>
                <w:vertAlign w:val="subscript"/>
              </w:rPr>
              <w:t>2</w:t>
            </w:r>
            <w:r>
              <w:rPr>
                <w:color w:val="auto"/>
                <w:sz w:val="24"/>
                <w:szCs w:val="24"/>
              </w:rPr>
              <w:t>形式存在)和总烃(THC)等污染物。施工期间汽车尾气排放对区域环境空气质量有轻微的影响。</w:t>
            </w:r>
          </w:p>
          <w:bookmarkEnd w:id="16"/>
          <w:bookmarkEnd w:id="17"/>
          <w:bookmarkEnd w:id="18"/>
          <w:bookmarkEnd w:id="19"/>
          <w:p w14:paraId="3F2178B5">
            <w:pPr>
              <w:autoSpaceDE w:val="0"/>
              <w:autoSpaceDN w:val="0"/>
              <w:adjustRightInd w:val="0"/>
              <w:spacing w:line="360" w:lineRule="auto"/>
              <w:ind w:firstLine="480" w:firstLineChars="200"/>
              <w:rPr>
                <w:color w:val="auto"/>
                <w:sz w:val="24"/>
                <w:szCs w:val="24"/>
              </w:rPr>
            </w:pPr>
            <w:bookmarkStart w:id="20" w:name="_Toc6693"/>
            <w:bookmarkStart w:id="21" w:name="_Toc4459"/>
            <w:bookmarkStart w:id="22" w:name="_Toc7405"/>
            <w:bookmarkStart w:id="23" w:name="_Toc30465"/>
            <w:r>
              <w:rPr>
                <w:rFonts w:hint="eastAsia"/>
                <w:color w:val="auto"/>
                <w:sz w:val="24"/>
                <w:szCs w:val="24"/>
              </w:rPr>
              <w:t xml:space="preserve">3 </w:t>
            </w:r>
            <w:r>
              <w:rPr>
                <w:color w:val="auto"/>
                <w:sz w:val="24"/>
                <w:szCs w:val="24"/>
              </w:rPr>
              <w:t>施工期噪声环境影响分析</w:t>
            </w:r>
            <w:bookmarkEnd w:id="20"/>
            <w:bookmarkEnd w:id="21"/>
            <w:bookmarkEnd w:id="22"/>
            <w:bookmarkEnd w:id="23"/>
          </w:p>
          <w:p w14:paraId="56D9ED33">
            <w:pPr>
              <w:autoSpaceDE w:val="0"/>
              <w:autoSpaceDN w:val="0"/>
              <w:adjustRightInd w:val="0"/>
              <w:spacing w:line="360" w:lineRule="auto"/>
              <w:ind w:firstLine="480" w:firstLineChars="200"/>
              <w:rPr>
                <w:color w:val="auto"/>
                <w:sz w:val="24"/>
                <w:szCs w:val="24"/>
              </w:rPr>
            </w:pPr>
            <w:r>
              <w:rPr>
                <w:rFonts w:hint="eastAsia"/>
                <w:color w:val="auto"/>
                <w:sz w:val="24"/>
                <w:szCs w:val="24"/>
              </w:rPr>
              <w:t xml:space="preserve">3.1 </w:t>
            </w:r>
            <w:r>
              <w:rPr>
                <w:color w:val="auto"/>
                <w:sz w:val="24"/>
                <w:szCs w:val="24"/>
              </w:rPr>
              <w:t>噪声源</w:t>
            </w:r>
          </w:p>
          <w:p w14:paraId="41198CD0">
            <w:pPr>
              <w:autoSpaceDE w:val="0"/>
              <w:autoSpaceDN w:val="0"/>
              <w:adjustRightInd w:val="0"/>
              <w:spacing w:line="360" w:lineRule="auto"/>
              <w:ind w:firstLine="480" w:firstLineChars="200"/>
              <w:rPr>
                <w:color w:val="auto"/>
                <w:sz w:val="24"/>
                <w:szCs w:val="24"/>
              </w:rPr>
            </w:pPr>
            <w:r>
              <w:rPr>
                <w:color w:val="auto"/>
                <w:sz w:val="24"/>
                <w:szCs w:val="24"/>
              </w:rPr>
              <w:t>施工期的主要噪声源有推土机、</w:t>
            </w:r>
            <w:r>
              <w:rPr>
                <w:rFonts w:hint="eastAsia"/>
                <w:color w:val="auto"/>
                <w:sz w:val="24"/>
                <w:szCs w:val="24"/>
              </w:rPr>
              <w:t>空压机</w:t>
            </w:r>
            <w:r>
              <w:rPr>
                <w:color w:val="auto"/>
                <w:sz w:val="24"/>
                <w:szCs w:val="24"/>
              </w:rPr>
              <w:t>等。通过对上述机械设备和车辆等噪声值进行类比调查，同时结合</w:t>
            </w:r>
            <w:r>
              <w:rPr>
                <w:rFonts w:hint="eastAsia"/>
                <w:color w:val="auto"/>
                <w:sz w:val="24"/>
                <w:szCs w:val="24"/>
              </w:rPr>
              <w:t>《低噪声施工设备指导名录(2024年版)》（公告2024年40号）和</w:t>
            </w:r>
            <w:r>
              <w:rPr>
                <w:color w:val="auto"/>
                <w:sz w:val="24"/>
                <w:szCs w:val="24"/>
              </w:rPr>
              <w:t>《环境噪声与振动控制工程技术导则（HJ 2034-2013）》</w:t>
            </w:r>
            <w:r>
              <w:rPr>
                <w:rFonts w:hint="eastAsia"/>
                <w:color w:val="auto"/>
                <w:sz w:val="24"/>
                <w:szCs w:val="24"/>
              </w:rPr>
              <w:t>，施工期主要噪声源见下表。</w:t>
            </w:r>
          </w:p>
          <w:p w14:paraId="1890E6B3">
            <w:pPr>
              <w:autoSpaceDE w:val="0"/>
              <w:autoSpaceDN w:val="0"/>
              <w:adjustRightInd w:val="0"/>
              <w:spacing w:line="240" w:lineRule="auto"/>
              <w:ind w:firstLine="422" w:firstLineChars="200"/>
              <w:jc w:val="center"/>
              <w:rPr>
                <w:b/>
                <w:bCs/>
                <w:color w:val="auto"/>
                <w:szCs w:val="21"/>
              </w:rPr>
            </w:pPr>
            <w:r>
              <w:rPr>
                <w:b/>
                <w:bCs/>
                <w:color w:val="auto"/>
                <w:szCs w:val="21"/>
              </w:rPr>
              <w:t>表</w:t>
            </w:r>
            <w:r>
              <w:rPr>
                <w:rFonts w:hint="eastAsia"/>
                <w:b/>
                <w:bCs/>
                <w:color w:val="auto"/>
                <w:szCs w:val="21"/>
              </w:rPr>
              <w:t>4</w:t>
            </w:r>
            <w:r>
              <w:rPr>
                <w:b/>
                <w:bCs/>
                <w:color w:val="auto"/>
                <w:szCs w:val="21"/>
              </w:rPr>
              <w:t>-1 施工期主要噪声源</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1"/>
              <w:gridCol w:w="3216"/>
              <w:gridCol w:w="1494"/>
              <w:gridCol w:w="1494"/>
            </w:tblGrid>
            <w:tr w14:paraId="0B9D3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1264" w:type="pct"/>
                  <w:noWrap w:val="0"/>
                  <w:vAlign w:val="center"/>
                </w:tcPr>
                <w:p w14:paraId="07E6383F">
                  <w:pPr>
                    <w:autoSpaceDE w:val="0"/>
                    <w:autoSpaceDN w:val="0"/>
                    <w:adjustRightInd w:val="0"/>
                    <w:snapToGrid w:val="0"/>
                    <w:jc w:val="center"/>
                    <w:rPr>
                      <w:b/>
                      <w:bCs/>
                      <w:color w:val="auto"/>
                      <w:szCs w:val="21"/>
                    </w:rPr>
                  </w:pPr>
                  <w:r>
                    <w:rPr>
                      <w:b/>
                      <w:bCs/>
                      <w:color w:val="auto"/>
                      <w:szCs w:val="21"/>
                    </w:rPr>
                    <w:t>施工阶段</w:t>
                  </w:r>
                </w:p>
              </w:tc>
              <w:tc>
                <w:tcPr>
                  <w:tcW w:w="1935" w:type="pct"/>
                  <w:noWrap w:val="0"/>
                  <w:vAlign w:val="center"/>
                </w:tcPr>
                <w:p w14:paraId="654689D2">
                  <w:pPr>
                    <w:autoSpaceDE w:val="0"/>
                    <w:autoSpaceDN w:val="0"/>
                    <w:adjustRightInd w:val="0"/>
                    <w:snapToGrid w:val="0"/>
                    <w:jc w:val="center"/>
                    <w:rPr>
                      <w:b/>
                      <w:bCs/>
                      <w:color w:val="auto"/>
                      <w:szCs w:val="21"/>
                    </w:rPr>
                  </w:pPr>
                  <w:r>
                    <w:rPr>
                      <w:b/>
                      <w:bCs/>
                      <w:color w:val="auto"/>
                      <w:szCs w:val="21"/>
                    </w:rPr>
                    <w:t>施工机械</w:t>
                  </w:r>
                </w:p>
              </w:tc>
              <w:tc>
                <w:tcPr>
                  <w:tcW w:w="899" w:type="pct"/>
                  <w:noWrap w:val="0"/>
                  <w:vAlign w:val="center"/>
                </w:tcPr>
                <w:p w14:paraId="28AFA253">
                  <w:pPr>
                    <w:autoSpaceDE w:val="0"/>
                    <w:autoSpaceDN w:val="0"/>
                    <w:adjustRightInd w:val="0"/>
                    <w:snapToGrid w:val="0"/>
                    <w:jc w:val="center"/>
                    <w:rPr>
                      <w:b/>
                      <w:bCs/>
                      <w:color w:val="auto"/>
                      <w:szCs w:val="21"/>
                    </w:rPr>
                  </w:pPr>
                  <w:r>
                    <w:rPr>
                      <w:rFonts w:hint="eastAsia"/>
                      <w:b/>
                      <w:bCs/>
                      <w:color w:val="auto"/>
                      <w:szCs w:val="21"/>
                    </w:rPr>
                    <w:t>1</w:t>
                  </w:r>
                  <w:r>
                    <w:rPr>
                      <w:b/>
                      <w:bCs/>
                      <w:color w:val="auto"/>
                      <w:szCs w:val="21"/>
                    </w:rPr>
                    <w:t>米处测量声级（dBA）</w:t>
                  </w:r>
                </w:p>
              </w:tc>
              <w:tc>
                <w:tcPr>
                  <w:tcW w:w="899" w:type="pct"/>
                  <w:noWrap w:val="0"/>
                  <w:vAlign w:val="center"/>
                </w:tcPr>
                <w:p w14:paraId="6F391778">
                  <w:pPr>
                    <w:autoSpaceDE w:val="0"/>
                    <w:autoSpaceDN w:val="0"/>
                    <w:adjustRightInd w:val="0"/>
                    <w:snapToGrid w:val="0"/>
                    <w:jc w:val="center"/>
                    <w:rPr>
                      <w:rFonts w:hint="eastAsia"/>
                      <w:b/>
                      <w:bCs/>
                      <w:color w:val="auto"/>
                      <w:szCs w:val="21"/>
                    </w:rPr>
                  </w:pPr>
                  <w:r>
                    <w:rPr>
                      <w:rFonts w:hint="eastAsia"/>
                      <w:b/>
                      <w:bCs/>
                      <w:color w:val="auto"/>
                      <w:szCs w:val="21"/>
                    </w:rPr>
                    <w:t>10</w:t>
                  </w:r>
                  <w:r>
                    <w:rPr>
                      <w:b/>
                      <w:bCs/>
                      <w:color w:val="auto"/>
                      <w:szCs w:val="21"/>
                    </w:rPr>
                    <w:t>米处测量声级（dBA）</w:t>
                  </w:r>
                </w:p>
              </w:tc>
            </w:tr>
            <w:tr w14:paraId="5ECE7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64" w:type="pct"/>
                  <w:vMerge w:val="restart"/>
                  <w:noWrap w:val="0"/>
                  <w:vAlign w:val="center"/>
                </w:tcPr>
                <w:p w14:paraId="6205D087">
                  <w:pPr>
                    <w:autoSpaceDE w:val="0"/>
                    <w:autoSpaceDN w:val="0"/>
                    <w:adjustRightInd w:val="0"/>
                    <w:snapToGrid w:val="0"/>
                    <w:jc w:val="center"/>
                    <w:rPr>
                      <w:color w:val="auto"/>
                      <w:szCs w:val="21"/>
                    </w:rPr>
                  </w:pPr>
                  <w:r>
                    <w:rPr>
                      <w:color w:val="auto"/>
                      <w:szCs w:val="21"/>
                    </w:rPr>
                    <w:t>土石方阶段</w:t>
                  </w:r>
                </w:p>
              </w:tc>
              <w:tc>
                <w:tcPr>
                  <w:tcW w:w="1935" w:type="pct"/>
                  <w:noWrap w:val="0"/>
                  <w:vAlign w:val="center"/>
                </w:tcPr>
                <w:p w14:paraId="02333400">
                  <w:pPr>
                    <w:wordWrap w:val="0"/>
                    <w:overflowPunct w:val="0"/>
                    <w:adjustRightInd w:val="0"/>
                    <w:jc w:val="center"/>
                    <w:textAlignment w:val="baseline"/>
                    <w:rPr>
                      <w:color w:val="auto"/>
                      <w:szCs w:val="21"/>
                    </w:rPr>
                  </w:pPr>
                  <w:r>
                    <w:rPr>
                      <w:rFonts w:hint="eastAsia"/>
                      <w:color w:val="auto"/>
                      <w:szCs w:val="21"/>
                    </w:rPr>
                    <w:t>压路机</w:t>
                  </w:r>
                </w:p>
              </w:tc>
              <w:tc>
                <w:tcPr>
                  <w:tcW w:w="899" w:type="pct"/>
                  <w:noWrap w:val="0"/>
                  <w:vAlign w:val="center"/>
                </w:tcPr>
                <w:p w14:paraId="6BD68B00">
                  <w:pPr>
                    <w:wordWrap w:val="0"/>
                    <w:overflowPunct w:val="0"/>
                    <w:adjustRightInd w:val="0"/>
                    <w:jc w:val="center"/>
                    <w:textAlignment w:val="baseline"/>
                    <w:rPr>
                      <w:color w:val="auto"/>
                      <w:szCs w:val="21"/>
                    </w:rPr>
                  </w:pPr>
                  <w:r>
                    <w:rPr>
                      <w:rFonts w:hint="eastAsia"/>
                      <w:color w:val="auto"/>
                      <w:szCs w:val="21"/>
                    </w:rPr>
                    <w:t>105</w:t>
                  </w:r>
                </w:p>
              </w:tc>
              <w:tc>
                <w:tcPr>
                  <w:tcW w:w="899" w:type="pct"/>
                  <w:noWrap w:val="0"/>
                  <w:vAlign w:val="center"/>
                </w:tcPr>
                <w:p w14:paraId="2288974B">
                  <w:pPr>
                    <w:wordWrap w:val="0"/>
                    <w:overflowPunct w:val="0"/>
                    <w:adjustRightInd w:val="0"/>
                    <w:jc w:val="center"/>
                    <w:textAlignment w:val="baseline"/>
                    <w:rPr>
                      <w:rFonts w:hint="eastAsia"/>
                      <w:color w:val="auto"/>
                      <w:szCs w:val="21"/>
                    </w:rPr>
                  </w:pPr>
                  <w:r>
                    <w:rPr>
                      <w:rFonts w:hint="eastAsia"/>
                      <w:color w:val="auto"/>
                      <w:szCs w:val="21"/>
                    </w:rPr>
                    <w:t xml:space="preserve">65 </w:t>
                  </w:r>
                </w:p>
              </w:tc>
            </w:tr>
            <w:tr w14:paraId="5549C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64" w:type="pct"/>
                  <w:vMerge w:val="continue"/>
                  <w:noWrap w:val="0"/>
                  <w:vAlign w:val="center"/>
                </w:tcPr>
                <w:p w14:paraId="698A9542">
                  <w:pPr>
                    <w:autoSpaceDE w:val="0"/>
                    <w:autoSpaceDN w:val="0"/>
                    <w:adjustRightInd w:val="0"/>
                    <w:snapToGrid w:val="0"/>
                    <w:jc w:val="center"/>
                    <w:rPr>
                      <w:color w:val="auto"/>
                      <w:szCs w:val="21"/>
                    </w:rPr>
                  </w:pPr>
                </w:p>
              </w:tc>
              <w:tc>
                <w:tcPr>
                  <w:tcW w:w="1935" w:type="pct"/>
                  <w:noWrap w:val="0"/>
                  <w:vAlign w:val="center"/>
                </w:tcPr>
                <w:p w14:paraId="1B03BB7E">
                  <w:pPr>
                    <w:wordWrap w:val="0"/>
                    <w:overflowPunct w:val="0"/>
                    <w:adjustRightInd w:val="0"/>
                    <w:jc w:val="center"/>
                    <w:textAlignment w:val="baseline"/>
                    <w:rPr>
                      <w:rFonts w:hint="eastAsia"/>
                      <w:color w:val="auto"/>
                      <w:szCs w:val="21"/>
                    </w:rPr>
                  </w:pPr>
                  <w:r>
                    <w:rPr>
                      <w:color w:val="auto"/>
                      <w:kern w:val="0"/>
                      <w:szCs w:val="21"/>
                    </w:rPr>
                    <w:t>推土机</w:t>
                  </w:r>
                </w:p>
              </w:tc>
              <w:tc>
                <w:tcPr>
                  <w:tcW w:w="899" w:type="pct"/>
                  <w:noWrap w:val="0"/>
                  <w:vAlign w:val="center"/>
                </w:tcPr>
                <w:p w14:paraId="6F7D4E3A">
                  <w:pPr>
                    <w:wordWrap w:val="0"/>
                    <w:overflowPunct w:val="0"/>
                    <w:adjustRightInd w:val="0"/>
                    <w:jc w:val="center"/>
                    <w:textAlignment w:val="baseline"/>
                    <w:rPr>
                      <w:color w:val="auto"/>
                      <w:szCs w:val="21"/>
                    </w:rPr>
                  </w:pPr>
                  <w:r>
                    <w:rPr>
                      <w:rFonts w:hint="eastAsia"/>
                      <w:color w:val="auto"/>
                      <w:szCs w:val="21"/>
                    </w:rPr>
                    <w:t>110</w:t>
                  </w:r>
                </w:p>
              </w:tc>
              <w:tc>
                <w:tcPr>
                  <w:tcW w:w="899" w:type="pct"/>
                  <w:noWrap w:val="0"/>
                  <w:vAlign w:val="center"/>
                </w:tcPr>
                <w:p w14:paraId="48EBC89F">
                  <w:pPr>
                    <w:wordWrap w:val="0"/>
                    <w:overflowPunct w:val="0"/>
                    <w:adjustRightInd w:val="0"/>
                    <w:jc w:val="center"/>
                    <w:textAlignment w:val="baseline"/>
                    <w:rPr>
                      <w:rFonts w:hint="eastAsia"/>
                      <w:color w:val="auto"/>
                      <w:szCs w:val="21"/>
                    </w:rPr>
                  </w:pPr>
                  <w:r>
                    <w:rPr>
                      <w:rFonts w:hint="eastAsia"/>
                      <w:color w:val="auto"/>
                      <w:szCs w:val="21"/>
                    </w:rPr>
                    <w:t xml:space="preserve">69 </w:t>
                  </w:r>
                </w:p>
              </w:tc>
            </w:tr>
            <w:tr w14:paraId="36907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64" w:type="pct"/>
                  <w:vMerge w:val="continue"/>
                  <w:noWrap w:val="0"/>
                  <w:vAlign w:val="center"/>
                </w:tcPr>
                <w:p w14:paraId="46D38FDE">
                  <w:pPr>
                    <w:autoSpaceDE w:val="0"/>
                    <w:autoSpaceDN w:val="0"/>
                    <w:adjustRightInd w:val="0"/>
                    <w:snapToGrid w:val="0"/>
                    <w:jc w:val="center"/>
                    <w:rPr>
                      <w:color w:val="auto"/>
                      <w:szCs w:val="21"/>
                    </w:rPr>
                  </w:pPr>
                </w:p>
              </w:tc>
              <w:tc>
                <w:tcPr>
                  <w:tcW w:w="1935" w:type="pct"/>
                  <w:noWrap w:val="0"/>
                  <w:vAlign w:val="center"/>
                </w:tcPr>
                <w:p w14:paraId="71885146">
                  <w:pPr>
                    <w:wordWrap w:val="0"/>
                    <w:overflowPunct w:val="0"/>
                    <w:adjustRightInd w:val="0"/>
                    <w:jc w:val="center"/>
                    <w:textAlignment w:val="baseline"/>
                    <w:rPr>
                      <w:color w:val="auto"/>
                      <w:szCs w:val="21"/>
                    </w:rPr>
                  </w:pPr>
                  <w:r>
                    <w:rPr>
                      <w:color w:val="auto"/>
                      <w:kern w:val="0"/>
                      <w:szCs w:val="21"/>
                    </w:rPr>
                    <w:t>装载机</w:t>
                  </w:r>
                </w:p>
              </w:tc>
              <w:tc>
                <w:tcPr>
                  <w:tcW w:w="899" w:type="pct"/>
                  <w:noWrap w:val="0"/>
                  <w:vAlign w:val="center"/>
                </w:tcPr>
                <w:p w14:paraId="0AE71422">
                  <w:pPr>
                    <w:wordWrap w:val="0"/>
                    <w:overflowPunct w:val="0"/>
                    <w:adjustRightInd w:val="0"/>
                    <w:jc w:val="center"/>
                    <w:textAlignment w:val="baseline"/>
                    <w:rPr>
                      <w:color w:val="auto"/>
                      <w:szCs w:val="21"/>
                    </w:rPr>
                  </w:pPr>
                  <w:r>
                    <w:rPr>
                      <w:rFonts w:hint="eastAsia"/>
                      <w:color w:val="auto"/>
                      <w:szCs w:val="21"/>
                    </w:rPr>
                    <w:t>109</w:t>
                  </w:r>
                </w:p>
              </w:tc>
              <w:tc>
                <w:tcPr>
                  <w:tcW w:w="899" w:type="pct"/>
                  <w:noWrap w:val="0"/>
                  <w:vAlign w:val="center"/>
                </w:tcPr>
                <w:p w14:paraId="098EBF3C">
                  <w:pPr>
                    <w:wordWrap w:val="0"/>
                    <w:overflowPunct w:val="0"/>
                    <w:adjustRightInd w:val="0"/>
                    <w:jc w:val="center"/>
                    <w:textAlignment w:val="baseline"/>
                    <w:rPr>
                      <w:rFonts w:hint="eastAsia"/>
                      <w:color w:val="auto"/>
                      <w:szCs w:val="21"/>
                    </w:rPr>
                  </w:pPr>
                  <w:r>
                    <w:rPr>
                      <w:rFonts w:hint="eastAsia"/>
                      <w:color w:val="auto"/>
                      <w:szCs w:val="21"/>
                    </w:rPr>
                    <w:t xml:space="preserve">68 </w:t>
                  </w:r>
                </w:p>
              </w:tc>
            </w:tr>
            <w:tr w14:paraId="768F9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64" w:type="pct"/>
                  <w:vMerge w:val="continue"/>
                  <w:noWrap w:val="0"/>
                  <w:vAlign w:val="center"/>
                </w:tcPr>
                <w:p w14:paraId="5935DA14">
                  <w:pPr>
                    <w:autoSpaceDE w:val="0"/>
                    <w:autoSpaceDN w:val="0"/>
                    <w:adjustRightInd w:val="0"/>
                    <w:snapToGrid w:val="0"/>
                    <w:jc w:val="center"/>
                    <w:rPr>
                      <w:color w:val="auto"/>
                      <w:szCs w:val="21"/>
                    </w:rPr>
                  </w:pPr>
                </w:p>
              </w:tc>
              <w:tc>
                <w:tcPr>
                  <w:tcW w:w="1935" w:type="pct"/>
                  <w:noWrap w:val="0"/>
                  <w:vAlign w:val="center"/>
                </w:tcPr>
                <w:p w14:paraId="335ABED2">
                  <w:pPr>
                    <w:wordWrap w:val="0"/>
                    <w:overflowPunct w:val="0"/>
                    <w:adjustRightInd w:val="0"/>
                    <w:jc w:val="center"/>
                    <w:textAlignment w:val="baseline"/>
                    <w:rPr>
                      <w:color w:val="auto"/>
                      <w:szCs w:val="21"/>
                    </w:rPr>
                  </w:pPr>
                  <w:r>
                    <w:rPr>
                      <w:color w:val="auto"/>
                      <w:kern w:val="0"/>
                      <w:szCs w:val="21"/>
                    </w:rPr>
                    <w:t>挖掘机</w:t>
                  </w:r>
                </w:p>
              </w:tc>
              <w:tc>
                <w:tcPr>
                  <w:tcW w:w="899" w:type="pct"/>
                  <w:noWrap w:val="0"/>
                  <w:vAlign w:val="center"/>
                </w:tcPr>
                <w:p w14:paraId="5652628B">
                  <w:pPr>
                    <w:wordWrap w:val="0"/>
                    <w:overflowPunct w:val="0"/>
                    <w:adjustRightInd w:val="0"/>
                    <w:jc w:val="center"/>
                    <w:textAlignment w:val="baseline"/>
                    <w:rPr>
                      <w:color w:val="auto"/>
                      <w:szCs w:val="21"/>
                    </w:rPr>
                  </w:pPr>
                  <w:r>
                    <w:rPr>
                      <w:rFonts w:hint="eastAsia"/>
                      <w:color w:val="auto"/>
                      <w:kern w:val="0"/>
                      <w:szCs w:val="21"/>
                    </w:rPr>
                    <w:t>102</w:t>
                  </w:r>
                </w:p>
              </w:tc>
              <w:tc>
                <w:tcPr>
                  <w:tcW w:w="899" w:type="pct"/>
                  <w:noWrap w:val="0"/>
                  <w:vAlign w:val="center"/>
                </w:tcPr>
                <w:p w14:paraId="410F60B9">
                  <w:pPr>
                    <w:wordWrap w:val="0"/>
                    <w:overflowPunct w:val="0"/>
                    <w:adjustRightInd w:val="0"/>
                    <w:jc w:val="center"/>
                    <w:textAlignment w:val="baseline"/>
                    <w:rPr>
                      <w:rFonts w:hint="eastAsia"/>
                      <w:color w:val="auto"/>
                      <w:szCs w:val="21"/>
                    </w:rPr>
                  </w:pPr>
                  <w:r>
                    <w:rPr>
                      <w:rFonts w:hint="eastAsia"/>
                      <w:color w:val="auto"/>
                      <w:szCs w:val="21"/>
                    </w:rPr>
                    <w:t xml:space="preserve">62 </w:t>
                  </w:r>
                </w:p>
              </w:tc>
            </w:tr>
            <w:tr w14:paraId="07E6D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64" w:type="pct"/>
                  <w:vMerge w:val="restart"/>
                  <w:noWrap w:val="0"/>
                  <w:vAlign w:val="center"/>
                </w:tcPr>
                <w:p w14:paraId="4DEB0A9D">
                  <w:pPr>
                    <w:autoSpaceDE w:val="0"/>
                    <w:autoSpaceDN w:val="0"/>
                    <w:adjustRightInd w:val="0"/>
                    <w:snapToGrid w:val="0"/>
                    <w:jc w:val="center"/>
                    <w:rPr>
                      <w:color w:val="auto"/>
                      <w:szCs w:val="21"/>
                    </w:rPr>
                  </w:pPr>
                  <w:r>
                    <w:rPr>
                      <w:color w:val="auto"/>
                      <w:szCs w:val="21"/>
                    </w:rPr>
                    <w:t>结构阶段</w:t>
                  </w:r>
                </w:p>
              </w:tc>
              <w:tc>
                <w:tcPr>
                  <w:tcW w:w="1935" w:type="pct"/>
                  <w:noWrap w:val="0"/>
                  <w:vAlign w:val="center"/>
                </w:tcPr>
                <w:p w14:paraId="7DF0BC72">
                  <w:pPr>
                    <w:wordWrap w:val="0"/>
                    <w:overflowPunct w:val="0"/>
                    <w:adjustRightInd w:val="0"/>
                    <w:jc w:val="center"/>
                    <w:textAlignment w:val="baseline"/>
                    <w:rPr>
                      <w:color w:val="auto"/>
                      <w:szCs w:val="21"/>
                    </w:rPr>
                  </w:pPr>
                  <w:r>
                    <w:rPr>
                      <w:rFonts w:hint="eastAsia"/>
                      <w:color w:val="auto"/>
                      <w:kern w:val="0"/>
                      <w:szCs w:val="21"/>
                    </w:rPr>
                    <w:t>打桩机</w:t>
                  </w:r>
                </w:p>
              </w:tc>
              <w:tc>
                <w:tcPr>
                  <w:tcW w:w="899" w:type="pct"/>
                  <w:noWrap w:val="0"/>
                  <w:vAlign w:val="center"/>
                </w:tcPr>
                <w:p w14:paraId="52458FB4">
                  <w:pPr>
                    <w:wordWrap w:val="0"/>
                    <w:overflowPunct w:val="0"/>
                    <w:adjustRightInd w:val="0"/>
                    <w:jc w:val="center"/>
                    <w:textAlignment w:val="baseline"/>
                    <w:rPr>
                      <w:color w:val="auto"/>
                      <w:szCs w:val="21"/>
                    </w:rPr>
                  </w:pPr>
                  <w:r>
                    <w:rPr>
                      <w:rFonts w:hint="eastAsia"/>
                      <w:color w:val="auto"/>
                      <w:szCs w:val="21"/>
                    </w:rPr>
                    <w:t>/</w:t>
                  </w:r>
                </w:p>
              </w:tc>
              <w:tc>
                <w:tcPr>
                  <w:tcW w:w="899" w:type="pct"/>
                  <w:noWrap w:val="0"/>
                  <w:vAlign w:val="center"/>
                </w:tcPr>
                <w:p w14:paraId="70665487">
                  <w:pPr>
                    <w:wordWrap w:val="0"/>
                    <w:overflowPunct w:val="0"/>
                    <w:adjustRightInd w:val="0"/>
                    <w:jc w:val="center"/>
                    <w:textAlignment w:val="baseline"/>
                    <w:rPr>
                      <w:rFonts w:hint="eastAsia"/>
                      <w:color w:val="auto"/>
                      <w:szCs w:val="21"/>
                    </w:rPr>
                  </w:pPr>
                  <w:r>
                    <w:rPr>
                      <w:rFonts w:hint="eastAsia"/>
                      <w:color w:val="auto"/>
                      <w:kern w:val="0"/>
                      <w:szCs w:val="21"/>
                    </w:rPr>
                    <w:t>95~105</w:t>
                  </w:r>
                </w:p>
              </w:tc>
            </w:tr>
            <w:tr w14:paraId="2A9C1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1264" w:type="pct"/>
                  <w:vMerge w:val="continue"/>
                  <w:noWrap w:val="0"/>
                  <w:vAlign w:val="center"/>
                </w:tcPr>
                <w:p w14:paraId="4BA25365">
                  <w:pPr>
                    <w:autoSpaceDE w:val="0"/>
                    <w:autoSpaceDN w:val="0"/>
                    <w:adjustRightInd w:val="0"/>
                    <w:snapToGrid w:val="0"/>
                    <w:jc w:val="center"/>
                    <w:rPr>
                      <w:color w:val="auto"/>
                      <w:szCs w:val="21"/>
                    </w:rPr>
                  </w:pPr>
                </w:p>
              </w:tc>
              <w:tc>
                <w:tcPr>
                  <w:tcW w:w="1935" w:type="pct"/>
                  <w:noWrap w:val="0"/>
                  <w:vAlign w:val="center"/>
                </w:tcPr>
                <w:p w14:paraId="444388FE">
                  <w:pPr>
                    <w:wordWrap w:val="0"/>
                    <w:overflowPunct w:val="0"/>
                    <w:adjustRightInd w:val="0"/>
                    <w:jc w:val="center"/>
                    <w:textAlignment w:val="baseline"/>
                    <w:rPr>
                      <w:color w:val="auto"/>
                      <w:szCs w:val="21"/>
                    </w:rPr>
                  </w:pPr>
                  <w:r>
                    <w:rPr>
                      <w:color w:val="auto"/>
                      <w:kern w:val="0"/>
                      <w:szCs w:val="21"/>
                    </w:rPr>
                    <w:t>混凝土搅拌</w:t>
                  </w:r>
                  <w:r>
                    <w:rPr>
                      <w:rFonts w:hint="eastAsia"/>
                      <w:color w:val="auto"/>
                      <w:kern w:val="0"/>
                      <w:szCs w:val="21"/>
                    </w:rPr>
                    <w:t>车</w:t>
                  </w:r>
                </w:p>
              </w:tc>
              <w:tc>
                <w:tcPr>
                  <w:tcW w:w="899" w:type="pct"/>
                  <w:noWrap w:val="0"/>
                  <w:vAlign w:val="center"/>
                </w:tcPr>
                <w:p w14:paraId="09A095E0">
                  <w:pPr>
                    <w:wordWrap w:val="0"/>
                    <w:overflowPunct w:val="0"/>
                    <w:adjustRightInd w:val="0"/>
                    <w:jc w:val="center"/>
                    <w:textAlignment w:val="baseline"/>
                    <w:rPr>
                      <w:color w:val="auto"/>
                      <w:szCs w:val="21"/>
                    </w:rPr>
                  </w:pPr>
                  <w:r>
                    <w:rPr>
                      <w:rFonts w:hint="eastAsia"/>
                      <w:color w:val="auto"/>
                      <w:szCs w:val="21"/>
                    </w:rPr>
                    <w:t>/</w:t>
                  </w:r>
                </w:p>
              </w:tc>
              <w:tc>
                <w:tcPr>
                  <w:tcW w:w="899" w:type="pct"/>
                  <w:noWrap w:val="0"/>
                  <w:vAlign w:val="center"/>
                </w:tcPr>
                <w:p w14:paraId="18818D51">
                  <w:pPr>
                    <w:wordWrap w:val="0"/>
                    <w:overflowPunct w:val="0"/>
                    <w:adjustRightInd w:val="0"/>
                    <w:jc w:val="center"/>
                    <w:textAlignment w:val="baseline"/>
                    <w:rPr>
                      <w:rFonts w:hint="eastAsia"/>
                      <w:color w:val="auto"/>
                      <w:szCs w:val="21"/>
                    </w:rPr>
                  </w:pPr>
                  <w:r>
                    <w:rPr>
                      <w:rFonts w:hint="eastAsia"/>
                      <w:color w:val="auto"/>
                      <w:kern w:val="0"/>
                      <w:szCs w:val="21"/>
                    </w:rPr>
                    <w:t>82~84</w:t>
                  </w:r>
                </w:p>
              </w:tc>
            </w:tr>
            <w:tr w14:paraId="53158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64" w:type="pct"/>
                  <w:vMerge w:val="continue"/>
                  <w:noWrap w:val="0"/>
                  <w:vAlign w:val="center"/>
                </w:tcPr>
                <w:p w14:paraId="65F11766">
                  <w:pPr>
                    <w:autoSpaceDE w:val="0"/>
                    <w:autoSpaceDN w:val="0"/>
                    <w:adjustRightInd w:val="0"/>
                    <w:snapToGrid w:val="0"/>
                    <w:jc w:val="center"/>
                    <w:rPr>
                      <w:color w:val="auto"/>
                      <w:szCs w:val="21"/>
                    </w:rPr>
                  </w:pPr>
                </w:p>
              </w:tc>
              <w:tc>
                <w:tcPr>
                  <w:tcW w:w="1935" w:type="pct"/>
                  <w:noWrap w:val="0"/>
                  <w:vAlign w:val="center"/>
                </w:tcPr>
                <w:p w14:paraId="1E4FFBA0">
                  <w:pPr>
                    <w:wordWrap w:val="0"/>
                    <w:overflowPunct w:val="0"/>
                    <w:adjustRightInd w:val="0"/>
                    <w:jc w:val="center"/>
                    <w:textAlignment w:val="baseline"/>
                    <w:rPr>
                      <w:rFonts w:hint="eastAsia"/>
                      <w:color w:val="auto"/>
                      <w:szCs w:val="21"/>
                    </w:rPr>
                  </w:pPr>
                  <w:r>
                    <w:rPr>
                      <w:color w:val="auto"/>
                      <w:kern w:val="0"/>
                      <w:szCs w:val="21"/>
                    </w:rPr>
                    <w:t>混凝土振捣器</w:t>
                  </w:r>
                </w:p>
              </w:tc>
              <w:tc>
                <w:tcPr>
                  <w:tcW w:w="899" w:type="pct"/>
                  <w:noWrap w:val="0"/>
                  <w:vAlign w:val="center"/>
                </w:tcPr>
                <w:p w14:paraId="12156A80">
                  <w:pPr>
                    <w:wordWrap w:val="0"/>
                    <w:overflowPunct w:val="0"/>
                    <w:adjustRightInd w:val="0"/>
                    <w:jc w:val="center"/>
                    <w:textAlignment w:val="baseline"/>
                    <w:rPr>
                      <w:color w:val="auto"/>
                      <w:szCs w:val="21"/>
                    </w:rPr>
                  </w:pPr>
                  <w:r>
                    <w:rPr>
                      <w:rFonts w:hint="eastAsia"/>
                      <w:color w:val="auto"/>
                      <w:szCs w:val="21"/>
                    </w:rPr>
                    <w:t>/</w:t>
                  </w:r>
                </w:p>
              </w:tc>
              <w:tc>
                <w:tcPr>
                  <w:tcW w:w="899" w:type="pct"/>
                  <w:noWrap w:val="0"/>
                  <w:vAlign w:val="center"/>
                </w:tcPr>
                <w:p w14:paraId="6A77BC0E">
                  <w:pPr>
                    <w:wordWrap w:val="0"/>
                    <w:overflowPunct w:val="0"/>
                    <w:adjustRightInd w:val="0"/>
                    <w:jc w:val="center"/>
                    <w:textAlignment w:val="baseline"/>
                    <w:rPr>
                      <w:rFonts w:hint="eastAsia"/>
                      <w:color w:val="auto"/>
                      <w:szCs w:val="21"/>
                    </w:rPr>
                  </w:pPr>
                  <w:r>
                    <w:rPr>
                      <w:rFonts w:hint="eastAsia"/>
                      <w:color w:val="auto"/>
                      <w:kern w:val="0"/>
                      <w:szCs w:val="21"/>
                    </w:rPr>
                    <w:t>75~84</w:t>
                  </w:r>
                </w:p>
              </w:tc>
            </w:tr>
            <w:tr w14:paraId="6F3AF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 w:hRule="atLeast"/>
                <w:jc w:val="center"/>
              </w:trPr>
              <w:tc>
                <w:tcPr>
                  <w:tcW w:w="1264" w:type="pct"/>
                  <w:vMerge w:val="restart"/>
                  <w:noWrap w:val="0"/>
                  <w:vAlign w:val="center"/>
                </w:tcPr>
                <w:p w14:paraId="535F4306">
                  <w:pPr>
                    <w:autoSpaceDE w:val="0"/>
                    <w:autoSpaceDN w:val="0"/>
                    <w:adjustRightInd w:val="0"/>
                    <w:snapToGrid w:val="0"/>
                    <w:jc w:val="center"/>
                    <w:rPr>
                      <w:color w:val="auto"/>
                      <w:szCs w:val="21"/>
                    </w:rPr>
                  </w:pPr>
                  <w:r>
                    <w:rPr>
                      <w:color w:val="auto"/>
                      <w:szCs w:val="21"/>
                    </w:rPr>
                    <w:t>装修阶段</w:t>
                  </w:r>
                </w:p>
              </w:tc>
              <w:tc>
                <w:tcPr>
                  <w:tcW w:w="1935" w:type="pct"/>
                  <w:noWrap w:val="0"/>
                  <w:vAlign w:val="center"/>
                </w:tcPr>
                <w:p w14:paraId="35A266DC">
                  <w:pPr>
                    <w:wordWrap w:val="0"/>
                    <w:overflowPunct w:val="0"/>
                    <w:adjustRightInd w:val="0"/>
                    <w:jc w:val="center"/>
                    <w:textAlignment w:val="baseline"/>
                    <w:rPr>
                      <w:color w:val="auto"/>
                      <w:szCs w:val="21"/>
                    </w:rPr>
                  </w:pPr>
                  <w:r>
                    <w:rPr>
                      <w:rFonts w:hint="eastAsia"/>
                      <w:color w:val="auto"/>
                      <w:kern w:val="0"/>
                      <w:szCs w:val="21"/>
                    </w:rPr>
                    <w:t>云石机</w:t>
                  </w:r>
                </w:p>
              </w:tc>
              <w:tc>
                <w:tcPr>
                  <w:tcW w:w="899" w:type="pct"/>
                  <w:noWrap w:val="0"/>
                  <w:vAlign w:val="center"/>
                </w:tcPr>
                <w:p w14:paraId="31EA7C7C">
                  <w:pPr>
                    <w:wordWrap w:val="0"/>
                    <w:overflowPunct w:val="0"/>
                    <w:adjustRightInd w:val="0"/>
                    <w:jc w:val="center"/>
                    <w:textAlignment w:val="baseline"/>
                    <w:rPr>
                      <w:color w:val="auto"/>
                      <w:szCs w:val="21"/>
                    </w:rPr>
                  </w:pPr>
                  <w:r>
                    <w:rPr>
                      <w:rFonts w:hint="eastAsia"/>
                      <w:color w:val="auto"/>
                      <w:szCs w:val="21"/>
                    </w:rPr>
                    <w:t>/</w:t>
                  </w:r>
                </w:p>
              </w:tc>
              <w:tc>
                <w:tcPr>
                  <w:tcW w:w="899" w:type="pct"/>
                  <w:noWrap w:val="0"/>
                  <w:vAlign w:val="center"/>
                </w:tcPr>
                <w:p w14:paraId="44E375D1">
                  <w:pPr>
                    <w:wordWrap w:val="0"/>
                    <w:overflowPunct w:val="0"/>
                    <w:adjustRightInd w:val="0"/>
                    <w:jc w:val="center"/>
                    <w:textAlignment w:val="baseline"/>
                    <w:rPr>
                      <w:rFonts w:hint="eastAsia"/>
                      <w:color w:val="auto"/>
                      <w:szCs w:val="21"/>
                    </w:rPr>
                  </w:pPr>
                  <w:r>
                    <w:rPr>
                      <w:rFonts w:hint="eastAsia"/>
                      <w:color w:val="auto"/>
                      <w:kern w:val="0"/>
                      <w:szCs w:val="21"/>
                    </w:rPr>
                    <w:t>84~90</w:t>
                  </w:r>
                </w:p>
              </w:tc>
            </w:tr>
            <w:tr w14:paraId="72E67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64" w:type="pct"/>
                  <w:vMerge w:val="continue"/>
                  <w:noWrap w:val="0"/>
                  <w:vAlign w:val="center"/>
                </w:tcPr>
                <w:p w14:paraId="7E7E9B05">
                  <w:pPr>
                    <w:autoSpaceDE w:val="0"/>
                    <w:autoSpaceDN w:val="0"/>
                    <w:adjustRightInd w:val="0"/>
                    <w:snapToGrid w:val="0"/>
                    <w:jc w:val="center"/>
                    <w:rPr>
                      <w:color w:val="auto"/>
                      <w:szCs w:val="21"/>
                    </w:rPr>
                  </w:pPr>
                </w:p>
              </w:tc>
              <w:tc>
                <w:tcPr>
                  <w:tcW w:w="1935" w:type="pct"/>
                  <w:noWrap w:val="0"/>
                  <w:vAlign w:val="center"/>
                </w:tcPr>
                <w:p w14:paraId="4F29F345">
                  <w:pPr>
                    <w:autoSpaceDE w:val="0"/>
                    <w:autoSpaceDN w:val="0"/>
                    <w:adjustRightInd w:val="0"/>
                    <w:snapToGrid w:val="0"/>
                    <w:jc w:val="center"/>
                    <w:rPr>
                      <w:color w:val="auto"/>
                      <w:szCs w:val="21"/>
                    </w:rPr>
                  </w:pPr>
                  <w:r>
                    <w:rPr>
                      <w:color w:val="auto"/>
                      <w:szCs w:val="21"/>
                    </w:rPr>
                    <w:t>角磨机</w:t>
                  </w:r>
                </w:p>
              </w:tc>
              <w:tc>
                <w:tcPr>
                  <w:tcW w:w="899" w:type="pct"/>
                  <w:noWrap w:val="0"/>
                  <w:vAlign w:val="center"/>
                </w:tcPr>
                <w:p w14:paraId="177E837F">
                  <w:pPr>
                    <w:autoSpaceDE w:val="0"/>
                    <w:autoSpaceDN w:val="0"/>
                    <w:adjustRightInd w:val="0"/>
                    <w:snapToGrid w:val="0"/>
                    <w:jc w:val="center"/>
                    <w:rPr>
                      <w:color w:val="auto"/>
                      <w:szCs w:val="21"/>
                    </w:rPr>
                  </w:pPr>
                  <w:r>
                    <w:rPr>
                      <w:rFonts w:hint="eastAsia"/>
                      <w:color w:val="auto"/>
                      <w:szCs w:val="21"/>
                    </w:rPr>
                    <w:t>/</w:t>
                  </w:r>
                </w:p>
              </w:tc>
              <w:tc>
                <w:tcPr>
                  <w:tcW w:w="899" w:type="pct"/>
                  <w:noWrap w:val="0"/>
                  <w:vAlign w:val="center"/>
                </w:tcPr>
                <w:p w14:paraId="6113AE39">
                  <w:pPr>
                    <w:autoSpaceDE w:val="0"/>
                    <w:autoSpaceDN w:val="0"/>
                    <w:adjustRightInd w:val="0"/>
                    <w:snapToGrid w:val="0"/>
                    <w:jc w:val="center"/>
                    <w:rPr>
                      <w:rFonts w:hint="eastAsia"/>
                      <w:color w:val="auto"/>
                      <w:szCs w:val="21"/>
                    </w:rPr>
                  </w:pPr>
                  <w:r>
                    <w:rPr>
                      <w:rFonts w:hint="eastAsia"/>
                      <w:color w:val="auto"/>
                      <w:szCs w:val="21"/>
                    </w:rPr>
                    <w:t>84~90</w:t>
                  </w:r>
                </w:p>
              </w:tc>
            </w:tr>
            <w:tr w14:paraId="35F4C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64" w:type="pct"/>
                  <w:noWrap w:val="0"/>
                  <w:vAlign w:val="center"/>
                </w:tcPr>
                <w:p w14:paraId="16A82544">
                  <w:pPr>
                    <w:autoSpaceDE w:val="0"/>
                    <w:autoSpaceDN w:val="0"/>
                    <w:adjustRightInd w:val="0"/>
                    <w:snapToGrid w:val="0"/>
                    <w:jc w:val="center"/>
                    <w:rPr>
                      <w:color w:val="auto"/>
                      <w:szCs w:val="21"/>
                    </w:rPr>
                  </w:pPr>
                  <w:r>
                    <w:rPr>
                      <w:rFonts w:hint="eastAsia"/>
                      <w:color w:val="auto"/>
                      <w:szCs w:val="21"/>
                    </w:rPr>
                    <w:t>物料运输</w:t>
                  </w:r>
                </w:p>
              </w:tc>
              <w:tc>
                <w:tcPr>
                  <w:tcW w:w="1935" w:type="pct"/>
                  <w:noWrap w:val="0"/>
                  <w:vAlign w:val="center"/>
                </w:tcPr>
                <w:p w14:paraId="367B45FB">
                  <w:pPr>
                    <w:autoSpaceDE w:val="0"/>
                    <w:autoSpaceDN w:val="0"/>
                    <w:adjustRightInd w:val="0"/>
                    <w:snapToGrid w:val="0"/>
                    <w:jc w:val="center"/>
                    <w:rPr>
                      <w:color w:val="auto"/>
                      <w:szCs w:val="21"/>
                    </w:rPr>
                  </w:pPr>
                  <w:r>
                    <w:rPr>
                      <w:rFonts w:hint="eastAsia"/>
                      <w:color w:val="auto"/>
                      <w:szCs w:val="21"/>
                    </w:rPr>
                    <w:t>运输车辆</w:t>
                  </w:r>
                </w:p>
              </w:tc>
              <w:tc>
                <w:tcPr>
                  <w:tcW w:w="899" w:type="pct"/>
                  <w:noWrap w:val="0"/>
                  <w:vAlign w:val="center"/>
                </w:tcPr>
                <w:p w14:paraId="0B03B5AB">
                  <w:pPr>
                    <w:autoSpaceDE w:val="0"/>
                    <w:autoSpaceDN w:val="0"/>
                    <w:adjustRightInd w:val="0"/>
                    <w:snapToGrid w:val="0"/>
                    <w:jc w:val="center"/>
                    <w:rPr>
                      <w:color w:val="auto"/>
                      <w:szCs w:val="21"/>
                    </w:rPr>
                  </w:pPr>
                  <w:r>
                    <w:rPr>
                      <w:rFonts w:hint="eastAsia"/>
                      <w:color w:val="auto"/>
                      <w:szCs w:val="21"/>
                    </w:rPr>
                    <w:t>/</w:t>
                  </w:r>
                </w:p>
              </w:tc>
              <w:tc>
                <w:tcPr>
                  <w:tcW w:w="899" w:type="pct"/>
                  <w:noWrap w:val="0"/>
                  <w:vAlign w:val="center"/>
                </w:tcPr>
                <w:p w14:paraId="6D24CE2C">
                  <w:pPr>
                    <w:autoSpaceDE w:val="0"/>
                    <w:autoSpaceDN w:val="0"/>
                    <w:adjustRightInd w:val="0"/>
                    <w:snapToGrid w:val="0"/>
                    <w:jc w:val="center"/>
                    <w:rPr>
                      <w:rFonts w:hint="eastAsia"/>
                      <w:color w:val="auto"/>
                      <w:szCs w:val="21"/>
                    </w:rPr>
                  </w:pPr>
                  <w:r>
                    <w:rPr>
                      <w:rFonts w:hint="eastAsia"/>
                      <w:color w:val="auto"/>
                      <w:szCs w:val="21"/>
                    </w:rPr>
                    <w:t>75~80</w:t>
                  </w:r>
                </w:p>
              </w:tc>
            </w:tr>
          </w:tbl>
          <w:p w14:paraId="2E5E4EDE">
            <w:pPr>
              <w:autoSpaceDE w:val="0"/>
              <w:autoSpaceDN w:val="0"/>
              <w:adjustRightInd w:val="0"/>
              <w:spacing w:line="360" w:lineRule="auto"/>
              <w:ind w:firstLine="480" w:firstLineChars="200"/>
              <w:rPr>
                <w:color w:val="auto"/>
                <w:sz w:val="24"/>
                <w:szCs w:val="24"/>
              </w:rPr>
            </w:pPr>
            <w:r>
              <w:rPr>
                <w:rFonts w:hint="eastAsia"/>
                <w:color w:val="auto"/>
                <w:sz w:val="24"/>
                <w:szCs w:val="24"/>
              </w:rPr>
              <w:t xml:space="preserve">3.2 </w:t>
            </w:r>
            <w:r>
              <w:rPr>
                <w:color w:val="auto"/>
                <w:sz w:val="24"/>
                <w:szCs w:val="24"/>
              </w:rPr>
              <w:t>施工期环境噪声预测</w:t>
            </w:r>
          </w:p>
          <w:p w14:paraId="362C069E">
            <w:pPr>
              <w:autoSpaceDE w:val="0"/>
              <w:autoSpaceDN w:val="0"/>
              <w:adjustRightInd w:val="0"/>
              <w:spacing w:line="360" w:lineRule="auto"/>
              <w:ind w:firstLine="480" w:firstLineChars="200"/>
              <w:rPr>
                <w:color w:val="auto"/>
                <w:sz w:val="24"/>
                <w:szCs w:val="24"/>
              </w:rPr>
            </w:pPr>
            <w:r>
              <w:rPr>
                <w:rFonts w:hint="eastAsia"/>
                <w:color w:val="auto"/>
                <w:sz w:val="24"/>
                <w:szCs w:val="24"/>
              </w:rPr>
              <w:t>3.2.1</w:t>
            </w:r>
            <w:r>
              <w:rPr>
                <w:color w:val="auto"/>
                <w:sz w:val="24"/>
                <w:szCs w:val="24"/>
              </w:rPr>
              <w:t>预测方法</w:t>
            </w:r>
          </w:p>
          <w:p w14:paraId="0165C128">
            <w:pPr>
              <w:autoSpaceDE w:val="0"/>
              <w:autoSpaceDN w:val="0"/>
              <w:adjustRightInd w:val="0"/>
              <w:spacing w:line="360" w:lineRule="auto"/>
              <w:ind w:firstLine="480" w:firstLineChars="200"/>
              <w:rPr>
                <w:color w:val="auto"/>
                <w:sz w:val="24"/>
                <w:szCs w:val="24"/>
              </w:rPr>
            </w:pPr>
            <w:r>
              <w:rPr>
                <w:color w:val="auto"/>
                <w:sz w:val="24"/>
                <w:szCs w:val="24"/>
              </w:rPr>
              <w:t>（1）点声源衰减模式如下：</w:t>
            </w:r>
          </w:p>
          <w:p w14:paraId="48AC0A92">
            <w:pPr>
              <w:autoSpaceDE w:val="0"/>
              <w:autoSpaceDN w:val="0"/>
              <w:adjustRightInd w:val="0"/>
              <w:spacing w:line="360" w:lineRule="auto"/>
              <w:ind w:firstLine="480" w:firstLineChars="200"/>
              <w:jc w:val="center"/>
              <w:rPr>
                <w:color w:val="auto"/>
                <w:sz w:val="24"/>
                <w:szCs w:val="24"/>
              </w:rPr>
            </w:pPr>
            <w:r>
              <w:rPr>
                <w:color w:val="auto"/>
                <w:sz w:val="24"/>
                <w:szCs w:val="24"/>
              </w:rPr>
              <w:drawing>
                <wp:inline distT="0" distB="0" distL="114300" distR="114300">
                  <wp:extent cx="2199005" cy="380365"/>
                  <wp:effectExtent l="0" t="0" r="10795" b="635"/>
                  <wp:docPr id="1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5"/>
                          <pic:cNvPicPr>
                            <a:picLocks noChangeAspect="1"/>
                          </pic:cNvPicPr>
                        </pic:nvPicPr>
                        <pic:blipFill>
                          <a:blip r:embed="rId20"/>
                          <a:stretch>
                            <a:fillRect/>
                          </a:stretch>
                        </pic:blipFill>
                        <pic:spPr>
                          <a:xfrm>
                            <a:off x="0" y="0"/>
                            <a:ext cx="2199005" cy="380365"/>
                          </a:xfrm>
                          <a:prstGeom prst="rect">
                            <a:avLst/>
                          </a:prstGeom>
                          <a:noFill/>
                          <a:ln>
                            <a:noFill/>
                          </a:ln>
                        </pic:spPr>
                      </pic:pic>
                    </a:graphicData>
                  </a:graphic>
                </wp:inline>
              </w:drawing>
            </w:r>
          </w:p>
          <w:p w14:paraId="173473BF">
            <w:pPr>
              <w:autoSpaceDE w:val="0"/>
              <w:autoSpaceDN w:val="0"/>
              <w:adjustRightInd w:val="0"/>
              <w:spacing w:line="360" w:lineRule="auto"/>
              <w:ind w:firstLine="480" w:firstLineChars="200"/>
              <w:rPr>
                <w:color w:val="auto"/>
                <w:sz w:val="24"/>
                <w:szCs w:val="24"/>
              </w:rPr>
            </w:pPr>
            <w:r>
              <w:rPr>
                <w:color w:val="auto"/>
                <w:sz w:val="24"/>
                <w:szCs w:val="24"/>
              </w:rPr>
              <w:t>式中：LA（r）——距声源 r 处的声级，dB（A）；</w:t>
            </w:r>
          </w:p>
          <w:p w14:paraId="2586E8CA">
            <w:pPr>
              <w:autoSpaceDE w:val="0"/>
              <w:autoSpaceDN w:val="0"/>
              <w:adjustRightInd w:val="0"/>
              <w:spacing w:line="360" w:lineRule="auto"/>
              <w:ind w:firstLine="480" w:firstLineChars="200"/>
              <w:rPr>
                <w:color w:val="auto"/>
                <w:sz w:val="24"/>
                <w:szCs w:val="24"/>
              </w:rPr>
            </w:pPr>
            <w:r>
              <w:rPr>
                <w:color w:val="auto"/>
                <w:sz w:val="24"/>
                <w:szCs w:val="24"/>
              </w:rPr>
              <w:t>LA（r0）——参考位置r0处的声级，dB（A）；</w:t>
            </w:r>
          </w:p>
          <w:p w14:paraId="68788F78">
            <w:pPr>
              <w:autoSpaceDE w:val="0"/>
              <w:autoSpaceDN w:val="0"/>
              <w:adjustRightInd w:val="0"/>
              <w:spacing w:line="360" w:lineRule="auto"/>
              <w:ind w:firstLine="480" w:firstLineChars="200"/>
              <w:rPr>
                <w:color w:val="auto"/>
                <w:sz w:val="24"/>
                <w:szCs w:val="24"/>
              </w:rPr>
            </w:pPr>
            <w:r>
              <w:rPr>
                <w:color w:val="auto"/>
                <w:sz w:val="24"/>
                <w:szCs w:val="24"/>
              </w:rPr>
              <w:t>r——预测点与点声源之间的距离（m）；</w:t>
            </w:r>
          </w:p>
          <w:p w14:paraId="56EA0523">
            <w:pPr>
              <w:autoSpaceDE w:val="0"/>
              <w:autoSpaceDN w:val="0"/>
              <w:adjustRightInd w:val="0"/>
              <w:spacing w:line="360" w:lineRule="auto"/>
              <w:ind w:firstLine="480" w:firstLineChars="200"/>
              <w:rPr>
                <w:color w:val="auto"/>
                <w:sz w:val="24"/>
                <w:szCs w:val="24"/>
              </w:rPr>
            </w:pPr>
            <w:r>
              <w:rPr>
                <w:color w:val="auto"/>
                <w:sz w:val="24"/>
                <w:szCs w:val="24"/>
              </w:rPr>
              <w:t>r0——参考位置与点声源之间的距离（m）；</w:t>
            </w:r>
          </w:p>
          <w:p w14:paraId="18927945">
            <w:pPr>
              <w:autoSpaceDE w:val="0"/>
              <w:autoSpaceDN w:val="0"/>
              <w:adjustRightInd w:val="0"/>
              <w:spacing w:line="360" w:lineRule="auto"/>
              <w:ind w:firstLine="480" w:firstLineChars="200"/>
              <w:rPr>
                <w:color w:val="auto"/>
                <w:sz w:val="24"/>
                <w:szCs w:val="24"/>
              </w:rPr>
            </w:pPr>
            <w:r>
              <w:rPr>
                <w:color w:val="auto"/>
                <w:sz w:val="24"/>
                <w:szCs w:val="24"/>
              </w:rPr>
              <w:t>（2）等效声级贡献值计算公式：</w:t>
            </w:r>
          </w:p>
          <w:p w14:paraId="3E0B548F">
            <w:pPr>
              <w:autoSpaceDE w:val="0"/>
              <w:autoSpaceDN w:val="0"/>
              <w:adjustRightInd w:val="0"/>
              <w:spacing w:line="360" w:lineRule="auto"/>
              <w:ind w:firstLine="480" w:firstLineChars="200"/>
              <w:jc w:val="center"/>
              <w:rPr>
                <w:color w:val="auto"/>
                <w:sz w:val="24"/>
                <w:szCs w:val="24"/>
              </w:rPr>
            </w:pPr>
            <w:r>
              <w:rPr>
                <w:color w:val="auto"/>
                <w:sz w:val="24"/>
                <w:szCs w:val="24"/>
              </w:rPr>
              <w:fldChar w:fldCharType="begin"/>
            </w:r>
            <w:r>
              <w:rPr>
                <w:color w:val="auto"/>
                <w:sz w:val="24"/>
                <w:szCs w:val="24"/>
              </w:rPr>
              <w:instrText xml:space="preserve"> INCLUDEPICTURE "E:\\项目\\Users\\Administrator\\AppData\\Roaming\\Microsoft\\Application%2520Data\\Tencent\\Users\\42695010\\QQ\\WinTemp\\RichOle\\@IPGQB2Y@%255d_99(UULTQS1HN.png" \* MERGEFORMAT </w:instrText>
            </w:r>
            <w:r>
              <w:rPr>
                <w:color w:val="auto"/>
                <w:sz w:val="24"/>
                <w:szCs w:val="24"/>
              </w:rPr>
              <w:fldChar w:fldCharType="separate"/>
            </w:r>
            <w:r>
              <w:rPr>
                <w:color w:val="auto"/>
                <w:sz w:val="24"/>
                <w:szCs w:val="24"/>
              </w:rPr>
              <w:drawing>
                <wp:inline distT="0" distB="0" distL="114300" distR="114300">
                  <wp:extent cx="1847850" cy="485775"/>
                  <wp:effectExtent l="0" t="0" r="0" b="9525"/>
                  <wp:docPr id="18" name="图片 16" descr="@IPGQB2Y@]_99(UULTQS1H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6" descr="@IPGQB2Y@]_99(UULTQS1HN"/>
                          <pic:cNvPicPr>
                            <a:picLocks noChangeAspect="1"/>
                          </pic:cNvPicPr>
                        </pic:nvPicPr>
                        <pic:blipFill>
                          <a:blip r:embed="rId21"/>
                          <a:stretch>
                            <a:fillRect/>
                          </a:stretch>
                        </pic:blipFill>
                        <pic:spPr>
                          <a:xfrm>
                            <a:off x="0" y="0"/>
                            <a:ext cx="1847850" cy="485775"/>
                          </a:xfrm>
                          <a:prstGeom prst="rect">
                            <a:avLst/>
                          </a:prstGeom>
                          <a:noFill/>
                          <a:ln>
                            <a:noFill/>
                          </a:ln>
                        </pic:spPr>
                      </pic:pic>
                    </a:graphicData>
                  </a:graphic>
                </wp:inline>
              </w:drawing>
            </w:r>
            <w:r>
              <w:rPr>
                <w:color w:val="auto"/>
                <w:sz w:val="24"/>
                <w:szCs w:val="24"/>
              </w:rPr>
              <w:fldChar w:fldCharType="end"/>
            </w:r>
          </w:p>
          <w:p w14:paraId="0C2FFF4D">
            <w:pPr>
              <w:autoSpaceDE w:val="0"/>
              <w:autoSpaceDN w:val="0"/>
              <w:adjustRightInd w:val="0"/>
              <w:spacing w:line="360" w:lineRule="auto"/>
              <w:ind w:firstLine="480" w:firstLineChars="200"/>
              <w:rPr>
                <w:color w:val="auto"/>
                <w:sz w:val="24"/>
                <w:szCs w:val="24"/>
              </w:rPr>
            </w:pPr>
            <w:r>
              <w:rPr>
                <w:color w:val="auto"/>
                <w:sz w:val="24"/>
                <w:szCs w:val="24"/>
              </w:rPr>
              <w:t>式中：Leqg—建设项目声源在预测点的等效声级贡献值，dB(A)；</w:t>
            </w:r>
          </w:p>
          <w:p w14:paraId="57EF7410">
            <w:pPr>
              <w:autoSpaceDE w:val="0"/>
              <w:autoSpaceDN w:val="0"/>
              <w:adjustRightInd w:val="0"/>
              <w:spacing w:line="360" w:lineRule="auto"/>
              <w:ind w:firstLine="480" w:firstLineChars="200"/>
              <w:rPr>
                <w:color w:val="auto"/>
                <w:sz w:val="24"/>
                <w:szCs w:val="24"/>
              </w:rPr>
            </w:pPr>
            <w:r>
              <w:rPr>
                <w:color w:val="auto"/>
                <w:sz w:val="24"/>
                <w:szCs w:val="24"/>
              </w:rPr>
              <w:t>LAi — i 声源在预测点产生的A 声级，dB(A)；</w:t>
            </w:r>
          </w:p>
          <w:p w14:paraId="5E70E498">
            <w:pPr>
              <w:autoSpaceDE w:val="0"/>
              <w:autoSpaceDN w:val="0"/>
              <w:adjustRightInd w:val="0"/>
              <w:spacing w:line="360" w:lineRule="auto"/>
              <w:ind w:firstLine="480" w:firstLineChars="200"/>
              <w:rPr>
                <w:color w:val="auto"/>
                <w:sz w:val="24"/>
                <w:szCs w:val="24"/>
              </w:rPr>
            </w:pPr>
            <w:r>
              <w:rPr>
                <w:color w:val="auto"/>
                <w:sz w:val="24"/>
                <w:szCs w:val="24"/>
              </w:rPr>
              <w:t>T — 预测计算的时间段，本次评价取12h；</w:t>
            </w:r>
          </w:p>
          <w:p w14:paraId="06FACED8">
            <w:pPr>
              <w:autoSpaceDE w:val="0"/>
              <w:autoSpaceDN w:val="0"/>
              <w:adjustRightInd w:val="0"/>
              <w:spacing w:line="360" w:lineRule="auto"/>
              <w:ind w:firstLine="480" w:firstLineChars="200"/>
              <w:rPr>
                <w:color w:val="auto"/>
                <w:sz w:val="24"/>
                <w:szCs w:val="24"/>
              </w:rPr>
            </w:pPr>
            <w:r>
              <w:rPr>
                <w:color w:val="auto"/>
                <w:sz w:val="24"/>
                <w:szCs w:val="24"/>
              </w:rPr>
              <w:t>ti—i声源在T时段内的运行时间，ti按最不利情况计算，取12h。</w:t>
            </w:r>
          </w:p>
          <w:p w14:paraId="166511D2">
            <w:pPr>
              <w:autoSpaceDE w:val="0"/>
              <w:autoSpaceDN w:val="0"/>
              <w:adjustRightInd w:val="0"/>
              <w:spacing w:line="360" w:lineRule="auto"/>
              <w:ind w:firstLine="480" w:firstLineChars="200"/>
              <w:rPr>
                <w:color w:val="auto"/>
                <w:sz w:val="24"/>
                <w:szCs w:val="24"/>
              </w:rPr>
            </w:pPr>
            <w:r>
              <w:rPr>
                <w:color w:val="auto"/>
                <w:sz w:val="24"/>
                <w:szCs w:val="24"/>
              </w:rPr>
              <w:t>（3）预测点的预测等效声级(Leq)计算公式</w:t>
            </w:r>
          </w:p>
          <w:p w14:paraId="2B8B3C98">
            <w:pPr>
              <w:autoSpaceDE w:val="0"/>
              <w:autoSpaceDN w:val="0"/>
              <w:adjustRightInd w:val="0"/>
              <w:spacing w:line="360" w:lineRule="auto"/>
              <w:ind w:firstLine="480" w:firstLineChars="200"/>
              <w:jc w:val="center"/>
              <w:rPr>
                <w:color w:val="auto"/>
                <w:sz w:val="24"/>
                <w:szCs w:val="24"/>
              </w:rPr>
            </w:pPr>
            <w:r>
              <w:rPr>
                <w:color w:val="auto"/>
                <w:sz w:val="24"/>
                <w:szCs w:val="24"/>
              </w:rPr>
              <w:fldChar w:fldCharType="begin"/>
            </w:r>
            <w:r>
              <w:rPr>
                <w:color w:val="auto"/>
                <w:sz w:val="24"/>
                <w:szCs w:val="24"/>
              </w:rPr>
              <w:instrText xml:space="preserve"> INCLUDEPICTURE "E:\\项目\\Users\\Administrator\\AppData\\Roaming\\Microsoft\\Application%2520Data\\Tencent\\Users\\42695010\\QQ\\WinTemp\\RichOle\\$6UN%255d2MQ7$FSD%255bN%257b@G$DUXA.png" \* MERGEFORMAT </w:instrText>
            </w:r>
            <w:r>
              <w:rPr>
                <w:color w:val="auto"/>
                <w:sz w:val="24"/>
                <w:szCs w:val="24"/>
              </w:rPr>
              <w:fldChar w:fldCharType="separate"/>
            </w:r>
            <w:r>
              <w:rPr>
                <w:color w:val="auto"/>
                <w:sz w:val="24"/>
                <w:szCs w:val="24"/>
              </w:rPr>
              <w:drawing>
                <wp:inline distT="0" distB="0" distL="114300" distR="114300">
                  <wp:extent cx="1981200" cy="323850"/>
                  <wp:effectExtent l="0" t="0" r="0" b="0"/>
                  <wp:docPr id="20" name="图片 17" descr="$6UN]2MQ7$FSD[N{@G$DU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7" descr="$6UN]2MQ7$FSD[N{@G$DUXA"/>
                          <pic:cNvPicPr>
                            <a:picLocks noChangeAspect="1"/>
                          </pic:cNvPicPr>
                        </pic:nvPicPr>
                        <pic:blipFill>
                          <a:blip r:embed="rId22"/>
                          <a:stretch>
                            <a:fillRect/>
                          </a:stretch>
                        </pic:blipFill>
                        <pic:spPr>
                          <a:xfrm>
                            <a:off x="0" y="0"/>
                            <a:ext cx="1981200" cy="323850"/>
                          </a:xfrm>
                          <a:prstGeom prst="rect">
                            <a:avLst/>
                          </a:prstGeom>
                          <a:noFill/>
                          <a:ln>
                            <a:noFill/>
                          </a:ln>
                        </pic:spPr>
                      </pic:pic>
                    </a:graphicData>
                  </a:graphic>
                </wp:inline>
              </w:drawing>
            </w:r>
            <w:r>
              <w:rPr>
                <w:color w:val="auto"/>
                <w:sz w:val="24"/>
                <w:szCs w:val="24"/>
              </w:rPr>
              <w:fldChar w:fldCharType="end"/>
            </w:r>
          </w:p>
          <w:p w14:paraId="2654AC66">
            <w:pPr>
              <w:autoSpaceDE w:val="0"/>
              <w:autoSpaceDN w:val="0"/>
              <w:adjustRightInd w:val="0"/>
              <w:spacing w:line="360" w:lineRule="auto"/>
              <w:ind w:firstLine="480" w:firstLineChars="200"/>
              <w:rPr>
                <w:color w:val="auto"/>
                <w:sz w:val="24"/>
                <w:szCs w:val="24"/>
              </w:rPr>
            </w:pPr>
            <w:r>
              <w:rPr>
                <w:color w:val="auto"/>
                <w:sz w:val="24"/>
                <w:szCs w:val="24"/>
              </w:rPr>
              <w:t>式中：Leqg—建设项目声源在预测点的等效声级贡献值，dB(A)；</w:t>
            </w:r>
          </w:p>
          <w:p w14:paraId="466AA6C9">
            <w:pPr>
              <w:autoSpaceDE w:val="0"/>
              <w:autoSpaceDN w:val="0"/>
              <w:adjustRightInd w:val="0"/>
              <w:spacing w:line="360" w:lineRule="auto"/>
              <w:ind w:firstLine="480" w:firstLineChars="200"/>
              <w:rPr>
                <w:color w:val="auto"/>
                <w:sz w:val="24"/>
                <w:szCs w:val="24"/>
              </w:rPr>
            </w:pPr>
            <w:r>
              <w:rPr>
                <w:color w:val="auto"/>
                <w:sz w:val="24"/>
                <w:szCs w:val="24"/>
              </w:rPr>
              <w:t>Leqb—预测点的背景值，dB(A)</w:t>
            </w:r>
          </w:p>
          <w:p w14:paraId="3D0DCE1D">
            <w:pPr>
              <w:autoSpaceDE w:val="0"/>
              <w:autoSpaceDN w:val="0"/>
              <w:adjustRightInd w:val="0"/>
              <w:spacing w:line="360" w:lineRule="auto"/>
              <w:ind w:firstLine="480" w:firstLineChars="200"/>
              <w:rPr>
                <w:color w:val="auto"/>
                <w:sz w:val="24"/>
                <w:szCs w:val="24"/>
              </w:rPr>
            </w:pPr>
            <w:r>
              <w:rPr>
                <w:rFonts w:hint="eastAsia"/>
                <w:color w:val="auto"/>
                <w:sz w:val="24"/>
                <w:szCs w:val="24"/>
              </w:rPr>
              <w:t>3.2.2</w:t>
            </w:r>
            <w:r>
              <w:rPr>
                <w:color w:val="auto"/>
                <w:sz w:val="24"/>
                <w:szCs w:val="24"/>
              </w:rPr>
              <w:t>施工噪声影响预测</w:t>
            </w:r>
          </w:p>
          <w:p w14:paraId="1204870D">
            <w:pPr>
              <w:autoSpaceDE w:val="0"/>
              <w:autoSpaceDN w:val="0"/>
              <w:adjustRightInd w:val="0"/>
              <w:spacing w:line="360" w:lineRule="auto"/>
              <w:ind w:firstLine="480" w:firstLineChars="200"/>
              <w:rPr>
                <w:color w:val="auto"/>
                <w:sz w:val="24"/>
                <w:szCs w:val="24"/>
              </w:rPr>
            </w:pPr>
            <w:r>
              <w:rPr>
                <w:color w:val="auto"/>
                <w:sz w:val="24"/>
                <w:szCs w:val="24"/>
              </w:rPr>
              <w:t>施工噪声扩散传播衰减值计算结果见</w:t>
            </w:r>
            <w:r>
              <w:rPr>
                <w:rFonts w:hint="eastAsia"/>
                <w:color w:val="auto"/>
                <w:sz w:val="24"/>
                <w:szCs w:val="24"/>
              </w:rPr>
              <w:t>下</w:t>
            </w:r>
            <w:r>
              <w:rPr>
                <w:color w:val="auto"/>
                <w:sz w:val="24"/>
                <w:szCs w:val="24"/>
              </w:rPr>
              <w:t>表。</w:t>
            </w:r>
          </w:p>
          <w:p w14:paraId="7697F6A2">
            <w:pPr>
              <w:autoSpaceDE w:val="0"/>
              <w:autoSpaceDN w:val="0"/>
              <w:adjustRightInd w:val="0"/>
              <w:spacing w:line="240" w:lineRule="auto"/>
              <w:jc w:val="center"/>
              <w:rPr>
                <w:b/>
                <w:bCs/>
                <w:color w:val="auto"/>
                <w:szCs w:val="21"/>
              </w:rPr>
            </w:pPr>
            <w:r>
              <w:rPr>
                <w:b/>
                <w:bCs/>
                <w:color w:val="auto"/>
                <w:szCs w:val="21"/>
              </w:rPr>
              <w:t>表4-2 施工噪声影响预测结果</w:t>
            </w:r>
          </w:p>
          <w:tbl>
            <w:tblPr>
              <w:tblStyle w:val="28"/>
              <w:tblW w:w="4995"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677"/>
              <w:gridCol w:w="1513"/>
              <w:gridCol w:w="716"/>
              <w:gridCol w:w="718"/>
              <w:gridCol w:w="718"/>
              <w:gridCol w:w="718"/>
              <w:gridCol w:w="718"/>
              <w:gridCol w:w="718"/>
              <w:gridCol w:w="733"/>
              <w:gridCol w:w="1066"/>
            </w:tblGrid>
            <w:tr w14:paraId="77F8AD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97" w:hRule="atLeast"/>
                <w:jc w:val="center"/>
              </w:trPr>
              <w:tc>
                <w:tcPr>
                  <w:tcW w:w="705" w:type="dxa"/>
                  <w:vMerge w:val="restart"/>
                  <w:noWrap w:val="0"/>
                  <w:vAlign w:val="center"/>
                </w:tcPr>
                <w:p w14:paraId="5B8D4B76">
                  <w:pPr>
                    <w:widowControl/>
                    <w:spacing w:line="276" w:lineRule="auto"/>
                    <w:jc w:val="center"/>
                    <w:rPr>
                      <w:rFonts w:hint="eastAsia"/>
                      <w:color w:val="auto"/>
                      <w:kern w:val="0"/>
                      <w:szCs w:val="21"/>
                    </w:rPr>
                  </w:pPr>
                  <w:r>
                    <w:rPr>
                      <w:rFonts w:hint="eastAsia"/>
                      <w:color w:val="auto"/>
                      <w:kern w:val="0"/>
                      <w:szCs w:val="21"/>
                    </w:rPr>
                    <w:t>序号</w:t>
                  </w:r>
                </w:p>
              </w:tc>
              <w:tc>
                <w:tcPr>
                  <w:tcW w:w="1581" w:type="dxa"/>
                  <w:vMerge w:val="restart"/>
                  <w:noWrap w:val="0"/>
                  <w:vAlign w:val="center"/>
                </w:tcPr>
                <w:p w14:paraId="74E17617">
                  <w:pPr>
                    <w:widowControl/>
                    <w:spacing w:line="276" w:lineRule="auto"/>
                    <w:jc w:val="center"/>
                    <w:rPr>
                      <w:rFonts w:hint="eastAsia"/>
                      <w:color w:val="auto"/>
                      <w:kern w:val="0"/>
                      <w:szCs w:val="21"/>
                    </w:rPr>
                  </w:pPr>
                  <w:r>
                    <w:rPr>
                      <w:rFonts w:hint="eastAsia"/>
                      <w:color w:val="auto"/>
                      <w:kern w:val="0"/>
                      <w:szCs w:val="21"/>
                    </w:rPr>
                    <w:t>机械</w:t>
                  </w:r>
                </w:p>
              </w:tc>
              <w:tc>
                <w:tcPr>
                  <w:tcW w:w="5069" w:type="dxa"/>
                  <w:gridSpan w:val="7"/>
                  <w:noWrap w:val="0"/>
                  <w:tcMar>
                    <w:left w:w="57" w:type="dxa"/>
                    <w:right w:w="57" w:type="dxa"/>
                  </w:tcMar>
                  <w:vAlign w:val="center"/>
                </w:tcPr>
                <w:p w14:paraId="27436724">
                  <w:pPr>
                    <w:widowControl/>
                    <w:spacing w:line="276" w:lineRule="auto"/>
                    <w:jc w:val="center"/>
                    <w:rPr>
                      <w:rFonts w:hint="eastAsia"/>
                      <w:color w:val="auto"/>
                      <w:kern w:val="0"/>
                      <w:szCs w:val="21"/>
                    </w:rPr>
                  </w:pPr>
                  <w:r>
                    <w:rPr>
                      <w:rFonts w:hint="eastAsia"/>
                      <w:color w:val="auto"/>
                      <w:kern w:val="0"/>
                      <w:szCs w:val="21"/>
                    </w:rPr>
                    <w:t>不同距离处的噪声贡献值[dB(A)]</w:t>
                  </w:r>
                </w:p>
              </w:tc>
              <w:tc>
                <w:tcPr>
                  <w:tcW w:w="1114" w:type="dxa"/>
                  <w:vMerge w:val="restart"/>
                  <w:noWrap w:val="0"/>
                  <w:tcMar>
                    <w:left w:w="57" w:type="dxa"/>
                    <w:right w:w="57" w:type="dxa"/>
                  </w:tcMar>
                  <w:vAlign w:val="center"/>
                </w:tcPr>
                <w:p w14:paraId="22794AD2">
                  <w:pPr>
                    <w:widowControl/>
                    <w:spacing w:line="276" w:lineRule="auto"/>
                    <w:jc w:val="center"/>
                    <w:rPr>
                      <w:rFonts w:hint="eastAsia"/>
                      <w:color w:val="auto"/>
                      <w:kern w:val="0"/>
                      <w:szCs w:val="21"/>
                    </w:rPr>
                  </w:pPr>
                  <w:r>
                    <w:rPr>
                      <w:rFonts w:hint="eastAsia"/>
                      <w:color w:val="auto"/>
                      <w:kern w:val="0"/>
                      <w:szCs w:val="21"/>
                    </w:rPr>
                    <w:t>施工阶段</w:t>
                  </w:r>
                </w:p>
              </w:tc>
            </w:tr>
            <w:tr w14:paraId="3B1BD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7" w:hRule="atLeast"/>
                <w:jc w:val="center"/>
              </w:trPr>
              <w:tc>
                <w:tcPr>
                  <w:tcW w:w="705" w:type="dxa"/>
                  <w:vMerge w:val="continue"/>
                  <w:noWrap w:val="0"/>
                  <w:vAlign w:val="center"/>
                </w:tcPr>
                <w:p w14:paraId="10DD3BC0">
                  <w:pPr>
                    <w:widowControl/>
                    <w:spacing w:line="276" w:lineRule="auto"/>
                    <w:jc w:val="center"/>
                    <w:rPr>
                      <w:rFonts w:hint="eastAsia"/>
                      <w:color w:val="auto"/>
                      <w:kern w:val="0"/>
                      <w:szCs w:val="21"/>
                    </w:rPr>
                  </w:pPr>
                </w:p>
              </w:tc>
              <w:tc>
                <w:tcPr>
                  <w:tcW w:w="1581" w:type="dxa"/>
                  <w:vMerge w:val="continue"/>
                  <w:noWrap w:val="0"/>
                  <w:vAlign w:val="center"/>
                </w:tcPr>
                <w:p w14:paraId="59C4375D">
                  <w:pPr>
                    <w:widowControl/>
                    <w:spacing w:line="276" w:lineRule="auto"/>
                    <w:jc w:val="center"/>
                    <w:rPr>
                      <w:rFonts w:hint="eastAsia"/>
                      <w:color w:val="auto"/>
                      <w:kern w:val="0"/>
                      <w:szCs w:val="21"/>
                    </w:rPr>
                  </w:pPr>
                </w:p>
              </w:tc>
              <w:tc>
                <w:tcPr>
                  <w:tcW w:w="721" w:type="dxa"/>
                  <w:noWrap w:val="0"/>
                  <w:tcMar>
                    <w:left w:w="57" w:type="dxa"/>
                    <w:right w:w="57" w:type="dxa"/>
                  </w:tcMar>
                  <w:vAlign w:val="center"/>
                </w:tcPr>
                <w:p w14:paraId="7AAB406F">
                  <w:pPr>
                    <w:widowControl/>
                    <w:spacing w:line="276" w:lineRule="auto"/>
                    <w:jc w:val="center"/>
                    <w:rPr>
                      <w:rFonts w:hint="eastAsia"/>
                      <w:color w:val="auto"/>
                      <w:kern w:val="0"/>
                      <w:szCs w:val="21"/>
                    </w:rPr>
                  </w:pPr>
                  <w:r>
                    <w:rPr>
                      <w:rFonts w:hint="eastAsia"/>
                      <w:color w:val="auto"/>
                      <w:kern w:val="0"/>
                      <w:szCs w:val="21"/>
                    </w:rPr>
                    <w:t>40m</w:t>
                  </w:r>
                </w:p>
              </w:tc>
              <w:tc>
                <w:tcPr>
                  <w:tcW w:w="722" w:type="dxa"/>
                  <w:noWrap w:val="0"/>
                  <w:tcMar>
                    <w:left w:w="57" w:type="dxa"/>
                    <w:right w:w="57" w:type="dxa"/>
                  </w:tcMar>
                  <w:vAlign w:val="center"/>
                </w:tcPr>
                <w:p w14:paraId="0530EAC0">
                  <w:pPr>
                    <w:widowControl/>
                    <w:spacing w:line="276" w:lineRule="auto"/>
                    <w:jc w:val="center"/>
                    <w:rPr>
                      <w:rFonts w:hint="eastAsia"/>
                      <w:color w:val="auto"/>
                      <w:kern w:val="0"/>
                      <w:szCs w:val="21"/>
                    </w:rPr>
                  </w:pPr>
                  <w:r>
                    <w:rPr>
                      <w:rFonts w:hint="eastAsia"/>
                      <w:color w:val="auto"/>
                      <w:kern w:val="0"/>
                      <w:szCs w:val="21"/>
                    </w:rPr>
                    <w:t>60m</w:t>
                  </w:r>
                </w:p>
              </w:tc>
              <w:tc>
                <w:tcPr>
                  <w:tcW w:w="722" w:type="dxa"/>
                  <w:noWrap w:val="0"/>
                  <w:tcMar>
                    <w:left w:w="57" w:type="dxa"/>
                    <w:right w:w="57" w:type="dxa"/>
                  </w:tcMar>
                  <w:vAlign w:val="center"/>
                </w:tcPr>
                <w:p w14:paraId="053622F2">
                  <w:pPr>
                    <w:widowControl/>
                    <w:spacing w:line="276" w:lineRule="auto"/>
                    <w:jc w:val="center"/>
                    <w:rPr>
                      <w:rFonts w:hint="eastAsia"/>
                      <w:color w:val="auto"/>
                      <w:kern w:val="0"/>
                      <w:szCs w:val="21"/>
                    </w:rPr>
                  </w:pPr>
                  <w:r>
                    <w:rPr>
                      <w:rFonts w:hint="eastAsia"/>
                      <w:color w:val="auto"/>
                      <w:kern w:val="0"/>
                      <w:szCs w:val="21"/>
                    </w:rPr>
                    <w:t>100m</w:t>
                  </w:r>
                </w:p>
              </w:tc>
              <w:tc>
                <w:tcPr>
                  <w:tcW w:w="722" w:type="dxa"/>
                  <w:noWrap w:val="0"/>
                  <w:tcMar>
                    <w:left w:w="57" w:type="dxa"/>
                    <w:right w:w="57" w:type="dxa"/>
                  </w:tcMar>
                  <w:vAlign w:val="center"/>
                </w:tcPr>
                <w:p w14:paraId="09881526">
                  <w:pPr>
                    <w:widowControl/>
                    <w:spacing w:line="276" w:lineRule="auto"/>
                    <w:jc w:val="center"/>
                    <w:rPr>
                      <w:rFonts w:hint="eastAsia"/>
                      <w:color w:val="auto"/>
                      <w:kern w:val="0"/>
                      <w:szCs w:val="21"/>
                    </w:rPr>
                  </w:pPr>
                  <w:r>
                    <w:rPr>
                      <w:rFonts w:hint="eastAsia"/>
                      <w:color w:val="auto"/>
                      <w:kern w:val="0"/>
                      <w:szCs w:val="21"/>
                    </w:rPr>
                    <w:t>200m</w:t>
                  </w:r>
                </w:p>
              </w:tc>
              <w:tc>
                <w:tcPr>
                  <w:tcW w:w="722" w:type="dxa"/>
                  <w:noWrap w:val="0"/>
                  <w:tcMar>
                    <w:left w:w="57" w:type="dxa"/>
                    <w:right w:w="57" w:type="dxa"/>
                  </w:tcMar>
                  <w:vAlign w:val="center"/>
                </w:tcPr>
                <w:p w14:paraId="5E55D335">
                  <w:pPr>
                    <w:widowControl/>
                    <w:spacing w:line="276" w:lineRule="auto"/>
                    <w:jc w:val="center"/>
                    <w:rPr>
                      <w:rFonts w:hint="eastAsia"/>
                      <w:color w:val="auto"/>
                      <w:kern w:val="0"/>
                      <w:szCs w:val="21"/>
                    </w:rPr>
                  </w:pPr>
                  <w:r>
                    <w:rPr>
                      <w:rFonts w:hint="eastAsia"/>
                      <w:color w:val="auto"/>
                      <w:kern w:val="0"/>
                      <w:szCs w:val="21"/>
                    </w:rPr>
                    <w:t>300m</w:t>
                  </w:r>
                </w:p>
              </w:tc>
              <w:tc>
                <w:tcPr>
                  <w:tcW w:w="722" w:type="dxa"/>
                  <w:noWrap w:val="0"/>
                  <w:tcMar>
                    <w:left w:w="57" w:type="dxa"/>
                    <w:right w:w="57" w:type="dxa"/>
                  </w:tcMar>
                  <w:vAlign w:val="center"/>
                </w:tcPr>
                <w:p w14:paraId="7CCFFA7C">
                  <w:pPr>
                    <w:widowControl/>
                    <w:spacing w:line="276" w:lineRule="auto"/>
                    <w:jc w:val="center"/>
                    <w:rPr>
                      <w:rFonts w:hint="eastAsia"/>
                      <w:color w:val="auto"/>
                      <w:kern w:val="0"/>
                      <w:szCs w:val="21"/>
                    </w:rPr>
                  </w:pPr>
                  <w:r>
                    <w:rPr>
                      <w:rFonts w:hint="eastAsia"/>
                      <w:color w:val="auto"/>
                      <w:kern w:val="0"/>
                      <w:szCs w:val="21"/>
                    </w:rPr>
                    <w:t>400m</w:t>
                  </w:r>
                </w:p>
              </w:tc>
              <w:tc>
                <w:tcPr>
                  <w:tcW w:w="738" w:type="dxa"/>
                  <w:noWrap w:val="0"/>
                  <w:tcMar>
                    <w:left w:w="57" w:type="dxa"/>
                    <w:right w:w="57" w:type="dxa"/>
                  </w:tcMar>
                  <w:vAlign w:val="center"/>
                </w:tcPr>
                <w:p w14:paraId="27EC0FE7">
                  <w:pPr>
                    <w:widowControl/>
                    <w:spacing w:line="276" w:lineRule="auto"/>
                    <w:jc w:val="center"/>
                    <w:rPr>
                      <w:rFonts w:hint="eastAsia"/>
                      <w:color w:val="auto"/>
                      <w:kern w:val="0"/>
                      <w:szCs w:val="21"/>
                    </w:rPr>
                  </w:pPr>
                  <w:r>
                    <w:rPr>
                      <w:rFonts w:hint="eastAsia"/>
                      <w:color w:val="auto"/>
                      <w:kern w:val="0"/>
                      <w:szCs w:val="21"/>
                    </w:rPr>
                    <w:t>500m</w:t>
                  </w:r>
                </w:p>
              </w:tc>
              <w:tc>
                <w:tcPr>
                  <w:tcW w:w="1114" w:type="dxa"/>
                  <w:vMerge w:val="continue"/>
                  <w:noWrap w:val="0"/>
                  <w:tcMar>
                    <w:left w:w="57" w:type="dxa"/>
                    <w:right w:w="57" w:type="dxa"/>
                  </w:tcMar>
                  <w:vAlign w:val="center"/>
                </w:tcPr>
                <w:p w14:paraId="2DC42D64">
                  <w:pPr>
                    <w:widowControl/>
                    <w:spacing w:line="276" w:lineRule="auto"/>
                    <w:jc w:val="center"/>
                    <w:rPr>
                      <w:rFonts w:hint="eastAsia"/>
                      <w:color w:val="auto"/>
                      <w:kern w:val="0"/>
                      <w:szCs w:val="21"/>
                    </w:rPr>
                  </w:pPr>
                </w:p>
              </w:tc>
            </w:tr>
            <w:tr w14:paraId="76749C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7" w:hRule="atLeast"/>
                <w:jc w:val="center"/>
              </w:trPr>
              <w:tc>
                <w:tcPr>
                  <w:tcW w:w="705" w:type="dxa"/>
                  <w:noWrap w:val="0"/>
                  <w:vAlign w:val="center"/>
                </w:tcPr>
                <w:p w14:paraId="5BFFBCCC">
                  <w:pPr>
                    <w:widowControl/>
                    <w:spacing w:line="276" w:lineRule="auto"/>
                    <w:jc w:val="center"/>
                    <w:rPr>
                      <w:rFonts w:hint="eastAsia"/>
                      <w:color w:val="auto"/>
                      <w:kern w:val="0"/>
                      <w:szCs w:val="21"/>
                    </w:rPr>
                  </w:pPr>
                  <w:r>
                    <w:rPr>
                      <w:rFonts w:hint="eastAsia"/>
                      <w:color w:val="auto"/>
                      <w:kern w:val="0"/>
                      <w:szCs w:val="21"/>
                    </w:rPr>
                    <w:t>1</w:t>
                  </w:r>
                </w:p>
              </w:tc>
              <w:tc>
                <w:tcPr>
                  <w:tcW w:w="1581" w:type="dxa"/>
                  <w:noWrap w:val="0"/>
                  <w:vAlign w:val="center"/>
                </w:tcPr>
                <w:p w14:paraId="57FA2AB3">
                  <w:pPr>
                    <w:wordWrap w:val="0"/>
                    <w:overflowPunct w:val="0"/>
                    <w:adjustRightInd w:val="0"/>
                    <w:jc w:val="center"/>
                    <w:textAlignment w:val="baseline"/>
                    <w:rPr>
                      <w:rFonts w:hint="eastAsia"/>
                      <w:color w:val="auto"/>
                      <w:kern w:val="0"/>
                      <w:szCs w:val="21"/>
                    </w:rPr>
                  </w:pPr>
                  <w:r>
                    <w:rPr>
                      <w:rFonts w:hint="eastAsia"/>
                      <w:color w:val="auto"/>
                      <w:szCs w:val="21"/>
                    </w:rPr>
                    <w:t>压路机</w:t>
                  </w:r>
                </w:p>
              </w:tc>
              <w:tc>
                <w:tcPr>
                  <w:tcW w:w="721" w:type="dxa"/>
                  <w:noWrap w:val="0"/>
                  <w:tcMar>
                    <w:left w:w="57" w:type="dxa"/>
                    <w:right w:w="57" w:type="dxa"/>
                  </w:tcMar>
                  <w:vAlign w:val="center"/>
                </w:tcPr>
                <w:p w14:paraId="1E39D83E">
                  <w:pPr>
                    <w:widowControl/>
                    <w:spacing w:line="276" w:lineRule="auto"/>
                    <w:jc w:val="center"/>
                    <w:rPr>
                      <w:rFonts w:hint="eastAsia"/>
                      <w:color w:val="auto"/>
                      <w:kern w:val="0"/>
                      <w:szCs w:val="21"/>
                    </w:rPr>
                  </w:pPr>
                  <w:r>
                    <w:rPr>
                      <w:rFonts w:hint="eastAsia"/>
                      <w:color w:val="auto"/>
                      <w:kern w:val="0"/>
                      <w:szCs w:val="21"/>
                    </w:rPr>
                    <w:t>73</w:t>
                  </w:r>
                </w:p>
              </w:tc>
              <w:tc>
                <w:tcPr>
                  <w:tcW w:w="722" w:type="dxa"/>
                  <w:noWrap w:val="0"/>
                  <w:tcMar>
                    <w:left w:w="57" w:type="dxa"/>
                    <w:right w:w="57" w:type="dxa"/>
                  </w:tcMar>
                  <w:vAlign w:val="center"/>
                </w:tcPr>
                <w:p w14:paraId="404924B4">
                  <w:pPr>
                    <w:widowControl/>
                    <w:spacing w:line="276" w:lineRule="auto"/>
                    <w:jc w:val="center"/>
                    <w:rPr>
                      <w:rFonts w:hint="eastAsia"/>
                      <w:color w:val="auto"/>
                      <w:kern w:val="0"/>
                      <w:szCs w:val="21"/>
                    </w:rPr>
                  </w:pPr>
                  <w:r>
                    <w:rPr>
                      <w:rFonts w:hint="eastAsia"/>
                      <w:color w:val="auto"/>
                      <w:kern w:val="0"/>
                      <w:szCs w:val="21"/>
                    </w:rPr>
                    <w:t>69</w:t>
                  </w:r>
                </w:p>
              </w:tc>
              <w:tc>
                <w:tcPr>
                  <w:tcW w:w="722" w:type="dxa"/>
                  <w:noWrap w:val="0"/>
                  <w:tcMar>
                    <w:left w:w="57" w:type="dxa"/>
                    <w:right w:w="57" w:type="dxa"/>
                  </w:tcMar>
                  <w:vAlign w:val="center"/>
                </w:tcPr>
                <w:p w14:paraId="3A925568">
                  <w:pPr>
                    <w:widowControl/>
                    <w:spacing w:line="276" w:lineRule="auto"/>
                    <w:jc w:val="center"/>
                    <w:rPr>
                      <w:rFonts w:hint="eastAsia"/>
                      <w:color w:val="auto"/>
                      <w:kern w:val="0"/>
                      <w:szCs w:val="21"/>
                    </w:rPr>
                  </w:pPr>
                  <w:r>
                    <w:rPr>
                      <w:rFonts w:hint="eastAsia"/>
                      <w:color w:val="auto"/>
                      <w:kern w:val="0"/>
                      <w:szCs w:val="21"/>
                    </w:rPr>
                    <w:t>65</w:t>
                  </w:r>
                </w:p>
              </w:tc>
              <w:tc>
                <w:tcPr>
                  <w:tcW w:w="722" w:type="dxa"/>
                  <w:noWrap w:val="0"/>
                  <w:tcMar>
                    <w:left w:w="57" w:type="dxa"/>
                    <w:right w:w="57" w:type="dxa"/>
                  </w:tcMar>
                  <w:vAlign w:val="center"/>
                </w:tcPr>
                <w:p w14:paraId="415307BF">
                  <w:pPr>
                    <w:widowControl/>
                    <w:spacing w:line="276" w:lineRule="auto"/>
                    <w:jc w:val="center"/>
                    <w:rPr>
                      <w:rFonts w:hint="eastAsia"/>
                      <w:color w:val="auto"/>
                      <w:kern w:val="0"/>
                      <w:szCs w:val="21"/>
                    </w:rPr>
                  </w:pPr>
                  <w:r>
                    <w:rPr>
                      <w:rFonts w:hint="eastAsia"/>
                      <w:color w:val="auto"/>
                      <w:kern w:val="0"/>
                      <w:szCs w:val="21"/>
                    </w:rPr>
                    <w:t>59</w:t>
                  </w:r>
                </w:p>
              </w:tc>
              <w:tc>
                <w:tcPr>
                  <w:tcW w:w="722" w:type="dxa"/>
                  <w:noWrap w:val="0"/>
                  <w:tcMar>
                    <w:left w:w="57" w:type="dxa"/>
                    <w:right w:w="57" w:type="dxa"/>
                  </w:tcMar>
                  <w:vAlign w:val="center"/>
                </w:tcPr>
                <w:p w14:paraId="38770080">
                  <w:pPr>
                    <w:widowControl/>
                    <w:spacing w:line="276" w:lineRule="auto"/>
                    <w:jc w:val="center"/>
                    <w:rPr>
                      <w:rFonts w:hint="eastAsia"/>
                      <w:color w:val="auto"/>
                      <w:kern w:val="0"/>
                      <w:szCs w:val="21"/>
                    </w:rPr>
                  </w:pPr>
                  <w:r>
                    <w:rPr>
                      <w:rFonts w:hint="eastAsia"/>
                      <w:color w:val="auto"/>
                      <w:kern w:val="0"/>
                      <w:szCs w:val="21"/>
                    </w:rPr>
                    <w:t>55</w:t>
                  </w:r>
                </w:p>
              </w:tc>
              <w:tc>
                <w:tcPr>
                  <w:tcW w:w="722" w:type="dxa"/>
                  <w:noWrap w:val="0"/>
                  <w:tcMar>
                    <w:left w:w="57" w:type="dxa"/>
                    <w:right w:w="57" w:type="dxa"/>
                  </w:tcMar>
                  <w:vAlign w:val="center"/>
                </w:tcPr>
                <w:p w14:paraId="1DC54CC2">
                  <w:pPr>
                    <w:widowControl/>
                    <w:spacing w:line="276" w:lineRule="auto"/>
                    <w:jc w:val="center"/>
                    <w:rPr>
                      <w:rFonts w:hint="eastAsia"/>
                      <w:color w:val="auto"/>
                      <w:kern w:val="0"/>
                      <w:szCs w:val="21"/>
                    </w:rPr>
                  </w:pPr>
                  <w:r>
                    <w:rPr>
                      <w:rFonts w:hint="eastAsia"/>
                      <w:color w:val="auto"/>
                      <w:kern w:val="0"/>
                      <w:szCs w:val="21"/>
                    </w:rPr>
                    <w:t>53</w:t>
                  </w:r>
                </w:p>
              </w:tc>
              <w:tc>
                <w:tcPr>
                  <w:tcW w:w="738" w:type="dxa"/>
                  <w:noWrap w:val="0"/>
                  <w:tcMar>
                    <w:left w:w="57" w:type="dxa"/>
                    <w:right w:w="57" w:type="dxa"/>
                  </w:tcMar>
                  <w:vAlign w:val="center"/>
                </w:tcPr>
                <w:p w14:paraId="5B4AC7E0">
                  <w:pPr>
                    <w:widowControl/>
                    <w:spacing w:line="276" w:lineRule="auto"/>
                    <w:jc w:val="center"/>
                    <w:rPr>
                      <w:rFonts w:hint="eastAsia"/>
                      <w:color w:val="auto"/>
                      <w:kern w:val="0"/>
                      <w:szCs w:val="21"/>
                    </w:rPr>
                  </w:pPr>
                  <w:r>
                    <w:rPr>
                      <w:rFonts w:hint="eastAsia"/>
                      <w:color w:val="auto"/>
                      <w:kern w:val="0"/>
                      <w:szCs w:val="21"/>
                    </w:rPr>
                    <w:t>51</w:t>
                  </w:r>
                </w:p>
              </w:tc>
              <w:tc>
                <w:tcPr>
                  <w:tcW w:w="1114" w:type="dxa"/>
                  <w:vMerge w:val="restart"/>
                  <w:noWrap w:val="0"/>
                  <w:tcMar>
                    <w:left w:w="57" w:type="dxa"/>
                    <w:right w:w="57" w:type="dxa"/>
                  </w:tcMar>
                  <w:vAlign w:val="center"/>
                </w:tcPr>
                <w:p w14:paraId="103685C4">
                  <w:pPr>
                    <w:widowControl/>
                    <w:spacing w:line="276" w:lineRule="auto"/>
                    <w:jc w:val="center"/>
                    <w:rPr>
                      <w:rFonts w:hint="eastAsia"/>
                      <w:color w:val="auto"/>
                      <w:kern w:val="0"/>
                      <w:szCs w:val="21"/>
                    </w:rPr>
                  </w:pPr>
                  <w:r>
                    <w:rPr>
                      <w:rFonts w:hint="eastAsia"/>
                      <w:color w:val="auto"/>
                      <w:kern w:val="0"/>
                      <w:szCs w:val="21"/>
                    </w:rPr>
                    <w:t>土石方</w:t>
                  </w:r>
                </w:p>
              </w:tc>
            </w:tr>
            <w:tr w14:paraId="1595F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7" w:hRule="atLeast"/>
                <w:jc w:val="center"/>
              </w:trPr>
              <w:tc>
                <w:tcPr>
                  <w:tcW w:w="705" w:type="dxa"/>
                  <w:noWrap w:val="0"/>
                  <w:vAlign w:val="center"/>
                </w:tcPr>
                <w:p w14:paraId="42CF67F7">
                  <w:pPr>
                    <w:widowControl/>
                    <w:spacing w:line="276" w:lineRule="auto"/>
                    <w:jc w:val="center"/>
                    <w:rPr>
                      <w:rFonts w:hint="eastAsia"/>
                      <w:color w:val="auto"/>
                      <w:kern w:val="0"/>
                      <w:szCs w:val="21"/>
                    </w:rPr>
                  </w:pPr>
                  <w:r>
                    <w:rPr>
                      <w:rFonts w:hint="eastAsia"/>
                      <w:color w:val="auto"/>
                      <w:kern w:val="0"/>
                      <w:szCs w:val="21"/>
                    </w:rPr>
                    <w:t>2</w:t>
                  </w:r>
                </w:p>
              </w:tc>
              <w:tc>
                <w:tcPr>
                  <w:tcW w:w="1581" w:type="dxa"/>
                  <w:noWrap w:val="0"/>
                  <w:vAlign w:val="center"/>
                </w:tcPr>
                <w:p w14:paraId="13771AE2">
                  <w:pPr>
                    <w:wordWrap w:val="0"/>
                    <w:overflowPunct w:val="0"/>
                    <w:adjustRightInd w:val="0"/>
                    <w:jc w:val="center"/>
                    <w:textAlignment w:val="baseline"/>
                    <w:rPr>
                      <w:rFonts w:hint="eastAsia"/>
                      <w:color w:val="auto"/>
                      <w:kern w:val="0"/>
                      <w:szCs w:val="21"/>
                    </w:rPr>
                  </w:pPr>
                  <w:r>
                    <w:rPr>
                      <w:color w:val="auto"/>
                      <w:kern w:val="0"/>
                      <w:szCs w:val="21"/>
                    </w:rPr>
                    <w:t>推土机</w:t>
                  </w:r>
                </w:p>
              </w:tc>
              <w:tc>
                <w:tcPr>
                  <w:tcW w:w="721" w:type="dxa"/>
                  <w:noWrap w:val="0"/>
                  <w:tcMar>
                    <w:left w:w="57" w:type="dxa"/>
                    <w:right w:w="57" w:type="dxa"/>
                  </w:tcMar>
                  <w:vAlign w:val="center"/>
                </w:tcPr>
                <w:p w14:paraId="70D1E33C">
                  <w:pPr>
                    <w:widowControl/>
                    <w:spacing w:line="276" w:lineRule="auto"/>
                    <w:jc w:val="center"/>
                    <w:rPr>
                      <w:color w:val="auto"/>
                      <w:kern w:val="0"/>
                      <w:szCs w:val="21"/>
                    </w:rPr>
                  </w:pPr>
                  <w:r>
                    <w:rPr>
                      <w:rFonts w:hint="eastAsia"/>
                      <w:color w:val="auto"/>
                      <w:kern w:val="0"/>
                      <w:szCs w:val="21"/>
                    </w:rPr>
                    <w:t>78</w:t>
                  </w:r>
                </w:p>
              </w:tc>
              <w:tc>
                <w:tcPr>
                  <w:tcW w:w="722" w:type="dxa"/>
                  <w:noWrap w:val="0"/>
                  <w:tcMar>
                    <w:left w:w="57" w:type="dxa"/>
                    <w:right w:w="57" w:type="dxa"/>
                  </w:tcMar>
                  <w:vAlign w:val="center"/>
                </w:tcPr>
                <w:p w14:paraId="589BF881">
                  <w:pPr>
                    <w:widowControl/>
                    <w:spacing w:line="276" w:lineRule="auto"/>
                    <w:jc w:val="center"/>
                    <w:rPr>
                      <w:color w:val="auto"/>
                      <w:kern w:val="0"/>
                      <w:szCs w:val="21"/>
                    </w:rPr>
                  </w:pPr>
                  <w:r>
                    <w:rPr>
                      <w:rFonts w:hint="eastAsia"/>
                      <w:color w:val="auto"/>
                      <w:kern w:val="0"/>
                      <w:szCs w:val="21"/>
                    </w:rPr>
                    <w:t>74</w:t>
                  </w:r>
                </w:p>
              </w:tc>
              <w:tc>
                <w:tcPr>
                  <w:tcW w:w="722" w:type="dxa"/>
                  <w:noWrap w:val="0"/>
                  <w:tcMar>
                    <w:left w:w="57" w:type="dxa"/>
                    <w:right w:w="57" w:type="dxa"/>
                  </w:tcMar>
                  <w:vAlign w:val="center"/>
                </w:tcPr>
                <w:p w14:paraId="4F7DAFF8">
                  <w:pPr>
                    <w:widowControl/>
                    <w:spacing w:line="276" w:lineRule="auto"/>
                    <w:jc w:val="center"/>
                    <w:rPr>
                      <w:color w:val="auto"/>
                      <w:kern w:val="0"/>
                      <w:szCs w:val="21"/>
                    </w:rPr>
                  </w:pPr>
                  <w:r>
                    <w:rPr>
                      <w:rFonts w:hint="eastAsia"/>
                      <w:color w:val="auto"/>
                      <w:kern w:val="0"/>
                      <w:szCs w:val="21"/>
                    </w:rPr>
                    <w:t>70</w:t>
                  </w:r>
                </w:p>
              </w:tc>
              <w:tc>
                <w:tcPr>
                  <w:tcW w:w="722" w:type="dxa"/>
                  <w:noWrap w:val="0"/>
                  <w:tcMar>
                    <w:left w:w="57" w:type="dxa"/>
                    <w:right w:w="57" w:type="dxa"/>
                  </w:tcMar>
                  <w:vAlign w:val="center"/>
                </w:tcPr>
                <w:p w14:paraId="602BEDE7">
                  <w:pPr>
                    <w:widowControl/>
                    <w:spacing w:line="276" w:lineRule="auto"/>
                    <w:jc w:val="center"/>
                    <w:rPr>
                      <w:color w:val="auto"/>
                      <w:kern w:val="0"/>
                      <w:szCs w:val="21"/>
                    </w:rPr>
                  </w:pPr>
                  <w:r>
                    <w:rPr>
                      <w:rFonts w:hint="eastAsia"/>
                      <w:color w:val="auto"/>
                      <w:kern w:val="0"/>
                      <w:szCs w:val="21"/>
                    </w:rPr>
                    <w:t>64</w:t>
                  </w:r>
                </w:p>
              </w:tc>
              <w:tc>
                <w:tcPr>
                  <w:tcW w:w="722" w:type="dxa"/>
                  <w:noWrap w:val="0"/>
                  <w:tcMar>
                    <w:left w:w="57" w:type="dxa"/>
                    <w:right w:w="57" w:type="dxa"/>
                  </w:tcMar>
                  <w:vAlign w:val="center"/>
                </w:tcPr>
                <w:p w14:paraId="4DD9C532">
                  <w:pPr>
                    <w:widowControl/>
                    <w:spacing w:line="276" w:lineRule="auto"/>
                    <w:jc w:val="center"/>
                    <w:rPr>
                      <w:color w:val="auto"/>
                      <w:kern w:val="0"/>
                      <w:szCs w:val="21"/>
                    </w:rPr>
                  </w:pPr>
                  <w:r>
                    <w:rPr>
                      <w:rFonts w:hint="eastAsia"/>
                      <w:color w:val="auto"/>
                      <w:kern w:val="0"/>
                      <w:szCs w:val="21"/>
                    </w:rPr>
                    <w:t>60</w:t>
                  </w:r>
                </w:p>
              </w:tc>
              <w:tc>
                <w:tcPr>
                  <w:tcW w:w="722" w:type="dxa"/>
                  <w:noWrap w:val="0"/>
                  <w:tcMar>
                    <w:left w:w="57" w:type="dxa"/>
                    <w:right w:w="57" w:type="dxa"/>
                  </w:tcMar>
                  <w:vAlign w:val="center"/>
                </w:tcPr>
                <w:p w14:paraId="2F333CD0">
                  <w:pPr>
                    <w:widowControl/>
                    <w:spacing w:line="276" w:lineRule="auto"/>
                    <w:jc w:val="center"/>
                    <w:rPr>
                      <w:color w:val="auto"/>
                      <w:kern w:val="0"/>
                      <w:szCs w:val="21"/>
                    </w:rPr>
                  </w:pPr>
                  <w:r>
                    <w:rPr>
                      <w:rFonts w:hint="eastAsia"/>
                      <w:color w:val="auto"/>
                      <w:kern w:val="0"/>
                      <w:szCs w:val="21"/>
                    </w:rPr>
                    <w:t>58</w:t>
                  </w:r>
                </w:p>
              </w:tc>
              <w:tc>
                <w:tcPr>
                  <w:tcW w:w="738" w:type="dxa"/>
                  <w:noWrap w:val="0"/>
                  <w:tcMar>
                    <w:left w:w="57" w:type="dxa"/>
                    <w:right w:w="57" w:type="dxa"/>
                  </w:tcMar>
                  <w:vAlign w:val="center"/>
                </w:tcPr>
                <w:p w14:paraId="0CC5ABA2">
                  <w:pPr>
                    <w:widowControl/>
                    <w:spacing w:line="276" w:lineRule="auto"/>
                    <w:jc w:val="center"/>
                    <w:rPr>
                      <w:color w:val="auto"/>
                      <w:kern w:val="0"/>
                      <w:szCs w:val="21"/>
                    </w:rPr>
                  </w:pPr>
                  <w:r>
                    <w:rPr>
                      <w:rFonts w:hint="eastAsia"/>
                      <w:color w:val="auto"/>
                      <w:kern w:val="0"/>
                      <w:szCs w:val="21"/>
                    </w:rPr>
                    <w:t>56</w:t>
                  </w:r>
                </w:p>
              </w:tc>
              <w:tc>
                <w:tcPr>
                  <w:tcW w:w="1114" w:type="dxa"/>
                  <w:vMerge w:val="continue"/>
                  <w:noWrap w:val="0"/>
                  <w:tcMar>
                    <w:left w:w="57" w:type="dxa"/>
                    <w:right w:w="57" w:type="dxa"/>
                  </w:tcMar>
                  <w:vAlign w:val="center"/>
                </w:tcPr>
                <w:p w14:paraId="6AD643C8">
                  <w:pPr>
                    <w:widowControl/>
                    <w:spacing w:line="276" w:lineRule="auto"/>
                    <w:jc w:val="center"/>
                    <w:rPr>
                      <w:rFonts w:hint="eastAsia"/>
                      <w:color w:val="auto"/>
                      <w:kern w:val="0"/>
                      <w:szCs w:val="21"/>
                    </w:rPr>
                  </w:pPr>
                </w:p>
              </w:tc>
            </w:tr>
            <w:tr w14:paraId="7C8D3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7" w:hRule="atLeast"/>
                <w:jc w:val="center"/>
              </w:trPr>
              <w:tc>
                <w:tcPr>
                  <w:tcW w:w="705" w:type="dxa"/>
                  <w:noWrap w:val="0"/>
                  <w:vAlign w:val="center"/>
                </w:tcPr>
                <w:p w14:paraId="22A42927">
                  <w:pPr>
                    <w:widowControl/>
                    <w:spacing w:line="276" w:lineRule="auto"/>
                    <w:jc w:val="center"/>
                    <w:rPr>
                      <w:rFonts w:hint="eastAsia"/>
                      <w:color w:val="auto"/>
                      <w:kern w:val="0"/>
                      <w:szCs w:val="21"/>
                    </w:rPr>
                  </w:pPr>
                  <w:r>
                    <w:rPr>
                      <w:rFonts w:hint="eastAsia"/>
                      <w:color w:val="auto"/>
                      <w:kern w:val="0"/>
                      <w:szCs w:val="21"/>
                    </w:rPr>
                    <w:t>3</w:t>
                  </w:r>
                </w:p>
              </w:tc>
              <w:tc>
                <w:tcPr>
                  <w:tcW w:w="1581" w:type="dxa"/>
                  <w:noWrap w:val="0"/>
                  <w:vAlign w:val="center"/>
                </w:tcPr>
                <w:p w14:paraId="50698474">
                  <w:pPr>
                    <w:wordWrap w:val="0"/>
                    <w:overflowPunct w:val="0"/>
                    <w:adjustRightInd w:val="0"/>
                    <w:jc w:val="center"/>
                    <w:textAlignment w:val="baseline"/>
                    <w:rPr>
                      <w:rFonts w:hint="eastAsia"/>
                      <w:color w:val="auto"/>
                      <w:kern w:val="0"/>
                      <w:szCs w:val="21"/>
                    </w:rPr>
                  </w:pPr>
                  <w:r>
                    <w:rPr>
                      <w:color w:val="auto"/>
                      <w:kern w:val="0"/>
                      <w:szCs w:val="21"/>
                    </w:rPr>
                    <w:t>装载机</w:t>
                  </w:r>
                </w:p>
              </w:tc>
              <w:tc>
                <w:tcPr>
                  <w:tcW w:w="721" w:type="dxa"/>
                  <w:noWrap w:val="0"/>
                  <w:tcMar>
                    <w:left w:w="57" w:type="dxa"/>
                    <w:right w:w="57" w:type="dxa"/>
                  </w:tcMar>
                  <w:vAlign w:val="center"/>
                </w:tcPr>
                <w:p w14:paraId="0BCF4BCD">
                  <w:pPr>
                    <w:widowControl/>
                    <w:spacing w:line="276" w:lineRule="auto"/>
                    <w:jc w:val="center"/>
                    <w:rPr>
                      <w:rFonts w:hint="eastAsia"/>
                      <w:color w:val="auto"/>
                      <w:kern w:val="0"/>
                      <w:szCs w:val="21"/>
                    </w:rPr>
                  </w:pPr>
                  <w:r>
                    <w:rPr>
                      <w:rFonts w:hint="eastAsia"/>
                      <w:color w:val="auto"/>
                      <w:kern w:val="0"/>
                      <w:szCs w:val="21"/>
                    </w:rPr>
                    <w:t>77</w:t>
                  </w:r>
                </w:p>
              </w:tc>
              <w:tc>
                <w:tcPr>
                  <w:tcW w:w="722" w:type="dxa"/>
                  <w:noWrap w:val="0"/>
                  <w:tcMar>
                    <w:left w:w="57" w:type="dxa"/>
                    <w:right w:w="57" w:type="dxa"/>
                  </w:tcMar>
                  <w:vAlign w:val="center"/>
                </w:tcPr>
                <w:p w14:paraId="69DFE602">
                  <w:pPr>
                    <w:widowControl/>
                    <w:spacing w:line="276" w:lineRule="auto"/>
                    <w:jc w:val="center"/>
                    <w:rPr>
                      <w:rFonts w:hint="eastAsia"/>
                      <w:color w:val="auto"/>
                      <w:kern w:val="0"/>
                      <w:szCs w:val="21"/>
                    </w:rPr>
                  </w:pPr>
                  <w:r>
                    <w:rPr>
                      <w:rFonts w:hint="eastAsia"/>
                      <w:color w:val="auto"/>
                      <w:kern w:val="0"/>
                      <w:szCs w:val="21"/>
                    </w:rPr>
                    <w:t>73</w:t>
                  </w:r>
                </w:p>
              </w:tc>
              <w:tc>
                <w:tcPr>
                  <w:tcW w:w="722" w:type="dxa"/>
                  <w:noWrap w:val="0"/>
                  <w:tcMar>
                    <w:left w:w="57" w:type="dxa"/>
                    <w:right w:w="57" w:type="dxa"/>
                  </w:tcMar>
                  <w:vAlign w:val="center"/>
                </w:tcPr>
                <w:p w14:paraId="7505E1F9">
                  <w:pPr>
                    <w:widowControl/>
                    <w:spacing w:line="276" w:lineRule="auto"/>
                    <w:jc w:val="center"/>
                    <w:rPr>
                      <w:rFonts w:hint="eastAsia"/>
                      <w:color w:val="auto"/>
                      <w:kern w:val="0"/>
                      <w:szCs w:val="21"/>
                    </w:rPr>
                  </w:pPr>
                  <w:r>
                    <w:rPr>
                      <w:rFonts w:hint="eastAsia"/>
                      <w:color w:val="auto"/>
                      <w:kern w:val="0"/>
                      <w:szCs w:val="21"/>
                    </w:rPr>
                    <w:t>69</w:t>
                  </w:r>
                </w:p>
              </w:tc>
              <w:tc>
                <w:tcPr>
                  <w:tcW w:w="722" w:type="dxa"/>
                  <w:noWrap w:val="0"/>
                  <w:tcMar>
                    <w:left w:w="57" w:type="dxa"/>
                    <w:right w:w="57" w:type="dxa"/>
                  </w:tcMar>
                  <w:vAlign w:val="center"/>
                </w:tcPr>
                <w:p w14:paraId="6500B08B">
                  <w:pPr>
                    <w:widowControl/>
                    <w:spacing w:line="276" w:lineRule="auto"/>
                    <w:jc w:val="center"/>
                    <w:rPr>
                      <w:rFonts w:hint="eastAsia"/>
                      <w:color w:val="auto"/>
                      <w:kern w:val="0"/>
                      <w:szCs w:val="21"/>
                    </w:rPr>
                  </w:pPr>
                  <w:r>
                    <w:rPr>
                      <w:rFonts w:hint="eastAsia"/>
                      <w:color w:val="auto"/>
                      <w:kern w:val="0"/>
                      <w:szCs w:val="21"/>
                    </w:rPr>
                    <w:t>63</w:t>
                  </w:r>
                </w:p>
              </w:tc>
              <w:tc>
                <w:tcPr>
                  <w:tcW w:w="722" w:type="dxa"/>
                  <w:noWrap w:val="0"/>
                  <w:tcMar>
                    <w:left w:w="57" w:type="dxa"/>
                    <w:right w:w="57" w:type="dxa"/>
                  </w:tcMar>
                  <w:vAlign w:val="center"/>
                </w:tcPr>
                <w:p w14:paraId="7E60DF93">
                  <w:pPr>
                    <w:widowControl/>
                    <w:spacing w:line="276" w:lineRule="auto"/>
                    <w:jc w:val="center"/>
                    <w:rPr>
                      <w:rFonts w:hint="eastAsia"/>
                      <w:color w:val="auto"/>
                      <w:kern w:val="0"/>
                      <w:szCs w:val="21"/>
                    </w:rPr>
                  </w:pPr>
                  <w:r>
                    <w:rPr>
                      <w:rFonts w:hint="eastAsia"/>
                      <w:color w:val="auto"/>
                      <w:kern w:val="0"/>
                      <w:szCs w:val="21"/>
                    </w:rPr>
                    <w:t>59</w:t>
                  </w:r>
                </w:p>
              </w:tc>
              <w:tc>
                <w:tcPr>
                  <w:tcW w:w="722" w:type="dxa"/>
                  <w:noWrap w:val="0"/>
                  <w:tcMar>
                    <w:left w:w="57" w:type="dxa"/>
                    <w:right w:w="57" w:type="dxa"/>
                  </w:tcMar>
                  <w:vAlign w:val="center"/>
                </w:tcPr>
                <w:p w14:paraId="4ED5C236">
                  <w:pPr>
                    <w:widowControl/>
                    <w:spacing w:line="276" w:lineRule="auto"/>
                    <w:jc w:val="center"/>
                    <w:rPr>
                      <w:rFonts w:hint="eastAsia"/>
                      <w:color w:val="auto"/>
                      <w:kern w:val="0"/>
                      <w:szCs w:val="21"/>
                    </w:rPr>
                  </w:pPr>
                  <w:r>
                    <w:rPr>
                      <w:rFonts w:hint="eastAsia"/>
                      <w:color w:val="auto"/>
                      <w:kern w:val="0"/>
                      <w:szCs w:val="21"/>
                    </w:rPr>
                    <w:t>57</w:t>
                  </w:r>
                </w:p>
              </w:tc>
              <w:tc>
                <w:tcPr>
                  <w:tcW w:w="738" w:type="dxa"/>
                  <w:noWrap w:val="0"/>
                  <w:tcMar>
                    <w:left w:w="57" w:type="dxa"/>
                    <w:right w:w="57" w:type="dxa"/>
                  </w:tcMar>
                  <w:vAlign w:val="center"/>
                </w:tcPr>
                <w:p w14:paraId="3363F896">
                  <w:pPr>
                    <w:widowControl/>
                    <w:spacing w:line="276" w:lineRule="auto"/>
                    <w:jc w:val="center"/>
                    <w:rPr>
                      <w:rFonts w:hint="eastAsia"/>
                      <w:color w:val="auto"/>
                      <w:kern w:val="0"/>
                      <w:szCs w:val="21"/>
                    </w:rPr>
                  </w:pPr>
                  <w:r>
                    <w:rPr>
                      <w:rFonts w:hint="eastAsia"/>
                      <w:color w:val="auto"/>
                      <w:kern w:val="0"/>
                      <w:szCs w:val="21"/>
                    </w:rPr>
                    <w:t>55</w:t>
                  </w:r>
                </w:p>
              </w:tc>
              <w:tc>
                <w:tcPr>
                  <w:tcW w:w="1114" w:type="dxa"/>
                  <w:vMerge w:val="continue"/>
                  <w:noWrap w:val="0"/>
                  <w:tcMar>
                    <w:left w:w="57" w:type="dxa"/>
                    <w:right w:w="57" w:type="dxa"/>
                  </w:tcMar>
                  <w:vAlign w:val="center"/>
                </w:tcPr>
                <w:p w14:paraId="318E2AAF">
                  <w:pPr>
                    <w:widowControl/>
                    <w:spacing w:line="276" w:lineRule="auto"/>
                    <w:jc w:val="center"/>
                    <w:rPr>
                      <w:rFonts w:hint="eastAsia"/>
                      <w:color w:val="auto"/>
                      <w:kern w:val="0"/>
                      <w:szCs w:val="21"/>
                    </w:rPr>
                  </w:pPr>
                </w:p>
              </w:tc>
            </w:tr>
            <w:tr w14:paraId="124F5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7" w:hRule="atLeast"/>
                <w:jc w:val="center"/>
              </w:trPr>
              <w:tc>
                <w:tcPr>
                  <w:tcW w:w="705" w:type="dxa"/>
                  <w:noWrap w:val="0"/>
                  <w:vAlign w:val="center"/>
                </w:tcPr>
                <w:p w14:paraId="79C24638">
                  <w:pPr>
                    <w:widowControl/>
                    <w:spacing w:line="276" w:lineRule="auto"/>
                    <w:jc w:val="center"/>
                    <w:rPr>
                      <w:rFonts w:hint="eastAsia"/>
                      <w:color w:val="auto"/>
                      <w:kern w:val="0"/>
                      <w:szCs w:val="21"/>
                    </w:rPr>
                  </w:pPr>
                  <w:r>
                    <w:rPr>
                      <w:rFonts w:hint="eastAsia"/>
                      <w:color w:val="auto"/>
                      <w:kern w:val="0"/>
                      <w:szCs w:val="21"/>
                    </w:rPr>
                    <w:t>4</w:t>
                  </w:r>
                </w:p>
              </w:tc>
              <w:tc>
                <w:tcPr>
                  <w:tcW w:w="1581" w:type="dxa"/>
                  <w:noWrap w:val="0"/>
                  <w:vAlign w:val="center"/>
                </w:tcPr>
                <w:p w14:paraId="0804D728">
                  <w:pPr>
                    <w:wordWrap w:val="0"/>
                    <w:overflowPunct w:val="0"/>
                    <w:adjustRightInd w:val="0"/>
                    <w:jc w:val="center"/>
                    <w:textAlignment w:val="baseline"/>
                    <w:rPr>
                      <w:rFonts w:hint="eastAsia"/>
                      <w:color w:val="auto"/>
                      <w:kern w:val="0"/>
                      <w:szCs w:val="21"/>
                    </w:rPr>
                  </w:pPr>
                  <w:r>
                    <w:rPr>
                      <w:color w:val="auto"/>
                      <w:kern w:val="0"/>
                      <w:szCs w:val="21"/>
                    </w:rPr>
                    <w:t>挖掘机</w:t>
                  </w:r>
                </w:p>
              </w:tc>
              <w:tc>
                <w:tcPr>
                  <w:tcW w:w="721" w:type="dxa"/>
                  <w:noWrap w:val="0"/>
                  <w:tcMar>
                    <w:left w:w="57" w:type="dxa"/>
                    <w:right w:w="57" w:type="dxa"/>
                  </w:tcMar>
                  <w:vAlign w:val="center"/>
                </w:tcPr>
                <w:p w14:paraId="3C76BAFA">
                  <w:pPr>
                    <w:widowControl/>
                    <w:spacing w:line="276" w:lineRule="auto"/>
                    <w:jc w:val="center"/>
                    <w:rPr>
                      <w:rFonts w:hint="eastAsia"/>
                      <w:color w:val="auto"/>
                      <w:kern w:val="0"/>
                      <w:szCs w:val="21"/>
                    </w:rPr>
                  </w:pPr>
                  <w:r>
                    <w:rPr>
                      <w:rFonts w:hint="eastAsia"/>
                      <w:color w:val="auto"/>
                      <w:kern w:val="0"/>
                      <w:szCs w:val="21"/>
                    </w:rPr>
                    <w:t>70</w:t>
                  </w:r>
                </w:p>
              </w:tc>
              <w:tc>
                <w:tcPr>
                  <w:tcW w:w="722" w:type="dxa"/>
                  <w:noWrap w:val="0"/>
                  <w:tcMar>
                    <w:left w:w="57" w:type="dxa"/>
                    <w:right w:w="57" w:type="dxa"/>
                  </w:tcMar>
                  <w:vAlign w:val="center"/>
                </w:tcPr>
                <w:p w14:paraId="4B10EF09">
                  <w:pPr>
                    <w:widowControl/>
                    <w:spacing w:line="276" w:lineRule="auto"/>
                    <w:jc w:val="center"/>
                    <w:rPr>
                      <w:rFonts w:hint="eastAsia"/>
                      <w:color w:val="auto"/>
                      <w:kern w:val="0"/>
                      <w:szCs w:val="21"/>
                    </w:rPr>
                  </w:pPr>
                  <w:r>
                    <w:rPr>
                      <w:rFonts w:hint="eastAsia"/>
                      <w:color w:val="auto"/>
                      <w:kern w:val="0"/>
                      <w:szCs w:val="21"/>
                    </w:rPr>
                    <w:t>66</w:t>
                  </w:r>
                </w:p>
              </w:tc>
              <w:tc>
                <w:tcPr>
                  <w:tcW w:w="722" w:type="dxa"/>
                  <w:noWrap w:val="0"/>
                  <w:tcMar>
                    <w:left w:w="57" w:type="dxa"/>
                    <w:right w:w="57" w:type="dxa"/>
                  </w:tcMar>
                  <w:vAlign w:val="center"/>
                </w:tcPr>
                <w:p w14:paraId="1AF5104C">
                  <w:pPr>
                    <w:widowControl/>
                    <w:spacing w:line="276" w:lineRule="auto"/>
                    <w:jc w:val="center"/>
                    <w:rPr>
                      <w:rFonts w:hint="eastAsia"/>
                      <w:color w:val="auto"/>
                      <w:kern w:val="0"/>
                      <w:szCs w:val="21"/>
                    </w:rPr>
                  </w:pPr>
                  <w:r>
                    <w:rPr>
                      <w:rFonts w:hint="eastAsia"/>
                      <w:color w:val="auto"/>
                      <w:kern w:val="0"/>
                      <w:szCs w:val="21"/>
                    </w:rPr>
                    <w:t>62</w:t>
                  </w:r>
                </w:p>
              </w:tc>
              <w:tc>
                <w:tcPr>
                  <w:tcW w:w="722" w:type="dxa"/>
                  <w:noWrap w:val="0"/>
                  <w:tcMar>
                    <w:left w:w="57" w:type="dxa"/>
                    <w:right w:w="57" w:type="dxa"/>
                  </w:tcMar>
                  <w:vAlign w:val="center"/>
                </w:tcPr>
                <w:p w14:paraId="1AFB960E">
                  <w:pPr>
                    <w:widowControl/>
                    <w:spacing w:line="276" w:lineRule="auto"/>
                    <w:jc w:val="center"/>
                    <w:rPr>
                      <w:rFonts w:hint="eastAsia"/>
                      <w:color w:val="auto"/>
                      <w:kern w:val="0"/>
                      <w:szCs w:val="21"/>
                    </w:rPr>
                  </w:pPr>
                  <w:r>
                    <w:rPr>
                      <w:rFonts w:hint="eastAsia"/>
                      <w:color w:val="auto"/>
                      <w:kern w:val="0"/>
                      <w:szCs w:val="21"/>
                    </w:rPr>
                    <w:t>56</w:t>
                  </w:r>
                </w:p>
              </w:tc>
              <w:tc>
                <w:tcPr>
                  <w:tcW w:w="722" w:type="dxa"/>
                  <w:noWrap w:val="0"/>
                  <w:tcMar>
                    <w:left w:w="57" w:type="dxa"/>
                    <w:right w:w="57" w:type="dxa"/>
                  </w:tcMar>
                  <w:vAlign w:val="center"/>
                </w:tcPr>
                <w:p w14:paraId="6FCC08B1">
                  <w:pPr>
                    <w:widowControl/>
                    <w:spacing w:line="276" w:lineRule="auto"/>
                    <w:jc w:val="center"/>
                    <w:rPr>
                      <w:rFonts w:hint="eastAsia"/>
                      <w:color w:val="auto"/>
                      <w:kern w:val="0"/>
                      <w:szCs w:val="21"/>
                    </w:rPr>
                  </w:pPr>
                  <w:r>
                    <w:rPr>
                      <w:rFonts w:hint="eastAsia"/>
                      <w:color w:val="auto"/>
                      <w:kern w:val="0"/>
                      <w:szCs w:val="21"/>
                    </w:rPr>
                    <w:t>52</w:t>
                  </w:r>
                </w:p>
              </w:tc>
              <w:tc>
                <w:tcPr>
                  <w:tcW w:w="722" w:type="dxa"/>
                  <w:noWrap w:val="0"/>
                  <w:tcMar>
                    <w:left w:w="57" w:type="dxa"/>
                    <w:right w:w="57" w:type="dxa"/>
                  </w:tcMar>
                  <w:vAlign w:val="center"/>
                </w:tcPr>
                <w:p w14:paraId="79BC00D7">
                  <w:pPr>
                    <w:widowControl/>
                    <w:spacing w:line="276" w:lineRule="auto"/>
                    <w:jc w:val="center"/>
                    <w:rPr>
                      <w:rFonts w:hint="eastAsia"/>
                      <w:color w:val="auto"/>
                      <w:kern w:val="0"/>
                      <w:szCs w:val="21"/>
                    </w:rPr>
                  </w:pPr>
                  <w:r>
                    <w:rPr>
                      <w:rFonts w:hint="eastAsia"/>
                      <w:color w:val="auto"/>
                      <w:kern w:val="0"/>
                      <w:szCs w:val="21"/>
                    </w:rPr>
                    <w:t>50</w:t>
                  </w:r>
                </w:p>
              </w:tc>
              <w:tc>
                <w:tcPr>
                  <w:tcW w:w="738" w:type="dxa"/>
                  <w:noWrap w:val="0"/>
                  <w:tcMar>
                    <w:left w:w="57" w:type="dxa"/>
                    <w:right w:w="57" w:type="dxa"/>
                  </w:tcMar>
                  <w:vAlign w:val="center"/>
                </w:tcPr>
                <w:p w14:paraId="357C23FB">
                  <w:pPr>
                    <w:widowControl/>
                    <w:spacing w:line="276" w:lineRule="auto"/>
                    <w:jc w:val="center"/>
                    <w:rPr>
                      <w:rFonts w:hint="eastAsia"/>
                      <w:color w:val="auto"/>
                      <w:kern w:val="0"/>
                      <w:szCs w:val="21"/>
                    </w:rPr>
                  </w:pPr>
                  <w:r>
                    <w:rPr>
                      <w:rFonts w:hint="eastAsia"/>
                      <w:color w:val="auto"/>
                      <w:kern w:val="0"/>
                      <w:szCs w:val="21"/>
                    </w:rPr>
                    <w:t>48</w:t>
                  </w:r>
                </w:p>
              </w:tc>
              <w:tc>
                <w:tcPr>
                  <w:tcW w:w="1114" w:type="dxa"/>
                  <w:vMerge w:val="continue"/>
                  <w:noWrap w:val="0"/>
                  <w:tcMar>
                    <w:left w:w="57" w:type="dxa"/>
                    <w:right w:w="57" w:type="dxa"/>
                  </w:tcMar>
                  <w:vAlign w:val="center"/>
                </w:tcPr>
                <w:p w14:paraId="03E90085">
                  <w:pPr>
                    <w:widowControl/>
                    <w:spacing w:line="276" w:lineRule="auto"/>
                    <w:jc w:val="center"/>
                    <w:rPr>
                      <w:rFonts w:hint="eastAsia"/>
                      <w:color w:val="auto"/>
                      <w:kern w:val="0"/>
                      <w:szCs w:val="21"/>
                    </w:rPr>
                  </w:pPr>
                </w:p>
              </w:tc>
            </w:tr>
            <w:tr w14:paraId="2CED0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7" w:hRule="atLeast"/>
                <w:jc w:val="center"/>
              </w:trPr>
              <w:tc>
                <w:tcPr>
                  <w:tcW w:w="705" w:type="dxa"/>
                  <w:noWrap w:val="0"/>
                  <w:vAlign w:val="center"/>
                </w:tcPr>
                <w:p w14:paraId="1959C04B">
                  <w:pPr>
                    <w:widowControl/>
                    <w:spacing w:line="276" w:lineRule="auto"/>
                    <w:jc w:val="center"/>
                    <w:rPr>
                      <w:rFonts w:hint="eastAsia"/>
                      <w:color w:val="auto"/>
                      <w:kern w:val="0"/>
                      <w:szCs w:val="21"/>
                    </w:rPr>
                  </w:pPr>
                  <w:r>
                    <w:rPr>
                      <w:rFonts w:hint="eastAsia"/>
                      <w:color w:val="auto"/>
                      <w:kern w:val="0"/>
                      <w:szCs w:val="21"/>
                    </w:rPr>
                    <w:t>5</w:t>
                  </w:r>
                </w:p>
              </w:tc>
              <w:tc>
                <w:tcPr>
                  <w:tcW w:w="1581" w:type="dxa"/>
                  <w:noWrap w:val="0"/>
                  <w:vAlign w:val="center"/>
                </w:tcPr>
                <w:p w14:paraId="0F6278A1">
                  <w:pPr>
                    <w:widowControl/>
                    <w:spacing w:line="276" w:lineRule="auto"/>
                    <w:jc w:val="center"/>
                    <w:rPr>
                      <w:rFonts w:hint="eastAsia"/>
                      <w:color w:val="auto"/>
                      <w:kern w:val="0"/>
                      <w:szCs w:val="21"/>
                    </w:rPr>
                  </w:pPr>
                  <w:r>
                    <w:rPr>
                      <w:rFonts w:hint="eastAsia"/>
                      <w:color w:val="auto"/>
                      <w:kern w:val="0"/>
                      <w:szCs w:val="21"/>
                    </w:rPr>
                    <w:t>打桩机</w:t>
                  </w:r>
                </w:p>
              </w:tc>
              <w:tc>
                <w:tcPr>
                  <w:tcW w:w="721" w:type="dxa"/>
                  <w:noWrap w:val="0"/>
                  <w:tcMar>
                    <w:left w:w="57" w:type="dxa"/>
                    <w:right w:w="57" w:type="dxa"/>
                  </w:tcMar>
                  <w:vAlign w:val="center"/>
                </w:tcPr>
                <w:p w14:paraId="73DF4C4B">
                  <w:pPr>
                    <w:widowControl/>
                    <w:jc w:val="center"/>
                    <w:textAlignment w:val="center"/>
                    <w:rPr>
                      <w:rFonts w:hint="eastAsia"/>
                      <w:color w:val="auto"/>
                      <w:kern w:val="0"/>
                      <w:szCs w:val="21"/>
                    </w:rPr>
                  </w:pPr>
                  <w:r>
                    <w:rPr>
                      <w:color w:val="auto"/>
                      <w:kern w:val="0"/>
                      <w:szCs w:val="21"/>
                      <w:lang w:bidi="ar"/>
                    </w:rPr>
                    <w:t>83~93</w:t>
                  </w:r>
                </w:p>
              </w:tc>
              <w:tc>
                <w:tcPr>
                  <w:tcW w:w="722" w:type="dxa"/>
                  <w:noWrap w:val="0"/>
                  <w:tcMar>
                    <w:left w:w="57" w:type="dxa"/>
                    <w:right w:w="57" w:type="dxa"/>
                  </w:tcMar>
                  <w:vAlign w:val="center"/>
                </w:tcPr>
                <w:p w14:paraId="52682A8D">
                  <w:pPr>
                    <w:widowControl/>
                    <w:jc w:val="center"/>
                    <w:textAlignment w:val="center"/>
                    <w:rPr>
                      <w:rFonts w:hint="eastAsia"/>
                      <w:color w:val="auto"/>
                      <w:kern w:val="0"/>
                      <w:szCs w:val="21"/>
                    </w:rPr>
                  </w:pPr>
                  <w:r>
                    <w:rPr>
                      <w:color w:val="auto"/>
                      <w:kern w:val="0"/>
                      <w:szCs w:val="21"/>
                      <w:lang w:bidi="ar"/>
                    </w:rPr>
                    <w:t>79~89</w:t>
                  </w:r>
                </w:p>
              </w:tc>
              <w:tc>
                <w:tcPr>
                  <w:tcW w:w="722" w:type="dxa"/>
                  <w:noWrap w:val="0"/>
                  <w:tcMar>
                    <w:left w:w="57" w:type="dxa"/>
                    <w:right w:w="57" w:type="dxa"/>
                  </w:tcMar>
                  <w:vAlign w:val="center"/>
                </w:tcPr>
                <w:p w14:paraId="14EAF7CF">
                  <w:pPr>
                    <w:widowControl/>
                    <w:jc w:val="center"/>
                    <w:textAlignment w:val="center"/>
                    <w:rPr>
                      <w:rFonts w:hint="eastAsia"/>
                      <w:color w:val="auto"/>
                      <w:kern w:val="0"/>
                      <w:szCs w:val="21"/>
                    </w:rPr>
                  </w:pPr>
                  <w:r>
                    <w:rPr>
                      <w:color w:val="auto"/>
                      <w:kern w:val="0"/>
                      <w:szCs w:val="21"/>
                      <w:lang w:bidi="ar"/>
                    </w:rPr>
                    <w:t>75~85</w:t>
                  </w:r>
                </w:p>
              </w:tc>
              <w:tc>
                <w:tcPr>
                  <w:tcW w:w="722" w:type="dxa"/>
                  <w:noWrap w:val="0"/>
                  <w:tcMar>
                    <w:left w:w="57" w:type="dxa"/>
                    <w:right w:w="57" w:type="dxa"/>
                  </w:tcMar>
                  <w:vAlign w:val="center"/>
                </w:tcPr>
                <w:p w14:paraId="06AE310F">
                  <w:pPr>
                    <w:widowControl/>
                    <w:jc w:val="center"/>
                    <w:textAlignment w:val="center"/>
                    <w:rPr>
                      <w:rFonts w:hint="eastAsia"/>
                      <w:color w:val="auto"/>
                      <w:kern w:val="0"/>
                      <w:szCs w:val="21"/>
                    </w:rPr>
                  </w:pPr>
                  <w:r>
                    <w:rPr>
                      <w:color w:val="auto"/>
                      <w:kern w:val="0"/>
                      <w:szCs w:val="21"/>
                      <w:lang w:bidi="ar"/>
                    </w:rPr>
                    <w:t>69~79</w:t>
                  </w:r>
                </w:p>
              </w:tc>
              <w:tc>
                <w:tcPr>
                  <w:tcW w:w="722" w:type="dxa"/>
                  <w:noWrap w:val="0"/>
                  <w:tcMar>
                    <w:left w:w="57" w:type="dxa"/>
                    <w:right w:w="57" w:type="dxa"/>
                  </w:tcMar>
                  <w:vAlign w:val="center"/>
                </w:tcPr>
                <w:p w14:paraId="54FE6683">
                  <w:pPr>
                    <w:widowControl/>
                    <w:jc w:val="center"/>
                    <w:textAlignment w:val="center"/>
                    <w:rPr>
                      <w:rFonts w:hint="eastAsia"/>
                      <w:color w:val="auto"/>
                      <w:kern w:val="0"/>
                      <w:szCs w:val="21"/>
                    </w:rPr>
                  </w:pPr>
                  <w:r>
                    <w:rPr>
                      <w:color w:val="auto"/>
                      <w:kern w:val="0"/>
                      <w:szCs w:val="21"/>
                      <w:lang w:bidi="ar"/>
                    </w:rPr>
                    <w:t>65~75</w:t>
                  </w:r>
                </w:p>
              </w:tc>
              <w:tc>
                <w:tcPr>
                  <w:tcW w:w="722" w:type="dxa"/>
                  <w:noWrap w:val="0"/>
                  <w:tcMar>
                    <w:left w:w="57" w:type="dxa"/>
                    <w:right w:w="57" w:type="dxa"/>
                  </w:tcMar>
                  <w:vAlign w:val="center"/>
                </w:tcPr>
                <w:p w14:paraId="3A9C92D2">
                  <w:pPr>
                    <w:widowControl/>
                    <w:jc w:val="center"/>
                    <w:textAlignment w:val="center"/>
                    <w:rPr>
                      <w:rFonts w:hint="eastAsia"/>
                      <w:color w:val="auto"/>
                      <w:kern w:val="0"/>
                      <w:szCs w:val="21"/>
                    </w:rPr>
                  </w:pPr>
                  <w:r>
                    <w:rPr>
                      <w:color w:val="auto"/>
                      <w:kern w:val="0"/>
                      <w:szCs w:val="21"/>
                      <w:lang w:bidi="ar"/>
                    </w:rPr>
                    <w:t>63~73</w:t>
                  </w:r>
                </w:p>
              </w:tc>
              <w:tc>
                <w:tcPr>
                  <w:tcW w:w="738" w:type="dxa"/>
                  <w:noWrap w:val="0"/>
                  <w:tcMar>
                    <w:left w:w="57" w:type="dxa"/>
                    <w:right w:w="57" w:type="dxa"/>
                  </w:tcMar>
                  <w:vAlign w:val="center"/>
                </w:tcPr>
                <w:p w14:paraId="2B51E084">
                  <w:pPr>
                    <w:widowControl/>
                    <w:jc w:val="center"/>
                    <w:textAlignment w:val="center"/>
                    <w:rPr>
                      <w:rFonts w:hint="eastAsia"/>
                      <w:color w:val="auto"/>
                      <w:kern w:val="0"/>
                      <w:szCs w:val="21"/>
                    </w:rPr>
                  </w:pPr>
                  <w:r>
                    <w:rPr>
                      <w:color w:val="auto"/>
                      <w:kern w:val="0"/>
                      <w:szCs w:val="21"/>
                      <w:lang w:bidi="ar"/>
                    </w:rPr>
                    <w:t>61~71</w:t>
                  </w:r>
                </w:p>
              </w:tc>
              <w:tc>
                <w:tcPr>
                  <w:tcW w:w="1114" w:type="dxa"/>
                  <w:vMerge w:val="restart"/>
                  <w:noWrap w:val="0"/>
                  <w:tcMar>
                    <w:left w:w="57" w:type="dxa"/>
                    <w:right w:w="57" w:type="dxa"/>
                  </w:tcMar>
                  <w:vAlign w:val="center"/>
                </w:tcPr>
                <w:p w14:paraId="3B0117C9">
                  <w:pPr>
                    <w:autoSpaceDE w:val="0"/>
                    <w:autoSpaceDN w:val="0"/>
                    <w:adjustRightInd w:val="0"/>
                    <w:snapToGrid w:val="0"/>
                    <w:jc w:val="center"/>
                    <w:rPr>
                      <w:rFonts w:hint="eastAsia"/>
                      <w:color w:val="auto"/>
                      <w:kern w:val="0"/>
                      <w:szCs w:val="21"/>
                    </w:rPr>
                  </w:pPr>
                  <w:r>
                    <w:rPr>
                      <w:color w:val="auto"/>
                      <w:szCs w:val="21"/>
                    </w:rPr>
                    <w:t>结构阶段</w:t>
                  </w:r>
                </w:p>
              </w:tc>
            </w:tr>
            <w:tr w14:paraId="1B370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7" w:hRule="atLeast"/>
                <w:jc w:val="center"/>
              </w:trPr>
              <w:tc>
                <w:tcPr>
                  <w:tcW w:w="705" w:type="dxa"/>
                  <w:noWrap w:val="0"/>
                  <w:vAlign w:val="center"/>
                </w:tcPr>
                <w:p w14:paraId="03DFEA91">
                  <w:pPr>
                    <w:widowControl/>
                    <w:spacing w:line="276" w:lineRule="auto"/>
                    <w:jc w:val="center"/>
                    <w:rPr>
                      <w:rFonts w:hint="eastAsia"/>
                      <w:color w:val="auto"/>
                      <w:kern w:val="0"/>
                      <w:szCs w:val="21"/>
                    </w:rPr>
                  </w:pPr>
                  <w:r>
                    <w:rPr>
                      <w:rFonts w:hint="eastAsia"/>
                      <w:color w:val="auto"/>
                      <w:kern w:val="0"/>
                      <w:szCs w:val="21"/>
                    </w:rPr>
                    <w:t>6</w:t>
                  </w:r>
                </w:p>
              </w:tc>
              <w:tc>
                <w:tcPr>
                  <w:tcW w:w="1581" w:type="dxa"/>
                  <w:noWrap w:val="0"/>
                  <w:vAlign w:val="center"/>
                </w:tcPr>
                <w:p w14:paraId="73017FAA">
                  <w:pPr>
                    <w:widowControl/>
                    <w:spacing w:line="276" w:lineRule="auto"/>
                    <w:jc w:val="center"/>
                    <w:rPr>
                      <w:rFonts w:hint="eastAsia"/>
                      <w:color w:val="auto"/>
                      <w:kern w:val="0"/>
                      <w:szCs w:val="21"/>
                    </w:rPr>
                  </w:pPr>
                  <w:r>
                    <w:rPr>
                      <w:rFonts w:hint="eastAsia"/>
                      <w:color w:val="auto"/>
                      <w:kern w:val="0"/>
                      <w:szCs w:val="21"/>
                    </w:rPr>
                    <w:t>混凝土搅拌车</w:t>
                  </w:r>
                </w:p>
              </w:tc>
              <w:tc>
                <w:tcPr>
                  <w:tcW w:w="721" w:type="dxa"/>
                  <w:noWrap w:val="0"/>
                  <w:tcMar>
                    <w:left w:w="57" w:type="dxa"/>
                    <w:right w:w="57" w:type="dxa"/>
                  </w:tcMar>
                  <w:vAlign w:val="center"/>
                </w:tcPr>
                <w:p w14:paraId="2FE3349A">
                  <w:pPr>
                    <w:widowControl/>
                    <w:jc w:val="center"/>
                    <w:textAlignment w:val="center"/>
                    <w:rPr>
                      <w:rFonts w:hint="eastAsia"/>
                      <w:color w:val="auto"/>
                      <w:kern w:val="0"/>
                      <w:szCs w:val="21"/>
                    </w:rPr>
                  </w:pPr>
                  <w:r>
                    <w:rPr>
                      <w:color w:val="auto"/>
                      <w:kern w:val="0"/>
                      <w:szCs w:val="21"/>
                      <w:lang w:bidi="ar"/>
                    </w:rPr>
                    <w:t>70~72</w:t>
                  </w:r>
                </w:p>
              </w:tc>
              <w:tc>
                <w:tcPr>
                  <w:tcW w:w="722" w:type="dxa"/>
                  <w:noWrap w:val="0"/>
                  <w:tcMar>
                    <w:left w:w="57" w:type="dxa"/>
                    <w:right w:w="57" w:type="dxa"/>
                  </w:tcMar>
                  <w:vAlign w:val="center"/>
                </w:tcPr>
                <w:p w14:paraId="0288BA81">
                  <w:pPr>
                    <w:widowControl/>
                    <w:jc w:val="center"/>
                    <w:textAlignment w:val="center"/>
                    <w:rPr>
                      <w:rFonts w:hint="eastAsia"/>
                      <w:color w:val="auto"/>
                      <w:kern w:val="0"/>
                      <w:szCs w:val="21"/>
                    </w:rPr>
                  </w:pPr>
                  <w:r>
                    <w:rPr>
                      <w:color w:val="auto"/>
                      <w:kern w:val="0"/>
                      <w:szCs w:val="21"/>
                      <w:lang w:bidi="ar"/>
                    </w:rPr>
                    <w:t>66~68</w:t>
                  </w:r>
                </w:p>
              </w:tc>
              <w:tc>
                <w:tcPr>
                  <w:tcW w:w="722" w:type="dxa"/>
                  <w:noWrap w:val="0"/>
                  <w:tcMar>
                    <w:left w:w="57" w:type="dxa"/>
                    <w:right w:w="57" w:type="dxa"/>
                  </w:tcMar>
                  <w:vAlign w:val="center"/>
                </w:tcPr>
                <w:p w14:paraId="2E37AA2E">
                  <w:pPr>
                    <w:widowControl/>
                    <w:jc w:val="center"/>
                    <w:textAlignment w:val="center"/>
                    <w:rPr>
                      <w:rFonts w:hint="eastAsia"/>
                      <w:color w:val="auto"/>
                      <w:kern w:val="0"/>
                      <w:szCs w:val="21"/>
                    </w:rPr>
                  </w:pPr>
                  <w:r>
                    <w:rPr>
                      <w:color w:val="auto"/>
                      <w:kern w:val="0"/>
                      <w:szCs w:val="21"/>
                      <w:lang w:bidi="ar"/>
                    </w:rPr>
                    <w:t>62~64</w:t>
                  </w:r>
                </w:p>
              </w:tc>
              <w:tc>
                <w:tcPr>
                  <w:tcW w:w="722" w:type="dxa"/>
                  <w:noWrap w:val="0"/>
                  <w:tcMar>
                    <w:left w:w="57" w:type="dxa"/>
                    <w:right w:w="57" w:type="dxa"/>
                  </w:tcMar>
                  <w:vAlign w:val="center"/>
                </w:tcPr>
                <w:p w14:paraId="4498640F">
                  <w:pPr>
                    <w:widowControl/>
                    <w:jc w:val="center"/>
                    <w:textAlignment w:val="center"/>
                    <w:rPr>
                      <w:rFonts w:hint="eastAsia"/>
                      <w:color w:val="auto"/>
                      <w:kern w:val="0"/>
                      <w:szCs w:val="21"/>
                    </w:rPr>
                  </w:pPr>
                  <w:r>
                    <w:rPr>
                      <w:color w:val="auto"/>
                      <w:kern w:val="0"/>
                      <w:szCs w:val="21"/>
                      <w:lang w:bidi="ar"/>
                    </w:rPr>
                    <w:t>56~58</w:t>
                  </w:r>
                </w:p>
              </w:tc>
              <w:tc>
                <w:tcPr>
                  <w:tcW w:w="722" w:type="dxa"/>
                  <w:noWrap w:val="0"/>
                  <w:tcMar>
                    <w:left w:w="57" w:type="dxa"/>
                    <w:right w:w="57" w:type="dxa"/>
                  </w:tcMar>
                  <w:vAlign w:val="center"/>
                </w:tcPr>
                <w:p w14:paraId="58BC0FDA">
                  <w:pPr>
                    <w:widowControl/>
                    <w:jc w:val="center"/>
                    <w:textAlignment w:val="center"/>
                    <w:rPr>
                      <w:rFonts w:hint="eastAsia"/>
                      <w:color w:val="auto"/>
                      <w:kern w:val="0"/>
                      <w:szCs w:val="21"/>
                    </w:rPr>
                  </w:pPr>
                  <w:r>
                    <w:rPr>
                      <w:color w:val="auto"/>
                      <w:kern w:val="0"/>
                      <w:szCs w:val="21"/>
                      <w:lang w:bidi="ar"/>
                    </w:rPr>
                    <w:t>52~54</w:t>
                  </w:r>
                </w:p>
              </w:tc>
              <w:tc>
                <w:tcPr>
                  <w:tcW w:w="722" w:type="dxa"/>
                  <w:noWrap w:val="0"/>
                  <w:tcMar>
                    <w:left w:w="57" w:type="dxa"/>
                    <w:right w:w="57" w:type="dxa"/>
                  </w:tcMar>
                  <w:vAlign w:val="center"/>
                </w:tcPr>
                <w:p w14:paraId="6D7A6003">
                  <w:pPr>
                    <w:widowControl/>
                    <w:jc w:val="center"/>
                    <w:textAlignment w:val="center"/>
                    <w:rPr>
                      <w:rFonts w:hint="eastAsia"/>
                      <w:color w:val="auto"/>
                      <w:kern w:val="0"/>
                      <w:szCs w:val="21"/>
                    </w:rPr>
                  </w:pPr>
                  <w:r>
                    <w:rPr>
                      <w:color w:val="auto"/>
                      <w:kern w:val="0"/>
                      <w:szCs w:val="21"/>
                      <w:lang w:bidi="ar"/>
                    </w:rPr>
                    <w:t>50~52</w:t>
                  </w:r>
                </w:p>
              </w:tc>
              <w:tc>
                <w:tcPr>
                  <w:tcW w:w="738" w:type="dxa"/>
                  <w:noWrap w:val="0"/>
                  <w:tcMar>
                    <w:left w:w="57" w:type="dxa"/>
                    <w:right w:w="57" w:type="dxa"/>
                  </w:tcMar>
                  <w:vAlign w:val="center"/>
                </w:tcPr>
                <w:p w14:paraId="7C20B471">
                  <w:pPr>
                    <w:widowControl/>
                    <w:jc w:val="center"/>
                    <w:textAlignment w:val="center"/>
                    <w:rPr>
                      <w:rFonts w:hint="eastAsia"/>
                      <w:color w:val="auto"/>
                      <w:kern w:val="0"/>
                      <w:szCs w:val="21"/>
                    </w:rPr>
                  </w:pPr>
                  <w:r>
                    <w:rPr>
                      <w:color w:val="auto"/>
                      <w:kern w:val="0"/>
                      <w:szCs w:val="21"/>
                      <w:lang w:bidi="ar"/>
                    </w:rPr>
                    <w:t>48~50</w:t>
                  </w:r>
                </w:p>
              </w:tc>
              <w:tc>
                <w:tcPr>
                  <w:tcW w:w="1114" w:type="dxa"/>
                  <w:vMerge w:val="continue"/>
                  <w:noWrap w:val="0"/>
                  <w:tcMar>
                    <w:left w:w="57" w:type="dxa"/>
                    <w:right w:w="57" w:type="dxa"/>
                  </w:tcMar>
                  <w:vAlign w:val="center"/>
                </w:tcPr>
                <w:p w14:paraId="0F40B326">
                  <w:pPr>
                    <w:widowControl/>
                    <w:spacing w:line="276" w:lineRule="auto"/>
                    <w:jc w:val="center"/>
                    <w:rPr>
                      <w:rFonts w:hint="eastAsia"/>
                      <w:color w:val="auto"/>
                      <w:kern w:val="0"/>
                      <w:szCs w:val="21"/>
                    </w:rPr>
                  </w:pPr>
                </w:p>
              </w:tc>
            </w:tr>
            <w:tr w14:paraId="47A59F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7" w:hRule="atLeast"/>
                <w:jc w:val="center"/>
              </w:trPr>
              <w:tc>
                <w:tcPr>
                  <w:tcW w:w="705" w:type="dxa"/>
                  <w:noWrap w:val="0"/>
                  <w:vAlign w:val="center"/>
                </w:tcPr>
                <w:p w14:paraId="32775703">
                  <w:pPr>
                    <w:widowControl/>
                    <w:spacing w:line="276" w:lineRule="auto"/>
                    <w:jc w:val="center"/>
                    <w:rPr>
                      <w:rFonts w:hint="eastAsia"/>
                      <w:color w:val="auto"/>
                      <w:kern w:val="0"/>
                      <w:szCs w:val="21"/>
                    </w:rPr>
                  </w:pPr>
                  <w:r>
                    <w:rPr>
                      <w:rFonts w:hint="eastAsia"/>
                      <w:color w:val="auto"/>
                      <w:kern w:val="0"/>
                      <w:szCs w:val="21"/>
                    </w:rPr>
                    <w:t>7</w:t>
                  </w:r>
                </w:p>
              </w:tc>
              <w:tc>
                <w:tcPr>
                  <w:tcW w:w="1581" w:type="dxa"/>
                  <w:noWrap w:val="0"/>
                  <w:vAlign w:val="center"/>
                </w:tcPr>
                <w:p w14:paraId="00F9117E">
                  <w:pPr>
                    <w:widowControl/>
                    <w:spacing w:line="276" w:lineRule="auto"/>
                    <w:jc w:val="center"/>
                    <w:rPr>
                      <w:rFonts w:hint="eastAsia"/>
                      <w:color w:val="auto"/>
                      <w:kern w:val="0"/>
                      <w:szCs w:val="21"/>
                    </w:rPr>
                  </w:pPr>
                  <w:r>
                    <w:rPr>
                      <w:rFonts w:hint="eastAsia"/>
                      <w:color w:val="auto"/>
                      <w:kern w:val="0"/>
                      <w:szCs w:val="21"/>
                    </w:rPr>
                    <w:t>混凝土振捣器</w:t>
                  </w:r>
                </w:p>
              </w:tc>
              <w:tc>
                <w:tcPr>
                  <w:tcW w:w="721" w:type="dxa"/>
                  <w:noWrap w:val="0"/>
                  <w:tcMar>
                    <w:left w:w="57" w:type="dxa"/>
                    <w:right w:w="57" w:type="dxa"/>
                  </w:tcMar>
                  <w:vAlign w:val="center"/>
                </w:tcPr>
                <w:p w14:paraId="7590FF25">
                  <w:pPr>
                    <w:widowControl/>
                    <w:jc w:val="center"/>
                    <w:textAlignment w:val="center"/>
                    <w:rPr>
                      <w:rFonts w:hint="eastAsia"/>
                      <w:color w:val="auto"/>
                      <w:kern w:val="0"/>
                      <w:szCs w:val="21"/>
                    </w:rPr>
                  </w:pPr>
                  <w:r>
                    <w:rPr>
                      <w:color w:val="auto"/>
                      <w:kern w:val="0"/>
                      <w:szCs w:val="21"/>
                      <w:lang w:bidi="ar"/>
                    </w:rPr>
                    <w:t>63~72</w:t>
                  </w:r>
                </w:p>
              </w:tc>
              <w:tc>
                <w:tcPr>
                  <w:tcW w:w="722" w:type="dxa"/>
                  <w:noWrap w:val="0"/>
                  <w:tcMar>
                    <w:left w:w="57" w:type="dxa"/>
                    <w:right w:w="57" w:type="dxa"/>
                  </w:tcMar>
                  <w:vAlign w:val="center"/>
                </w:tcPr>
                <w:p w14:paraId="5FB8A3A7">
                  <w:pPr>
                    <w:widowControl/>
                    <w:jc w:val="center"/>
                    <w:textAlignment w:val="center"/>
                    <w:rPr>
                      <w:rFonts w:hint="eastAsia"/>
                      <w:color w:val="auto"/>
                      <w:kern w:val="0"/>
                      <w:szCs w:val="21"/>
                    </w:rPr>
                  </w:pPr>
                  <w:r>
                    <w:rPr>
                      <w:color w:val="auto"/>
                      <w:kern w:val="0"/>
                      <w:szCs w:val="21"/>
                      <w:lang w:bidi="ar"/>
                    </w:rPr>
                    <w:t>59~68</w:t>
                  </w:r>
                </w:p>
              </w:tc>
              <w:tc>
                <w:tcPr>
                  <w:tcW w:w="722" w:type="dxa"/>
                  <w:noWrap w:val="0"/>
                  <w:tcMar>
                    <w:left w:w="57" w:type="dxa"/>
                    <w:right w:w="57" w:type="dxa"/>
                  </w:tcMar>
                  <w:vAlign w:val="center"/>
                </w:tcPr>
                <w:p w14:paraId="3DFF21BA">
                  <w:pPr>
                    <w:widowControl/>
                    <w:jc w:val="center"/>
                    <w:textAlignment w:val="center"/>
                    <w:rPr>
                      <w:rFonts w:hint="eastAsia"/>
                      <w:color w:val="auto"/>
                      <w:kern w:val="0"/>
                      <w:szCs w:val="21"/>
                    </w:rPr>
                  </w:pPr>
                  <w:r>
                    <w:rPr>
                      <w:color w:val="auto"/>
                      <w:kern w:val="0"/>
                      <w:szCs w:val="21"/>
                      <w:lang w:bidi="ar"/>
                    </w:rPr>
                    <w:t>55~64</w:t>
                  </w:r>
                </w:p>
              </w:tc>
              <w:tc>
                <w:tcPr>
                  <w:tcW w:w="722" w:type="dxa"/>
                  <w:noWrap w:val="0"/>
                  <w:tcMar>
                    <w:left w:w="57" w:type="dxa"/>
                    <w:right w:w="57" w:type="dxa"/>
                  </w:tcMar>
                  <w:vAlign w:val="center"/>
                </w:tcPr>
                <w:p w14:paraId="49BD2C27">
                  <w:pPr>
                    <w:widowControl/>
                    <w:jc w:val="center"/>
                    <w:textAlignment w:val="center"/>
                    <w:rPr>
                      <w:rFonts w:hint="eastAsia"/>
                      <w:color w:val="auto"/>
                      <w:kern w:val="0"/>
                      <w:szCs w:val="21"/>
                    </w:rPr>
                  </w:pPr>
                  <w:r>
                    <w:rPr>
                      <w:color w:val="auto"/>
                      <w:kern w:val="0"/>
                      <w:szCs w:val="21"/>
                      <w:lang w:bidi="ar"/>
                    </w:rPr>
                    <w:t>49~58</w:t>
                  </w:r>
                </w:p>
              </w:tc>
              <w:tc>
                <w:tcPr>
                  <w:tcW w:w="722" w:type="dxa"/>
                  <w:noWrap w:val="0"/>
                  <w:tcMar>
                    <w:left w:w="57" w:type="dxa"/>
                    <w:right w:w="57" w:type="dxa"/>
                  </w:tcMar>
                  <w:vAlign w:val="center"/>
                </w:tcPr>
                <w:p w14:paraId="45F57222">
                  <w:pPr>
                    <w:widowControl/>
                    <w:jc w:val="center"/>
                    <w:textAlignment w:val="center"/>
                    <w:rPr>
                      <w:rFonts w:hint="eastAsia"/>
                      <w:color w:val="auto"/>
                      <w:kern w:val="0"/>
                      <w:szCs w:val="21"/>
                    </w:rPr>
                  </w:pPr>
                  <w:r>
                    <w:rPr>
                      <w:color w:val="auto"/>
                      <w:kern w:val="0"/>
                      <w:szCs w:val="21"/>
                      <w:lang w:bidi="ar"/>
                    </w:rPr>
                    <w:t>45~54</w:t>
                  </w:r>
                </w:p>
              </w:tc>
              <w:tc>
                <w:tcPr>
                  <w:tcW w:w="722" w:type="dxa"/>
                  <w:noWrap w:val="0"/>
                  <w:tcMar>
                    <w:left w:w="57" w:type="dxa"/>
                    <w:right w:w="57" w:type="dxa"/>
                  </w:tcMar>
                  <w:vAlign w:val="center"/>
                </w:tcPr>
                <w:p w14:paraId="76176E52">
                  <w:pPr>
                    <w:widowControl/>
                    <w:jc w:val="center"/>
                    <w:textAlignment w:val="center"/>
                    <w:rPr>
                      <w:rFonts w:hint="eastAsia"/>
                      <w:color w:val="auto"/>
                      <w:kern w:val="0"/>
                      <w:szCs w:val="21"/>
                    </w:rPr>
                  </w:pPr>
                  <w:r>
                    <w:rPr>
                      <w:color w:val="auto"/>
                      <w:kern w:val="0"/>
                      <w:szCs w:val="21"/>
                      <w:lang w:bidi="ar"/>
                    </w:rPr>
                    <w:t>43~52</w:t>
                  </w:r>
                </w:p>
              </w:tc>
              <w:tc>
                <w:tcPr>
                  <w:tcW w:w="738" w:type="dxa"/>
                  <w:noWrap w:val="0"/>
                  <w:tcMar>
                    <w:left w:w="57" w:type="dxa"/>
                    <w:right w:w="57" w:type="dxa"/>
                  </w:tcMar>
                  <w:vAlign w:val="center"/>
                </w:tcPr>
                <w:p w14:paraId="7BB21618">
                  <w:pPr>
                    <w:widowControl/>
                    <w:jc w:val="center"/>
                    <w:textAlignment w:val="center"/>
                    <w:rPr>
                      <w:rFonts w:hint="eastAsia"/>
                      <w:color w:val="auto"/>
                      <w:kern w:val="0"/>
                      <w:szCs w:val="21"/>
                    </w:rPr>
                  </w:pPr>
                  <w:r>
                    <w:rPr>
                      <w:color w:val="auto"/>
                      <w:kern w:val="0"/>
                      <w:szCs w:val="21"/>
                      <w:lang w:bidi="ar"/>
                    </w:rPr>
                    <w:t>41~50</w:t>
                  </w:r>
                </w:p>
              </w:tc>
              <w:tc>
                <w:tcPr>
                  <w:tcW w:w="1114" w:type="dxa"/>
                  <w:vMerge w:val="continue"/>
                  <w:noWrap w:val="0"/>
                  <w:tcMar>
                    <w:left w:w="57" w:type="dxa"/>
                    <w:right w:w="57" w:type="dxa"/>
                  </w:tcMar>
                  <w:vAlign w:val="center"/>
                </w:tcPr>
                <w:p w14:paraId="7FB43724">
                  <w:pPr>
                    <w:widowControl/>
                    <w:spacing w:line="276" w:lineRule="auto"/>
                    <w:jc w:val="center"/>
                    <w:rPr>
                      <w:rFonts w:hint="eastAsia"/>
                      <w:color w:val="auto"/>
                      <w:kern w:val="0"/>
                      <w:szCs w:val="21"/>
                    </w:rPr>
                  </w:pPr>
                </w:p>
              </w:tc>
            </w:tr>
            <w:tr w14:paraId="0D1A8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7" w:hRule="atLeast"/>
                <w:jc w:val="center"/>
              </w:trPr>
              <w:tc>
                <w:tcPr>
                  <w:tcW w:w="705" w:type="dxa"/>
                  <w:noWrap w:val="0"/>
                  <w:vAlign w:val="center"/>
                </w:tcPr>
                <w:p w14:paraId="120728C2">
                  <w:pPr>
                    <w:widowControl/>
                    <w:spacing w:line="276" w:lineRule="auto"/>
                    <w:jc w:val="center"/>
                    <w:rPr>
                      <w:rFonts w:hint="eastAsia"/>
                      <w:color w:val="auto"/>
                      <w:kern w:val="0"/>
                      <w:szCs w:val="21"/>
                    </w:rPr>
                  </w:pPr>
                  <w:r>
                    <w:rPr>
                      <w:rFonts w:hint="eastAsia"/>
                      <w:color w:val="auto"/>
                      <w:kern w:val="0"/>
                      <w:szCs w:val="21"/>
                    </w:rPr>
                    <w:t>8</w:t>
                  </w:r>
                </w:p>
              </w:tc>
              <w:tc>
                <w:tcPr>
                  <w:tcW w:w="1581" w:type="dxa"/>
                  <w:noWrap w:val="0"/>
                  <w:vAlign w:val="center"/>
                </w:tcPr>
                <w:p w14:paraId="2CED365A">
                  <w:pPr>
                    <w:widowControl/>
                    <w:spacing w:line="276" w:lineRule="auto"/>
                    <w:jc w:val="center"/>
                    <w:rPr>
                      <w:rFonts w:hint="eastAsia"/>
                      <w:color w:val="auto"/>
                      <w:kern w:val="0"/>
                      <w:szCs w:val="21"/>
                    </w:rPr>
                  </w:pPr>
                  <w:r>
                    <w:rPr>
                      <w:rFonts w:hint="eastAsia"/>
                      <w:color w:val="auto"/>
                      <w:kern w:val="0"/>
                      <w:szCs w:val="21"/>
                    </w:rPr>
                    <w:t>云石机、角磨机</w:t>
                  </w:r>
                </w:p>
              </w:tc>
              <w:tc>
                <w:tcPr>
                  <w:tcW w:w="721" w:type="dxa"/>
                  <w:noWrap w:val="0"/>
                  <w:tcMar>
                    <w:left w:w="57" w:type="dxa"/>
                    <w:right w:w="57" w:type="dxa"/>
                  </w:tcMar>
                  <w:vAlign w:val="center"/>
                </w:tcPr>
                <w:p w14:paraId="5F15E928">
                  <w:pPr>
                    <w:widowControl/>
                    <w:jc w:val="center"/>
                    <w:textAlignment w:val="center"/>
                    <w:rPr>
                      <w:rFonts w:hint="eastAsia"/>
                      <w:color w:val="auto"/>
                      <w:kern w:val="0"/>
                      <w:szCs w:val="21"/>
                    </w:rPr>
                  </w:pPr>
                  <w:r>
                    <w:rPr>
                      <w:color w:val="auto"/>
                      <w:kern w:val="0"/>
                      <w:szCs w:val="21"/>
                      <w:lang w:bidi="ar"/>
                    </w:rPr>
                    <w:t>72~78</w:t>
                  </w:r>
                </w:p>
              </w:tc>
              <w:tc>
                <w:tcPr>
                  <w:tcW w:w="722" w:type="dxa"/>
                  <w:noWrap w:val="0"/>
                  <w:tcMar>
                    <w:left w:w="57" w:type="dxa"/>
                    <w:right w:w="57" w:type="dxa"/>
                  </w:tcMar>
                  <w:vAlign w:val="center"/>
                </w:tcPr>
                <w:p w14:paraId="743ADF9C">
                  <w:pPr>
                    <w:widowControl/>
                    <w:jc w:val="center"/>
                    <w:textAlignment w:val="center"/>
                    <w:rPr>
                      <w:rFonts w:hint="eastAsia"/>
                      <w:color w:val="auto"/>
                      <w:kern w:val="0"/>
                      <w:szCs w:val="21"/>
                    </w:rPr>
                  </w:pPr>
                  <w:r>
                    <w:rPr>
                      <w:color w:val="auto"/>
                      <w:kern w:val="0"/>
                      <w:szCs w:val="21"/>
                      <w:lang w:bidi="ar"/>
                    </w:rPr>
                    <w:t>68~74</w:t>
                  </w:r>
                </w:p>
              </w:tc>
              <w:tc>
                <w:tcPr>
                  <w:tcW w:w="722" w:type="dxa"/>
                  <w:noWrap w:val="0"/>
                  <w:tcMar>
                    <w:left w:w="57" w:type="dxa"/>
                    <w:right w:w="57" w:type="dxa"/>
                  </w:tcMar>
                  <w:vAlign w:val="center"/>
                </w:tcPr>
                <w:p w14:paraId="26AB0B3F">
                  <w:pPr>
                    <w:widowControl/>
                    <w:jc w:val="center"/>
                    <w:textAlignment w:val="center"/>
                    <w:rPr>
                      <w:rFonts w:hint="eastAsia"/>
                      <w:color w:val="auto"/>
                      <w:kern w:val="0"/>
                      <w:szCs w:val="21"/>
                    </w:rPr>
                  </w:pPr>
                  <w:r>
                    <w:rPr>
                      <w:color w:val="auto"/>
                      <w:kern w:val="0"/>
                      <w:szCs w:val="21"/>
                      <w:lang w:bidi="ar"/>
                    </w:rPr>
                    <w:t>64~70</w:t>
                  </w:r>
                </w:p>
              </w:tc>
              <w:tc>
                <w:tcPr>
                  <w:tcW w:w="722" w:type="dxa"/>
                  <w:noWrap w:val="0"/>
                  <w:tcMar>
                    <w:left w:w="57" w:type="dxa"/>
                    <w:right w:w="57" w:type="dxa"/>
                  </w:tcMar>
                  <w:vAlign w:val="center"/>
                </w:tcPr>
                <w:p w14:paraId="586D8628">
                  <w:pPr>
                    <w:widowControl/>
                    <w:jc w:val="center"/>
                    <w:textAlignment w:val="center"/>
                    <w:rPr>
                      <w:rFonts w:hint="eastAsia"/>
                      <w:color w:val="auto"/>
                      <w:kern w:val="0"/>
                      <w:szCs w:val="21"/>
                    </w:rPr>
                  </w:pPr>
                  <w:r>
                    <w:rPr>
                      <w:color w:val="auto"/>
                      <w:kern w:val="0"/>
                      <w:szCs w:val="21"/>
                      <w:lang w:bidi="ar"/>
                    </w:rPr>
                    <w:t>58~64</w:t>
                  </w:r>
                </w:p>
              </w:tc>
              <w:tc>
                <w:tcPr>
                  <w:tcW w:w="722" w:type="dxa"/>
                  <w:noWrap w:val="0"/>
                  <w:tcMar>
                    <w:left w:w="57" w:type="dxa"/>
                    <w:right w:w="57" w:type="dxa"/>
                  </w:tcMar>
                  <w:vAlign w:val="center"/>
                </w:tcPr>
                <w:p w14:paraId="495D8785">
                  <w:pPr>
                    <w:widowControl/>
                    <w:jc w:val="center"/>
                    <w:textAlignment w:val="center"/>
                    <w:rPr>
                      <w:rFonts w:hint="eastAsia"/>
                      <w:color w:val="auto"/>
                      <w:kern w:val="0"/>
                      <w:szCs w:val="21"/>
                    </w:rPr>
                  </w:pPr>
                  <w:r>
                    <w:rPr>
                      <w:color w:val="auto"/>
                      <w:kern w:val="0"/>
                      <w:szCs w:val="21"/>
                      <w:lang w:bidi="ar"/>
                    </w:rPr>
                    <w:t>54~60</w:t>
                  </w:r>
                </w:p>
              </w:tc>
              <w:tc>
                <w:tcPr>
                  <w:tcW w:w="722" w:type="dxa"/>
                  <w:noWrap w:val="0"/>
                  <w:tcMar>
                    <w:left w:w="57" w:type="dxa"/>
                    <w:right w:w="57" w:type="dxa"/>
                  </w:tcMar>
                  <w:vAlign w:val="center"/>
                </w:tcPr>
                <w:p w14:paraId="29A33B5F">
                  <w:pPr>
                    <w:widowControl/>
                    <w:jc w:val="center"/>
                    <w:textAlignment w:val="center"/>
                    <w:rPr>
                      <w:rFonts w:hint="eastAsia"/>
                      <w:color w:val="auto"/>
                      <w:kern w:val="0"/>
                      <w:szCs w:val="21"/>
                    </w:rPr>
                  </w:pPr>
                  <w:r>
                    <w:rPr>
                      <w:color w:val="auto"/>
                      <w:kern w:val="0"/>
                      <w:szCs w:val="21"/>
                      <w:lang w:bidi="ar"/>
                    </w:rPr>
                    <w:t>52~58</w:t>
                  </w:r>
                </w:p>
              </w:tc>
              <w:tc>
                <w:tcPr>
                  <w:tcW w:w="738" w:type="dxa"/>
                  <w:noWrap w:val="0"/>
                  <w:tcMar>
                    <w:left w:w="57" w:type="dxa"/>
                    <w:right w:w="57" w:type="dxa"/>
                  </w:tcMar>
                  <w:vAlign w:val="center"/>
                </w:tcPr>
                <w:p w14:paraId="753AE687">
                  <w:pPr>
                    <w:widowControl/>
                    <w:jc w:val="center"/>
                    <w:textAlignment w:val="center"/>
                    <w:rPr>
                      <w:rFonts w:hint="eastAsia"/>
                      <w:color w:val="auto"/>
                      <w:kern w:val="0"/>
                      <w:szCs w:val="21"/>
                    </w:rPr>
                  </w:pPr>
                  <w:r>
                    <w:rPr>
                      <w:color w:val="auto"/>
                      <w:kern w:val="0"/>
                      <w:szCs w:val="21"/>
                      <w:lang w:bidi="ar"/>
                    </w:rPr>
                    <w:t>50~56</w:t>
                  </w:r>
                </w:p>
              </w:tc>
              <w:tc>
                <w:tcPr>
                  <w:tcW w:w="1114" w:type="dxa"/>
                  <w:noWrap w:val="0"/>
                  <w:tcMar>
                    <w:left w:w="57" w:type="dxa"/>
                    <w:right w:w="57" w:type="dxa"/>
                  </w:tcMar>
                  <w:vAlign w:val="center"/>
                </w:tcPr>
                <w:p w14:paraId="7CEEF6D0">
                  <w:pPr>
                    <w:autoSpaceDE w:val="0"/>
                    <w:autoSpaceDN w:val="0"/>
                    <w:adjustRightInd w:val="0"/>
                    <w:snapToGrid w:val="0"/>
                    <w:jc w:val="center"/>
                    <w:rPr>
                      <w:rFonts w:hint="eastAsia"/>
                      <w:color w:val="auto"/>
                      <w:kern w:val="0"/>
                      <w:szCs w:val="21"/>
                    </w:rPr>
                  </w:pPr>
                  <w:r>
                    <w:rPr>
                      <w:color w:val="auto"/>
                      <w:szCs w:val="21"/>
                    </w:rPr>
                    <w:t>装修阶段</w:t>
                  </w:r>
                </w:p>
              </w:tc>
            </w:tr>
            <w:tr w14:paraId="50C5A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7" w:hRule="atLeast"/>
                <w:jc w:val="center"/>
              </w:trPr>
              <w:tc>
                <w:tcPr>
                  <w:tcW w:w="705" w:type="dxa"/>
                  <w:noWrap w:val="0"/>
                  <w:vAlign w:val="center"/>
                </w:tcPr>
                <w:p w14:paraId="1D23DE64">
                  <w:pPr>
                    <w:widowControl/>
                    <w:spacing w:line="276" w:lineRule="auto"/>
                    <w:jc w:val="center"/>
                    <w:rPr>
                      <w:color w:val="auto"/>
                      <w:kern w:val="0"/>
                      <w:szCs w:val="21"/>
                    </w:rPr>
                  </w:pPr>
                  <w:r>
                    <w:rPr>
                      <w:rFonts w:hint="eastAsia"/>
                      <w:color w:val="auto"/>
                      <w:kern w:val="0"/>
                      <w:szCs w:val="21"/>
                    </w:rPr>
                    <w:t>9</w:t>
                  </w:r>
                </w:p>
              </w:tc>
              <w:tc>
                <w:tcPr>
                  <w:tcW w:w="1581" w:type="dxa"/>
                  <w:noWrap w:val="0"/>
                  <w:vAlign w:val="center"/>
                </w:tcPr>
                <w:p w14:paraId="59D3DB3C">
                  <w:pPr>
                    <w:widowControl/>
                    <w:spacing w:line="276" w:lineRule="auto"/>
                    <w:jc w:val="center"/>
                    <w:rPr>
                      <w:rFonts w:hint="eastAsia"/>
                      <w:color w:val="auto"/>
                      <w:kern w:val="0"/>
                      <w:szCs w:val="21"/>
                    </w:rPr>
                  </w:pPr>
                  <w:r>
                    <w:rPr>
                      <w:rFonts w:hint="eastAsia"/>
                      <w:color w:val="auto"/>
                      <w:kern w:val="0"/>
                      <w:szCs w:val="21"/>
                    </w:rPr>
                    <w:t>运输车辆</w:t>
                  </w:r>
                </w:p>
              </w:tc>
              <w:tc>
                <w:tcPr>
                  <w:tcW w:w="721" w:type="dxa"/>
                  <w:noWrap w:val="0"/>
                  <w:tcMar>
                    <w:left w:w="57" w:type="dxa"/>
                    <w:right w:w="57" w:type="dxa"/>
                  </w:tcMar>
                  <w:vAlign w:val="center"/>
                </w:tcPr>
                <w:p w14:paraId="32C968CB">
                  <w:pPr>
                    <w:widowControl/>
                    <w:jc w:val="center"/>
                    <w:textAlignment w:val="center"/>
                    <w:rPr>
                      <w:rFonts w:hint="eastAsia"/>
                      <w:color w:val="auto"/>
                      <w:kern w:val="0"/>
                      <w:szCs w:val="21"/>
                    </w:rPr>
                  </w:pPr>
                  <w:r>
                    <w:rPr>
                      <w:color w:val="auto"/>
                      <w:kern w:val="0"/>
                      <w:szCs w:val="21"/>
                      <w:lang w:bidi="ar"/>
                    </w:rPr>
                    <w:t>63~68</w:t>
                  </w:r>
                </w:p>
              </w:tc>
              <w:tc>
                <w:tcPr>
                  <w:tcW w:w="722" w:type="dxa"/>
                  <w:noWrap w:val="0"/>
                  <w:tcMar>
                    <w:left w:w="57" w:type="dxa"/>
                    <w:right w:w="57" w:type="dxa"/>
                  </w:tcMar>
                  <w:vAlign w:val="center"/>
                </w:tcPr>
                <w:p w14:paraId="2C2AC067">
                  <w:pPr>
                    <w:widowControl/>
                    <w:jc w:val="center"/>
                    <w:textAlignment w:val="center"/>
                    <w:rPr>
                      <w:rFonts w:hint="eastAsia"/>
                      <w:color w:val="auto"/>
                      <w:kern w:val="0"/>
                      <w:szCs w:val="21"/>
                    </w:rPr>
                  </w:pPr>
                  <w:r>
                    <w:rPr>
                      <w:color w:val="auto"/>
                      <w:kern w:val="0"/>
                      <w:szCs w:val="21"/>
                      <w:lang w:bidi="ar"/>
                    </w:rPr>
                    <w:t>59~64</w:t>
                  </w:r>
                </w:p>
              </w:tc>
              <w:tc>
                <w:tcPr>
                  <w:tcW w:w="722" w:type="dxa"/>
                  <w:noWrap w:val="0"/>
                  <w:tcMar>
                    <w:left w:w="57" w:type="dxa"/>
                    <w:right w:w="57" w:type="dxa"/>
                  </w:tcMar>
                  <w:vAlign w:val="center"/>
                </w:tcPr>
                <w:p w14:paraId="4CD6B20C">
                  <w:pPr>
                    <w:widowControl/>
                    <w:jc w:val="center"/>
                    <w:textAlignment w:val="center"/>
                    <w:rPr>
                      <w:rFonts w:hint="eastAsia"/>
                      <w:color w:val="auto"/>
                      <w:kern w:val="0"/>
                      <w:szCs w:val="21"/>
                    </w:rPr>
                  </w:pPr>
                  <w:r>
                    <w:rPr>
                      <w:color w:val="auto"/>
                      <w:kern w:val="0"/>
                      <w:szCs w:val="21"/>
                      <w:lang w:bidi="ar"/>
                    </w:rPr>
                    <w:t>55~60</w:t>
                  </w:r>
                </w:p>
              </w:tc>
              <w:tc>
                <w:tcPr>
                  <w:tcW w:w="722" w:type="dxa"/>
                  <w:noWrap w:val="0"/>
                  <w:tcMar>
                    <w:left w:w="57" w:type="dxa"/>
                    <w:right w:w="57" w:type="dxa"/>
                  </w:tcMar>
                  <w:vAlign w:val="center"/>
                </w:tcPr>
                <w:p w14:paraId="450557B6">
                  <w:pPr>
                    <w:widowControl/>
                    <w:jc w:val="center"/>
                    <w:textAlignment w:val="center"/>
                    <w:rPr>
                      <w:rFonts w:hint="eastAsia"/>
                      <w:color w:val="auto"/>
                      <w:kern w:val="0"/>
                      <w:szCs w:val="21"/>
                    </w:rPr>
                  </w:pPr>
                  <w:r>
                    <w:rPr>
                      <w:color w:val="auto"/>
                      <w:kern w:val="0"/>
                      <w:szCs w:val="21"/>
                      <w:lang w:bidi="ar"/>
                    </w:rPr>
                    <w:t>49~54</w:t>
                  </w:r>
                </w:p>
              </w:tc>
              <w:tc>
                <w:tcPr>
                  <w:tcW w:w="722" w:type="dxa"/>
                  <w:noWrap w:val="0"/>
                  <w:tcMar>
                    <w:left w:w="57" w:type="dxa"/>
                    <w:right w:w="57" w:type="dxa"/>
                  </w:tcMar>
                  <w:vAlign w:val="center"/>
                </w:tcPr>
                <w:p w14:paraId="41E4AC4E">
                  <w:pPr>
                    <w:widowControl/>
                    <w:jc w:val="center"/>
                    <w:textAlignment w:val="center"/>
                    <w:rPr>
                      <w:rFonts w:hint="eastAsia"/>
                      <w:color w:val="auto"/>
                      <w:kern w:val="0"/>
                      <w:szCs w:val="21"/>
                    </w:rPr>
                  </w:pPr>
                  <w:r>
                    <w:rPr>
                      <w:color w:val="auto"/>
                      <w:kern w:val="0"/>
                      <w:szCs w:val="21"/>
                      <w:lang w:bidi="ar"/>
                    </w:rPr>
                    <w:t>45~50</w:t>
                  </w:r>
                </w:p>
              </w:tc>
              <w:tc>
                <w:tcPr>
                  <w:tcW w:w="722" w:type="dxa"/>
                  <w:noWrap w:val="0"/>
                  <w:tcMar>
                    <w:left w:w="57" w:type="dxa"/>
                    <w:right w:w="57" w:type="dxa"/>
                  </w:tcMar>
                  <w:vAlign w:val="center"/>
                </w:tcPr>
                <w:p w14:paraId="444C22F9">
                  <w:pPr>
                    <w:widowControl/>
                    <w:jc w:val="center"/>
                    <w:textAlignment w:val="center"/>
                    <w:rPr>
                      <w:rFonts w:hint="eastAsia"/>
                      <w:color w:val="auto"/>
                      <w:kern w:val="0"/>
                      <w:szCs w:val="21"/>
                    </w:rPr>
                  </w:pPr>
                  <w:r>
                    <w:rPr>
                      <w:color w:val="auto"/>
                      <w:kern w:val="0"/>
                      <w:szCs w:val="21"/>
                      <w:lang w:bidi="ar"/>
                    </w:rPr>
                    <w:t>43~48</w:t>
                  </w:r>
                </w:p>
              </w:tc>
              <w:tc>
                <w:tcPr>
                  <w:tcW w:w="738" w:type="dxa"/>
                  <w:noWrap w:val="0"/>
                  <w:tcMar>
                    <w:left w:w="57" w:type="dxa"/>
                    <w:right w:w="57" w:type="dxa"/>
                  </w:tcMar>
                  <w:vAlign w:val="center"/>
                </w:tcPr>
                <w:p w14:paraId="3B2E6491">
                  <w:pPr>
                    <w:widowControl/>
                    <w:jc w:val="center"/>
                    <w:textAlignment w:val="center"/>
                    <w:rPr>
                      <w:rFonts w:hint="eastAsia"/>
                      <w:color w:val="auto"/>
                      <w:kern w:val="0"/>
                      <w:szCs w:val="21"/>
                    </w:rPr>
                  </w:pPr>
                  <w:r>
                    <w:rPr>
                      <w:color w:val="auto"/>
                      <w:kern w:val="0"/>
                      <w:szCs w:val="21"/>
                      <w:lang w:bidi="ar"/>
                    </w:rPr>
                    <w:t>41~46</w:t>
                  </w:r>
                </w:p>
              </w:tc>
              <w:tc>
                <w:tcPr>
                  <w:tcW w:w="1114" w:type="dxa"/>
                  <w:noWrap w:val="0"/>
                  <w:tcMar>
                    <w:left w:w="57" w:type="dxa"/>
                    <w:right w:w="57" w:type="dxa"/>
                  </w:tcMar>
                  <w:vAlign w:val="center"/>
                </w:tcPr>
                <w:p w14:paraId="6777E22B">
                  <w:pPr>
                    <w:autoSpaceDE w:val="0"/>
                    <w:autoSpaceDN w:val="0"/>
                    <w:adjustRightInd w:val="0"/>
                    <w:snapToGrid w:val="0"/>
                    <w:jc w:val="center"/>
                    <w:rPr>
                      <w:rFonts w:hint="eastAsia"/>
                      <w:color w:val="auto"/>
                      <w:kern w:val="0"/>
                      <w:szCs w:val="21"/>
                    </w:rPr>
                  </w:pPr>
                  <w:r>
                    <w:rPr>
                      <w:rFonts w:hint="eastAsia"/>
                      <w:color w:val="auto"/>
                      <w:szCs w:val="21"/>
                    </w:rPr>
                    <w:t>物料运输</w:t>
                  </w:r>
                </w:p>
              </w:tc>
            </w:tr>
          </w:tbl>
          <w:p w14:paraId="31293335">
            <w:pPr>
              <w:autoSpaceDE w:val="0"/>
              <w:autoSpaceDN w:val="0"/>
              <w:adjustRightInd w:val="0"/>
              <w:spacing w:line="360" w:lineRule="auto"/>
              <w:ind w:firstLine="480" w:firstLineChars="200"/>
              <w:rPr>
                <w:color w:val="auto"/>
                <w:sz w:val="24"/>
                <w:szCs w:val="24"/>
              </w:rPr>
            </w:pPr>
            <w:r>
              <w:rPr>
                <w:rFonts w:hint="eastAsia"/>
                <w:color w:val="auto"/>
                <w:sz w:val="24"/>
                <w:szCs w:val="24"/>
              </w:rPr>
              <w:t xml:space="preserve">3.2.3 </w:t>
            </w:r>
            <w:r>
              <w:rPr>
                <w:color w:val="auto"/>
                <w:sz w:val="24"/>
                <w:szCs w:val="24"/>
              </w:rPr>
              <w:t>施工噪声环境影响分析</w:t>
            </w:r>
          </w:p>
          <w:p w14:paraId="76C6E115">
            <w:pPr>
              <w:autoSpaceDE w:val="0"/>
              <w:autoSpaceDN w:val="0"/>
              <w:adjustRightInd w:val="0"/>
              <w:spacing w:line="360" w:lineRule="auto"/>
              <w:ind w:firstLine="480" w:firstLineChars="200"/>
              <w:rPr>
                <w:color w:val="auto"/>
                <w:sz w:val="24"/>
                <w:szCs w:val="24"/>
              </w:rPr>
            </w:pPr>
            <w:r>
              <w:rPr>
                <w:color w:val="auto"/>
                <w:sz w:val="24"/>
                <w:szCs w:val="24"/>
              </w:rPr>
              <w:t>本次评价中，施工期的噪声源考虑到了不同施工阶段的机械组合，从土石方、结构、</w:t>
            </w:r>
            <w:r>
              <w:rPr>
                <w:rFonts w:hint="eastAsia"/>
                <w:color w:val="auto"/>
                <w:sz w:val="24"/>
                <w:szCs w:val="24"/>
              </w:rPr>
              <w:t>装修</w:t>
            </w:r>
            <w:r>
              <w:rPr>
                <w:color w:val="auto"/>
                <w:sz w:val="24"/>
                <w:szCs w:val="24"/>
              </w:rPr>
              <w:t>等阶段进行预测，施工机械</w:t>
            </w:r>
            <w:r>
              <w:rPr>
                <w:rFonts w:hint="eastAsia"/>
                <w:color w:val="auto"/>
                <w:sz w:val="24"/>
                <w:szCs w:val="24"/>
              </w:rPr>
              <w:t>中打桩机影响最大，500米噪声贡献值</w:t>
            </w:r>
            <w:r>
              <w:rPr>
                <w:color w:val="auto"/>
                <w:sz w:val="24"/>
                <w:szCs w:val="24"/>
              </w:rPr>
              <w:t>为</w:t>
            </w:r>
            <w:r>
              <w:rPr>
                <w:rFonts w:hint="eastAsia"/>
                <w:color w:val="auto"/>
                <w:sz w:val="24"/>
                <w:szCs w:val="24"/>
              </w:rPr>
              <w:t>61</w:t>
            </w:r>
            <w:r>
              <w:rPr>
                <w:color w:val="auto"/>
                <w:sz w:val="24"/>
                <w:szCs w:val="24"/>
              </w:rPr>
              <w:t>~</w:t>
            </w:r>
            <w:r>
              <w:rPr>
                <w:rFonts w:hint="eastAsia"/>
                <w:color w:val="auto"/>
                <w:sz w:val="24"/>
                <w:szCs w:val="24"/>
              </w:rPr>
              <w:t>71dB(A)。</w:t>
            </w:r>
          </w:p>
          <w:p w14:paraId="6C7D2E8F">
            <w:pPr>
              <w:autoSpaceDE w:val="0"/>
              <w:autoSpaceDN w:val="0"/>
              <w:adjustRightInd w:val="0"/>
              <w:spacing w:line="360" w:lineRule="auto"/>
              <w:ind w:firstLine="480" w:firstLineChars="200"/>
              <w:rPr>
                <w:color w:val="auto"/>
                <w:sz w:val="24"/>
                <w:szCs w:val="24"/>
              </w:rPr>
            </w:pPr>
            <w:r>
              <w:rPr>
                <w:color w:val="auto"/>
                <w:sz w:val="24"/>
                <w:szCs w:val="24"/>
              </w:rPr>
              <w:t>由于厂界</w:t>
            </w:r>
            <w:r>
              <w:rPr>
                <w:rFonts w:hint="eastAsia"/>
                <w:color w:val="auto"/>
                <w:sz w:val="24"/>
                <w:szCs w:val="24"/>
                <w:lang w:val="en-US" w:eastAsia="zh-CN"/>
              </w:rPr>
              <w:t>500米范围内不存在敏感点</w:t>
            </w:r>
            <w:r>
              <w:rPr>
                <w:color w:val="auto"/>
                <w:sz w:val="24"/>
                <w:szCs w:val="24"/>
              </w:rPr>
              <w:t>，</w:t>
            </w:r>
            <w:r>
              <w:rPr>
                <w:rFonts w:hint="eastAsia"/>
                <w:color w:val="auto"/>
                <w:sz w:val="24"/>
                <w:szCs w:val="24"/>
                <w:lang w:val="en-US" w:eastAsia="zh-CN"/>
              </w:rPr>
              <w:t>因此</w:t>
            </w:r>
            <w:r>
              <w:rPr>
                <w:color w:val="auto"/>
                <w:sz w:val="24"/>
                <w:szCs w:val="24"/>
              </w:rPr>
              <w:t>项目施工期间会对周边声环境</w:t>
            </w:r>
            <w:r>
              <w:rPr>
                <w:rFonts w:hint="eastAsia"/>
                <w:color w:val="auto"/>
                <w:sz w:val="24"/>
                <w:szCs w:val="24"/>
              </w:rPr>
              <w:t>产</w:t>
            </w:r>
            <w:r>
              <w:rPr>
                <w:rFonts w:hint="eastAsia"/>
                <w:color w:val="auto"/>
                <w:sz w:val="24"/>
                <w:szCs w:val="24"/>
                <w:lang w:val="en-US" w:eastAsia="zh-CN"/>
              </w:rPr>
              <w:t>较小</w:t>
            </w:r>
            <w:r>
              <w:rPr>
                <w:color w:val="auto"/>
                <w:sz w:val="24"/>
                <w:szCs w:val="24"/>
              </w:rPr>
              <w:t>。</w:t>
            </w:r>
          </w:p>
          <w:bookmarkEnd w:id="6"/>
          <w:bookmarkEnd w:id="7"/>
          <w:bookmarkEnd w:id="8"/>
          <w:bookmarkEnd w:id="9"/>
          <w:bookmarkEnd w:id="10"/>
          <w:p w14:paraId="3A240E2D">
            <w:pPr>
              <w:autoSpaceDE w:val="0"/>
              <w:autoSpaceDN w:val="0"/>
              <w:adjustRightInd w:val="0"/>
              <w:spacing w:line="360" w:lineRule="auto"/>
              <w:ind w:firstLine="480" w:firstLineChars="200"/>
              <w:rPr>
                <w:color w:val="auto"/>
                <w:sz w:val="24"/>
                <w:szCs w:val="24"/>
              </w:rPr>
            </w:pPr>
            <w:bookmarkStart w:id="24" w:name="_Toc26717"/>
            <w:bookmarkStart w:id="25" w:name="_Toc19547"/>
            <w:bookmarkStart w:id="26" w:name="_Toc1062"/>
            <w:bookmarkStart w:id="27" w:name="_Toc17733"/>
            <w:bookmarkStart w:id="28" w:name="_Toc375820598"/>
            <w:bookmarkStart w:id="29" w:name="_Toc362043477"/>
            <w:bookmarkStart w:id="30" w:name="_Toc385277534"/>
            <w:bookmarkStart w:id="31" w:name="_Toc375820818"/>
            <w:bookmarkStart w:id="32" w:name="_Toc380414278"/>
            <w:r>
              <w:rPr>
                <w:rFonts w:hint="eastAsia"/>
                <w:color w:val="auto"/>
                <w:sz w:val="24"/>
                <w:szCs w:val="24"/>
              </w:rPr>
              <w:t xml:space="preserve">4 </w:t>
            </w:r>
            <w:r>
              <w:rPr>
                <w:color w:val="auto"/>
                <w:sz w:val="24"/>
                <w:szCs w:val="24"/>
              </w:rPr>
              <w:t>施工期固废环境影响分析</w:t>
            </w:r>
            <w:bookmarkEnd w:id="24"/>
            <w:bookmarkEnd w:id="25"/>
            <w:bookmarkEnd w:id="26"/>
            <w:bookmarkEnd w:id="27"/>
          </w:p>
          <w:p w14:paraId="3D54183E">
            <w:pPr>
              <w:autoSpaceDE w:val="0"/>
              <w:autoSpaceDN w:val="0"/>
              <w:adjustRightInd w:val="0"/>
              <w:spacing w:line="360" w:lineRule="auto"/>
              <w:ind w:firstLine="480" w:firstLineChars="200"/>
              <w:rPr>
                <w:color w:val="auto"/>
                <w:sz w:val="24"/>
                <w:szCs w:val="24"/>
              </w:rPr>
            </w:pPr>
            <w:r>
              <w:rPr>
                <w:color w:val="auto"/>
                <w:sz w:val="24"/>
                <w:szCs w:val="24"/>
              </w:rPr>
              <w:t>施工垃圾主要来自施工所产生的建筑垃圾和施工队伍生活产生的生活垃圾。废弃建筑材料如砂石、石灰、混凝土、废砖、土石方等。</w:t>
            </w:r>
          </w:p>
          <w:p w14:paraId="61997F88">
            <w:pPr>
              <w:autoSpaceDE w:val="0"/>
              <w:autoSpaceDN w:val="0"/>
              <w:adjustRightInd w:val="0"/>
              <w:spacing w:line="360" w:lineRule="auto"/>
              <w:ind w:firstLine="480" w:firstLineChars="200"/>
              <w:rPr>
                <w:color w:val="auto"/>
                <w:sz w:val="24"/>
                <w:szCs w:val="24"/>
              </w:rPr>
            </w:pPr>
            <w:r>
              <w:rPr>
                <w:color w:val="auto"/>
                <w:sz w:val="24"/>
                <w:szCs w:val="24"/>
              </w:rPr>
              <w:t>（1）施工人员的生活垃圾要实行袋装化，每天由专人清理，集中送至指定堆放点。</w:t>
            </w:r>
          </w:p>
          <w:p w14:paraId="0F625DDA">
            <w:pPr>
              <w:autoSpaceDE w:val="0"/>
              <w:autoSpaceDN w:val="0"/>
              <w:adjustRightInd w:val="0"/>
              <w:spacing w:line="360" w:lineRule="auto"/>
              <w:ind w:firstLine="480" w:firstLineChars="200"/>
              <w:rPr>
                <w:color w:val="auto"/>
                <w:sz w:val="24"/>
                <w:szCs w:val="24"/>
              </w:rPr>
            </w:pPr>
            <w:r>
              <w:rPr>
                <w:color w:val="auto"/>
                <w:sz w:val="24"/>
                <w:szCs w:val="24"/>
              </w:rPr>
              <w:t>（2）尽量减少建筑材料在运输、装卸、施工过程中的跑、冒、滴、漏，建筑垃圾在指定的堆放点存放，并及时送城市垃圾填埋场。</w:t>
            </w:r>
          </w:p>
          <w:p w14:paraId="7F958589">
            <w:pPr>
              <w:autoSpaceDE w:val="0"/>
              <w:autoSpaceDN w:val="0"/>
              <w:adjustRightInd w:val="0"/>
              <w:spacing w:line="360" w:lineRule="auto"/>
              <w:ind w:firstLine="480" w:firstLineChars="200"/>
              <w:rPr>
                <w:color w:val="auto"/>
                <w:sz w:val="24"/>
                <w:szCs w:val="24"/>
              </w:rPr>
            </w:pPr>
            <w:r>
              <w:rPr>
                <w:color w:val="auto"/>
                <w:sz w:val="24"/>
                <w:szCs w:val="24"/>
              </w:rPr>
              <w:t>（3）施工过程表土清理、基础开挖等产生的土石方，灌注桩施工过程产生的钻孔泥浆以及沉淀污泥等应尽量回填利用，废弃土石方应根据市容渣土办管理办公室的要求运送至指定地点存放</w:t>
            </w:r>
            <w:r>
              <w:rPr>
                <w:rFonts w:hint="eastAsia"/>
                <w:color w:val="auto"/>
                <w:sz w:val="24"/>
                <w:szCs w:val="24"/>
              </w:rPr>
              <w:t>，</w:t>
            </w:r>
            <w:r>
              <w:rPr>
                <w:color w:val="auto"/>
                <w:sz w:val="24"/>
                <w:szCs w:val="24"/>
              </w:rPr>
              <w:t>用于市政绿化、回填和围涂等，不得自行处置。</w:t>
            </w:r>
          </w:p>
          <w:p w14:paraId="3A4D520E">
            <w:pPr>
              <w:autoSpaceDE w:val="0"/>
              <w:autoSpaceDN w:val="0"/>
              <w:adjustRightInd w:val="0"/>
              <w:spacing w:line="360" w:lineRule="auto"/>
              <w:ind w:firstLine="480" w:firstLineChars="200"/>
              <w:rPr>
                <w:color w:val="auto"/>
                <w:sz w:val="24"/>
                <w:szCs w:val="24"/>
              </w:rPr>
            </w:pPr>
            <w:r>
              <w:rPr>
                <w:color w:val="auto"/>
                <w:sz w:val="24"/>
                <w:szCs w:val="24"/>
              </w:rPr>
              <w:t>（4）在对渣土等运输方面，采用密闭化运输车辆运输，杜绝施工废渣沿途抛洒。</w:t>
            </w:r>
          </w:p>
          <w:p w14:paraId="1608AA54">
            <w:pPr>
              <w:autoSpaceDE w:val="0"/>
              <w:autoSpaceDN w:val="0"/>
              <w:adjustRightInd w:val="0"/>
              <w:spacing w:line="360" w:lineRule="auto"/>
              <w:ind w:firstLine="480" w:firstLineChars="200"/>
              <w:rPr>
                <w:color w:val="auto"/>
                <w:sz w:val="24"/>
                <w:szCs w:val="24"/>
              </w:rPr>
            </w:pPr>
            <w:r>
              <w:rPr>
                <w:color w:val="auto"/>
                <w:sz w:val="24"/>
                <w:szCs w:val="24"/>
              </w:rPr>
              <w:t>在施工过程中，建设单位应要求施工单位规范运输，不能随意倾倒建筑垃圾，制造新的“垃圾堆场”，不然会对周围环境造成影响。根据建筑垃圾处理相关办法，对工程建设中所产生的渣土、弃土、弃料</w:t>
            </w:r>
            <w:r>
              <w:rPr>
                <w:rFonts w:hint="eastAsia"/>
                <w:color w:val="auto"/>
                <w:sz w:val="24"/>
                <w:szCs w:val="24"/>
              </w:rPr>
              <w:t>及其他</w:t>
            </w:r>
            <w:r>
              <w:rPr>
                <w:color w:val="auto"/>
                <w:sz w:val="24"/>
                <w:szCs w:val="24"/>
              </w:rPr>
              <w:t>固体废弃物等的规定，施工挖掘产生的土方以及施工过程中产生的渣土，由施工单位或承建单位和市容局渣土办联系</w:t>
            </w:r>
            <w:r>
              <w:rPr>
                <w:rFonts w:hint="eastAsia"/>
                <w:color w:val="auto"/>
                <w:sz w:val="24"/>
                <w:szCs w:val="24"/>
              </w:rPr>
              <w:t>运</w:t>
            </w:r>
            <w:r>
              <w:rPr>
                <w:color w:val="auto"/>
                <w:sz w:val="24"/>
                <w:szCs w:val="24"/>
              </w:rPr>
              <w:t>。渣土运输过程中严格执行有关条例和规定，运土车辆应在规定的时间和规定的路线进出施工场地，沿途应注意保持道路的清洁，应尽量减少装土过满、车辆颠簸等造成的渣土倾撒。</w:t>
            </w:r>
          </w:p>
          <w:p w14:paraId="2D12977A">
            <w:pPr>
              <w:autoSpaceDE w:val="0"/>
              <w:autoSpaceDN w:val="0"/>
              <w:adjustRightInd w:val="0"/>
              <w:spacing w:line="360" w:lineRule="auto"/>
              <w:ind w:firstLine="480" w:firstLineChars="200"/>
              <w:rPr>
                <w:color w:val="auto"/>
                <w:sz w:val="24"/>
                <w:szCs w:val="24"/>
              </w:rPr>
            </w:pPr>
            <w:r>
              <w:rPr>
                <w:color w:val="auto"/>
                <w:sz w:val="24"/>
                <w:szCs w:val="24"/>
              </w:rPr>
              <w:t>建设单位和施工单位必须做好施工垃圾管理，避免对周围环境造成影响。</w:t>
            </w:r>
            <w:bookmarkEnd w:id="28"/>
            <w:bookmarkEnd w:id="29"/>
            <w:bookmarkEnd w:id="30"/>
            <w:bookmarkEnd w:id="31"/>
            <w:bookmarkEnd w:id="32"/>
          </w:p>
          <w:p w14:paraId="49BFEFCE">
            <w:pPr>
              <w:autoSpaceDE w:val="0"/>
              <w:autoSpaceDN w:val="0"/>
              <w:adjustRightInd w:val="0"/>
              <w:spacing w:line="360" w:lineRule="auto"/>
              <w:ind w:firstLine="480" w:firstLineChars="200"/>
              <w:rPr>
                <w:rFonts w:hint="eastAsia"/>
                <w:color w:val="auto"/>
                <w:sz w:val="24"/>
                <w:szCs w:val="24"/>
              </w:rPr>
            </w:pPr>
            <w:r>
              <w:rPr>
                <w:rFonts w:hint="eastAsia"/>
                <w:color w:val="auto"/>
                <w:sz w:val="24"/>
                <w:szCs w:val="24"/>
              </w:rPr>
              <w:t>5 施工生态环境影响分析</w:t>
            </w:r>
          </w:p>
          <w:p w14:paraId="2268F5A1">
            <w:pPr>
              <w:autoSpaceDE w:val="0"/>
              <w:autoSpaceDN w:val="0"/>
              <w:adjustRightInd w:val="0"/>
              <w:spacing w:line="360" w:lineRule="auto"/>
              <w:ind w:firstLine="480" w:firstLineChars="200"/>
              <w:rPr>
                <w:color w:val="auto"/>
                <w:sz w:val="24"/>
                <w:szCs w:val="24"/>
              </w:rPr>
            </w:pPr>
            <w:r>
              <w:rPr>
                <w:color w:val="auto"/>
                <w:sz w:val="24"/>
                <w:szCs w:val="24"/>
              </w:rPr>
              <w:t>根据现场调查可知，</w:t>
            </w:r>
            <w:r>
              <w:rPr>
                <w:rFonts w:hint="eastAsia"/>
                <w:color w:val="auto"/>
                <w:sz w:val="24"/>
                <w:szCs w:val="24"/>
              </w:rPr>
              <w:t>评价</w:t>
            </w:r>
            <w:r>
              <w:rPr>
                <w:color w:val="auto"/>
                <w:sz w:val="24"/>
                <w:szCs w:val="24"/>
              </w:rPr>
              <w:t>范围内动物种类较少，随着</w:t>
            </w:r>
            <w:r>
              <w:rPr>
                <w:rFonts w:hint="eastAsia"/>
                <w:color w:val="auto"/>
                <w:sz w:val="24"/>
                <w:szCs w:val="24"/>
              </w:rPr>
              <w:t>项目</w:t>
            </w:r>
            <w:r>
              <w:rPr>
                <w:color w:val="auto"/>
                <w:sz w:val="24"/>
                <w:szCs w:val="24"/>
              </w:rPr>
              <w:t>实施，整个区域内动物物种多样性将降低，区内植被单一，地形平坦，一些动物失去其赖以生存的生境，栖息地的丧失，造成动物迁往别处，但</w:t>
            </w:r>
            <w:r>
              <w:rPr>
                <w:rFonts w:hint="eastAsia"/>
                <w:color w:val="auto"/>
                <w:sz w:val="24"/>
                <w:szCs w:val="24"/>
              </w:rPr>
              <w:t>项目</w:t>
            </w:r>
            <w:r>
              <w:rPr>
                <w:color w:val="auto"/>
                <w:sz w:val="24"/>
                <w:szCs w:val="24"/>
              </w:rPr>
              <w:t>的实施不会使动物种群数量受到大的影响，更不会使区域分布的某</w:t>
            </w:r>
            <w:r>
              <w:rPr>
                <w:rFonts w:hint="eastAsia"/>
                <w:color w:val="auto"/>
                <w:sz w:val="24"/>
                <w:szCs w:val="24"/>
              </w:rPr>
              <w:t>一</w:t>
            </w:r>
            <w:r>
              <w:rPr>
                <w:color w:val="auto"/>
                <w:sz w:val="24"/>
                <w:szCs w:val="24"/>
              </w:rPr>
              <w:t>物种的灭绝。因此</w:t>
            </w:r>
            <w:r>
              <w:rPr>
                <w:rFonts w:hint="eastAsia"/>
                <w:color w:val="auto"/>
                <w:sz w:val="24"/>
                <w:szCs w:val="24"/>
              </w:rPr>
              <w:t>项目</w:t>
            </w:r>
            <w:r>
              <w:rPr>
                <w:color w:val="auto"/>
                <w:sz w:val="24"/>
                <w:szCs w:val="24"/>
              </w:rPr>
              <w:t>的实施对动物的影响有限。</w:t>
            </w:r>
          </w:p>
          <w:p w14:paraId="1D8F18A4">
            <w:pPr>
              <w:autoSpaceDE w:val="0"/>
              <w:autoSpaceDN w:val="0"/>
              <w:adjustRightInd w:val="0"/>
              <w:spacing w:line="360" w:lineRule="auto"/>
              <w:ind w:firstLine="480" w:firstLineChars="200"/>
              <w:rPr>
                <w:color w:val="auto"/>
                <w:sz w:val="24"/>
                <w:szCs w:val="24"/>
              </w:rPr>
            </w:pPr>
            <w:r>
              <w:rPr>
                <w:rFonts w:hint="eastAsia"/>
                <w:color w:val="auto"/>
                <w:sz w:val="24"/>
                <w:szCs w:val="24"/>
              </w:rPr>
              <w:t>项目建设</w:t>
            </w:r>
            <w:r>
              <w:rPr>
                <w:color w:val="auto"/>
                <w:sz w:val="24"/>
                <w:szCs w:val="24"/>
              </w:rPr>
              <w:t>活动对土壤的影响也非常明显，</w:t>
            </w:r>
            <w:r>
              <w:rPr>
                <w:rFonts w:hint="eastAsia"/>
                <w:color w:val="auto"/>
                <w:sz w:val="24"/>
                <w:szCs w:val="24"/>
              </w:rPr>
              <w:t>建设</w:t>
            </w:r>
            <w:r>
              <w:rPr>
                <w:color w:val="auto"/>
                <w:sz w:val="24"/>
                <w:szCs w:val="24"/>
              </w:rPr>
              <w:t>过程进行的土壤平整、土地开挖、取土、</w:t>
            </w:r>
            <w:r>
              <w:rPr>
                <w:rFonts w:hint="eastAsia"/>
                <w:color w:val="auto"/>
                <w:sz w:val="24"/>
                <w:szCs w:val="24"/>
              </w:rPr>
              <w:t>堆土</w:t>
            </w:r>
            <w:r>
              <w:rPr>
                <w:color w:val="auto"/>
                <w:sz w:val="24"/>
                <w:szCs w:val="24"/>
              </w:rPr>
              <w:t>等，会改变</w:t>
            </w:r>
            <w:r>
              <w:rPr>
                <w:rFonts w:hint="eastAsia"/>
                <w:color w:val="auto"/>
                <w:sz w:val="24"/>
                <w:szCs w:val="24"/>
              </w:rPr>
              <w:t>土</w:t>
            </w:r>
            <w:r>
              <w:rPr>
                <w:color w:val="auto"/>
                <w:sz w:val="24"/>
                <w:szCs w:val="24"/>
              </w:rPr>
              <w:t>层结构，原有土壤结构、理化性质与土壤生态系统内生物生存环境几乎完全发生了改变，土壤有机质含量降低，不利于植被生长。同时，可能造成短期、局部水土流失，间接又对水环境造成影响，降低原有自然系统生产力。建设期临时占地将干扰和破坏影响范围内的植物生长，影响区域内的植被群落种类组成和数量分布，降低了区域植被覆盖度和生物多样性指数。因而在施工过程中要注意保护植被，减少植被破坏面积。</w:t>
            </w:r>
          </w:p>
          <w:p w14:paraId="4B4ED308">
            <w:pPr>
              <w:autoSpaceDE w:val="0"/>
              <w:autoSpaceDN w:val="0"/>
              <w:adjustRightInd w:val="0"/>
              <w:spacing w:line="360" w:lineRule="auto"/>
              <w:ind w:firstLine="480" w:firstLineChars="200"/>
              <w:rPr>
                <w:color w:val="auto"/>
              </w:rPr>
            </w:pPr>
            <w:r>
              <w:rPr>
                <w:rFonts w:hint="eastAsia"/>
                <w:color w:val="auto"/>
                <w:sz w:val="24"/>
                <w:szCs w:val="24"/>
              </w:rPr>
              <w:t>项目</w:t>
            </w:r>
            <w:r>
              <w:rPr>
                <w:color w:val="auto"/>
                <w:sz w:val="24"/>
                <w:szCs w:val="24"/>
              </w:rPr>
              <w:t>实施后建设性永久占地的植被将不可恢复，区域植物多样性将极大地降低，取代将是少数几种绿化树种和草种。</w:t>
            </w:r>
            <w:r>
              <w:rPr>
                <w:rFonts w:hint="eastAsia"/>
                <w:color w:val="auto"/>
                <w:sz w:val="24"/>
                <w:szCs w:val="24"/>
              </w:rPr>
              <w:t>项目评价</w:t>
            </w:r>
            <w:r>
              <w:rPr>
                <w:color w:val="auto"/>
                <w:sz w:val="24"/>
                <w:szCs w:val="24"/>
              </w:rPr>
              <w:t>区域内无国家重点保护野生植物物种的分布，该区域内植被的直接经济价值并不高，因此该区域内植被的间接价值，如调节气候，涵养水土等可以通过原位、异地进行一定程度补偿。因此</w:t>
            </w:r>
            <w:r>
              <w:rPr>
                <w:rFonts w:hint="eastAsia"/>
                <w:color w:val="auto"/>
                <w:sz w:val="24"/>
                <w:szCs w:val="24"/>
              </w:rPr>
              <w:t>本项目</w:t>
            </w:r>
            <w:r>
              <w:rPr>
                <w:color w:val="auto"/>
                <w:sz w:val="24"/>
                <w:szCs w:val="24"/>
              </w:rPr>
              <w:t>实施造成的生态效益损失是局部的，较小的，对</w:t>
            </w:r>
            <w:r>
              <w:rPr>
                <w:rFonts w:hint="eastAsia"/>
                <w:color w:val="auto"/>
                <w:sz w:val="24"/>
                <w:szCs w:val="24"/>
              </w:rPr>
              <w:t>评价</w:t>
            </w:r>
            <w:r>
              <w:rPr>
                <w:color w:val="auto"/>
                <w:sz w:val="24"/>
                <w:szCs w:val="24"/>
              </w:rPr>
              <w:t>区域生态环境不存在制约，不会对整个地区的植被生态形成威胁。</w:t>
            </w:r>
          </w:p>
        </w:tc>
      </w:tr>
      <w:tr w14:paraId="5D5F68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447" w:type="dxa"/>
            <w:tcMar>
              <w:left w:w="28" w:type="dxa"/>
              <w:right w:w="28" w:type="dxa"/>
            </w:tcMar>
            <w:vAlign w:val="center"/>
          </w:tcPr>
          <w:p w14:paraId="3840A94A">
            <w:pPr>
              <w:adjustRightInd w:val="0"/>
              <w:snapToGrid w:val="0"/>
              <w:jc w:val="center"/>
              <w:rPr>
                <w:bCs/>
                <w:color w:val="auto"/>
                <w:szCs w:val="21"/>
              </w:rPr>
            </w:pPr>
            <w:r>
              <w:rPr>
                <w:bCs/>
                <w:color w:val="auto"/>
                <w:szCs w:val="21"/>
              </w:rPr>
              <w:t>运营</w:t>
            </w:r>
          </w:p>
          <w:p w14:paraId="0952928A">
            <w:pPr>
              <w:adjustRightInd w:val="0"/>
              <w:snapToGrid w:val="0"/>
              <w:jc w:val="center"/>
              <w:rPr>
                <w:bCs/>
                <w:color w:val="auto"/>
                <w:szCs w:val="21"/>
              </w:rPr>
            </w:pPr>
            <w:r>
              <w:rPr>
                <w:bCs/>
                <w:color w:val="auto"/>
                <w:szCs w:val="21"/>
              </w:rPr>
              <w:t>期环</w:t>
            </w:r>
          </w:p>
          <w:p w14:paraId="5CCEC836">
            <w:pPr>
              <w:adjustRightInd w:val="0"/>
              <w:snapToGrid w:val="0"/>
              <w:jc w:val="center"/>
              <w:rPr>
                <w:bCs/>
                <w:color w:val="auto"/>
                <w:szCs w:val="21"/>
              </w:rPr>
            </w:pPr>
            <w:r>
              <w:rPr>
                <w:bCs/>
                <w:color w:val="auto"/>
                <w:szCs w:val="21"/>
              </w:rPr>
              <w:t>境影</w:t>
            </w:r>
          </w:p>
          <w:p w14:paraId="21166AB7">
            <w:pPr>
              <w:adjustRightInd w:val="0"/>
              <w:snapToGrid w:val="0"/>
              <w:jc w:val="center"/>
              <w:rPr>
                <w:bCs/>
                <w:color w:val="auto"/>
                <w:szCs w:val="21"/>
              </w:rPr>
            </w:pPr>
            <w:r>
              <w:rPr>
                <w:bCs/>
                <w:color w:val="auto"/>
                <w:szCs w:val="21"/>
              </w:rPr>
              <w:t>响和</w:t>
            </w:r>
          </w:p>
          <w:p w14:paraId="1B448D41">
            <w:pPr>
              <w:adjustRightInd w:val="0"/>
              <w:snapToGrid w:val="0"/>
              <w:jc w:val="center"/>
              <w:rPr>
                <w:bCs/>
                <w:color w:val="auto"/>
                <w:szCs w:val="21"/>
              </w:rPr>
            </w:pPr>
            <w:r>
              <w:rPr>
                <w:bCs/>
                <w:color w:val="auto"/>
                <w:szCs w:val="21"/>
              </w:rPr>
              <w:t>保护</w:t>
            </w:r>
          </w:p>
          <w:p w14:paraId="5AC8B367">
            <w:pPr>
              <w:pStyle w:val="25"/>
              <w:adjustRightInd w:val="0"/>
              <w:snapToGrid w:val="0"/>
              <w:spacing w:before="0" w:beforeAutospacing="0" w:after="0" w:afterAutospacing="0"/>
              <w:jc w:val="center"/>
              <w:rPr>
                <w:rFonts w:ascii="Times New Roman" w:hAnsi="Times New Roman"/>
                <w:color w:val="auto"/>
                <w:kern w:val="2"/>
                <w:szCs w:val="24"/>
              </w:rPr>
            </w:pPr>
            <w:r>
              <w:rPr>
                <w:rFonts w:ascii="Times New Roman" w:hAnsi="Times New Roman"/>
                <w:bCs/>
                <w:color w:val="auto"/>
                <w:szCs w:val="21"/>
              </w:rPr>
              <w:t>措施</w:t>
            </w:r>
          </w:p>
        </w:tc>
        <w:tc>
          <w:tcPr>
            <w:tcW w:w="8534" w:type="dxa"/>
            <w:vAlign w:val="center"/>
          </w:tcPr>
          <w:p w14:paraId="34CE3D28">
            <w:pPr>
              <w:adjustRightInd w:val="0"/>
              <w:snapToGrid w:val="0"/>
              <w:spacing w:line="360" w:lineRule="auto"/>
              <w:jc w:val="left"/>
              <w:rPr>
                <w:b/>
                <w:bCs/>
                <w:color w:val="auto"/>
                <w:sz w:val="24"/>
              </w:rPr>
            </w:pPr>
            <w:r>
              <w:rPr>
                <w:b/>
                <w:bCs/>
                <w:color w:val="auto"/>
                <w:sz w:val="24"/>
              </w:rPr>
              <w:t>一、废气</w:t>
            </w:r>
          </w:p>
          <w:p w14:paraId="2CB52243">
            <w:pPr>
              <w:pStyle w:val="94"/>
              <w:spacing w:before="0" w:after="0" w:line="360" w:lineRule="auto"/>
              <w:ind w:right="0"/>
              <w:jc w:val="left"/>
              <w:rPr>
                <w:snapToGrid w:val="0"/>
                <w:color w:val="auto"/>
              </w:rPr>
            </w:pPr>
            <w:r>
              <w:rPr>
                <w:snapToGrid w:val="0"/>
                <w:color w:val="auto"/>
              </w:rPr>
              <w:t>1.废气污染源及源强分析</w:t>
            </w:r>
          </w:p>
          <w:p w14:paraId="0E5EEC37">
            <w:pPr>
              <w:pStyle w:val="70"/>
              <w:spacing w:line="36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本项目废气主要为</w:t>
            </w:r>
            <w:r>
              <w:rPr>
                <w:rFonts w:hint="eastAsia" w:cs="Times New Roman"/>
                <w:color w:val="auto"/>
                <w:highlight w:val="none"/>
                <w:lang w:val="en-US" w:eastAsia="zh-CN"/>
              </w:rPr>
              <w:t>餐厨废油、餐厨垃圾处理过程中和储罐暂存的</w:t>
            </w:r>
            <w:r>
              <w:rPr>
                <w:rFonts w:hint="default" w:ascii="Times New Roman" w:hAnsi="Times New Roman" w:eastAsia="宋体" w:cs="Times New Roman"/>
                <w:color w:val="auto"/>
                <w:highlight w:val="none"/>
                <w:lang w:val="en-US" w:eastAsia="zh-CN"/>
              </w:rPr>
              <w:t>产生的</w:t>
            </w:r>
            <w:r>
              <w:rPr>
                <w:rFonts w:hint="eastAsia" w:cs="Times New Roman"/>
                <w:color w:val="auto"/>
                <w:highlight w:val="none"/>
                <w:lang w:val="en-US" w:eastAsia="zh-CN"/>
              </w:rPr>
              <w:t>恶臭氨气、硫化氢、臭气浓度</w:t>
            </w:r>
            <w:r>
              <w:rPr>
                <w:rFonts w:hint="default" w:ascii="Times New Roman" w:hAnsi="Times New Roman" w:eastAsia="宋体" w:cs="Times New Roman"/>
                <w:color w:val="auto"/>
                <w:highlight w:val="none"/>
                <w:lang w:val="en-US" w:eastAsia="zh-CN"/>
              </w:rPr>
              <w:t>；</w:t>
            </w:r>
            <w:r>
              <w:rPr>
                <w:rFonts w:hint="eastAsia" w:cs="Times New Roman"/>
                <w:color w:val="auto"/>
                <w:highlight w:val="none"/>
                <w:lang w:val="en-US" w:eastAsia="zh-CN"/>
              </w:rPr>
              <w:t>加热和三相分离过程中的产生的非甲烷总烃</w:t>
            </w:r>
            <w:r>
              <w:rPr>
                <w:rFonts w:hint="default" w:ascii="Times New Roman" w:hAnsi="Times New Roman" w:eastAsia="宋体" w:cs="Times New Roman"/>
                <w:color w:val="auto"/>
                <w:highlight w:val="none"/>
                <w:lang w:val="en-US" w:eastAsia="zh-CN"/>
              </w:rPr>
              <w:t>。</w:t>
            </w:r>
          </w:p>
          <w:p w14:paraId="1EC6E91D">
            <w:pPr>
              <w:pStyle w:val="70"/>
              <w:spacing w:line="360" w:lineRule="auto"/>
              <w:rPr>
                <w:color w:val="auto"/>
              </w:rPr>
            </w:pPr>
            <w:r>
              <w:rPr>
                <w:color w:val="auto"/>
              </w:rPr>
              <w:t>本项目废气产污节点及处理措施汇总如下：</w:t>
            </w:r>
          </w:p>
          <w:p w14:paraId="0FD24873">
            <w:pPr>
              <w:pStyle w:val="70"/>
              <w:spacing w:line="240" w:lineRule="auto"/>
              <w:ind w:firstLine="482"/>
              <w:jc w:val="center"/>
              <w:rPr>
                <w:color w:val="auto"/>
              </w:rPr>
            </w:pPr>
            <w:r>
              <w:rPr>
                <w:b/>
                <w:bCs/>
                <w:color w:val="auto"/>
                <w:sz w:val="21"/>
                <w:szCs w:val="21"/>
              </w:rPr>
              <w:t>表4-</w:t>
            </w:r>
            <w:r>
              <w:rPr>
                <w:rFonts w:hint="eastAsia"/>
                <w:b/>
                <w:bCs/>
                <w:color w:val="auto"/>
                <w:sz w:val="21"/>
                <w:szCs w:val="21"/>
                <w:lang w:val="en-US" w:eastAsia="zh-CN"/>
              </w:rPr>
              <w:t>3</w:t>
            </w:r>
            <w:r>
              <w:rPr>
                <w:b/>
                <w:bCs/>
                <w:color w:val="auto"/>
                <w:sz w:val="21"/>
                <w:szCs w:val="21"/>
              </w:rPr>
              <w:t xml:space="preserve"> 本项目废气产污节点及处理措施汇总表</w:t>
            </w:r>
          </w:p>
          <w:tbl>
            <w:tblPr>
              <w:tblStyle w:val="29"/>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1"/>
              <w:gridCol w:w="1127"/>
              <w:gridCol w:w="1651"/>
              <w:gridCol w:w="2670"/>
              <w:gridCol w:w="1526"/>
            </w:tblGrid>
            <w:tr w14:paraId="10788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96" w:type="pct"/>
                  <w:vAlign w:val="center"/>
                </w:tcPr>
                <w:p w14:paraId="61A41B90">
                  <w:pPr>
                    <w:jc w:val="center"/>
                    <w:rPr>
                      <w:b/>
                      <w:bCs/>
                      <w:color w:val="auto"/>
                      <w:szCs w:val="21"/>
                    </w:rPr>
                  </w:pPr>
                  <w:r>
                    <w:rPr>
                      <w:b/>
                      <w:bCs/>
                      <w:color w:val="auto"/>
                      <w:szCs w:val="21"/>
                    </w:rPr>
                    <w:t>产污节点</w:t>
                  </w:r>
                </w:p>
              </w:tc>
              <w:tc>
                <w:tcPr>
                  <w:tcW w:w="679" w:type="pct"/>
                  <w:vAlign w:val="center"/>
                </w:tcPr>
                <w:p w14:paraId="33E65F8A">
                  <w:pPr>
                    <w:jc w:val="center"/>
                    <w:rPr>
                      <w:b/>
                      <w:bCs/>
                      <w:color w:val="auto"/>
                      <w:szCs w:val="21"/>
                    </w:rPr>
                  </w:pPr>
                  <w:r>
                    <w:rPr>
                      <w:b/>
                      <w:bCs/>
                      <w:color w:val="auto"/>
                      <w:szCs w:val="21"/>
                    </w:rPr>
                    <w:t>污染物</w:t>
                  </w:r>
                </w:p>
              </w:tc>
              <w:tc>
                <w:tcPr>
                  <w:tcW w:w="995" w:type="pct"/>
                  <w:vAlign w:val="center"/>
                </w:tcPr>
                <w:p w14:paraId="0441ED8F">
                  <w:pPr>
                    <w:jc w:val="center"/>
                    <w:rPr>
                      <w:rFonts w:hint="eastAsia" w:eastAsia="宋体"/>
                      <w:b/>
                      <w:bCs/>
                      <w:color w:val="auto"/>
                      <w:szCs w:val="21"/>
                      <w:lang w:eastAsia="zh-CN"/>
                    </w:rPr>
                  </w:pPr>
                  <w:r>
                    <w:rPr>
                      <w:rFonts w:hint="eastAsia"/>
                      <w:b/>
                      <w:bCs/>
                      <w:color w:val="auto"/>
                      <w:szCs w:val="21"/>
                      <w:lang w:eastAsia="zh-CN"/>
                    </w:rPr>
                    <w:t>产污设备</w:t>
                  </w:r>
                </w:p>
              </w:tc>
              <w:tc>
                <w:tcPr>
                  <w:tcW w:w="1609" w:type="pct"/>
                  <w:vAlign w:val="center"/>
                </w:tcPr>
                <w:p w14:paraId="755D599A">
                  <w:pPr>
                    <w:jc w:val="center"/>
                    <w:rPr>
                      <w:b/>
                      <w:bCs/>
                      <w:color w:val="auto"/>
                      <w:szCs w:val="21"/>
                    </w:rPr>
                  </w:pPr>
                  <w:r>
                    <w:rPr>
                      <w:b/>
                      <w:bCs/>
                      <w:color w:val="auto"/>
                      <w:szCs w:val="21"/>
                    </w:rPr>
                    <w:t>密闭及收集方式</w:t>
                  </w:r>
                </w:p>
              </w:tc>
              <w:tc>
                <w:tcPr>
                  <w:tcW w:w="919" w:type="pct"/>
                  <w:vAlign w:val="center"/>
                </w:tcPr>
                <w:p w14:paraId="54ABDB82">
                  <w:pPr>
                    <w:jc w:val="center"/>
                    <w:rPr>
                      <w:b/>
                      <w:bCs/>
                      <w:color w:val="auto"/>
                      <w:szCs w:val="21"/>
                    </w:rPr>
                  </w:pPr>
                  <w:r>
                    <w:rPr>
                      <w:b/>
                      <w:bCs/>
                      <w:color w:val="auto"/>
                      <w:szCs w:val="21"/>
                    </w:rPr>
                    <w:t>处理措施</w:t>
                  </w:r>
                </w:p>
              </w:tc>
            </w:tr>
            <w:tr w14:paraId="1F2F1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796" w:type="pct"/>
                  <w:vMerge w:val="restart"/>
                  <w:vAlign w:val="center"/>
                </w:tcPr>
                <w:p w14:paraId="6E171A8A">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接料送料</w:t>
                  </w:r>
                </w:p>
              </w:tc>
              <w:tc>
                <w:tcPr>
                  <w:tcW w:w="679" w:type="pct"/>
                  <w:vMerge w:val="restart"/>
                  <w:vAlign w:val="center"/>
                </w:tcPr>
                <w:p w14:paraId="712BBE64">
                  <w:pPr>
                    <w:jc w:val="center"/>
                    <w:rPr>
                      <w:rFonts w:hint="eastAsia" w:eastAsia="宋体"/>
                      <w:color w:val="auto"/>
                      <w:szCs w:val="21"/>
                      <w:lang w:eastAsia="zh-CN"/>
                    </w:rPr>
                  </w:pPr>
                  <w:r>
                    <w:rPr>
                      <w:rFonts w:hint="eastAsia"/>
                      <w:color w:val="auto"/>
                      <w:szCs w:val="21"/>
                      <w:lang w:eastAsia="zh-CN"/>
                    </w:rPr>
                    <w:t>氨气、硫化氢、臭气浓度</w:t>
                  </w:r>
                </w:p>
              </w:tc>
              <w:tc>
                <w:tcPr>
                  <w:tcW w:w="995" w:type="pct"/>
                  <w:vAlign w:val="center"/>
                </w:tcPr>
                <w:p w14:paraId="59FB8D8C">
                  <w:pPr>
                    <w:jc w:val="center"/>
                    <w:rPr>
                      <w:rFonts w:hint="eastAsia"/>
                      <w:color w:val="auto"/>
                      <w:szCs w:val="21"/>
                      <w:lang w:eastAsia="zh-CN"/>
                    </w:rPr>
                  </w:pPr>
                  <w:r>
                    <w:rPr>
                      <w:rFonts w:hint="eastAsia"/>
                      <w:color w:val="auto"/>
                      <w:szCs w:val="21"/>
                      <w:lang w:eastAsia="zh-CN"/>
                    </w:rPr>
                    <w:t>接料斗</w:t>
                  </w:r>
                </w:p>
              </w:tc>
              <w:tc>
                <w:tcPr>
                  <w:tcW w:w="1609" w:type="pct"/>
                  <w:vAlign w:val="center"/>
                </w:tcPr>
                <w:p w14:paraId="004AD562">
                  <w:pPr>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卸料时，整个大卸料间密闭，卸料斗上方设置密闭房进行废气收集。接料斗顶部设置顶盖，不卸料时可以关闭防止臭气外溢。顶盖设有抽风口，通过密闭管道将臭气引至除臭装置。</w:t>
                  </w:r>
                </w:p>
              </w:tc>
              <w:tc>
                <w:tcPr>
                  <w:tcW w:w="919" w:type="pct"/>
                  <w:vMerge w:val="restart"/>
                  <w:vAlign w:val="center"/>
                </w:tcPr>
                <w:p w14:paraId="62868748">
                  <w:pPr>
                    <w:jc w:val="center"/>
                    <w:rPr>
                      <w:rFonts w:hint="default" w:cs="Times New Roman"/>
                      <w:color w:val="auto"/>
                      <w:kern w:val="2"/>
                      <w:sz w:val="21"/>
                      <w:szCs w:val="21"/>
                      <w:lang w:val="en-US" w:eastAsia="zh-CN" w:bidi="ar-SA"/>
                    </w:rPr>
                  </w:pPr>
                  <w:r>
                    <w:rPr>
                      <w:rFonts w:hint="default" w:cs="Times New Roman"/>
                      <w:color w:val="auto"/>
                      <w:kern w:val="2"/>
                      <w:sz w:val="21"/>
                      <w:szCs w:val="21"/>
                      <w:lang w:val="en-US" w:eastAsia="zh-CN" w:bidi="ar-SA"/>
                    </w:rPr>
                    <w:t>生产车间加热罐废气、三相离心设备废气经过油雾净化器</w:t>
                  </w:r>
                  <w:r>
                    <w:rPr>
                      <w:rFonts w:hint="eastAsia" w:cs="Times New Roman"/>
                      <w:color w:val="auto"/>
                      <w:kern w:val="2"/>
                      <w:sz w:val="21"/>
                      <w:szCs w:val="21"/>
                      <w:lang w:val="en-US" w:eastAsia="zh-CN" w:bidi="ar-SA"/>
                    </w:rPr>
                    <w:t>+管式热交换器处理</w:t>
                  </w:r>
                  <w:r>
                    <w:rPr>
                      <w:rFonts w:hint="default" w:cs="Times New Roman"/>
                      <w:color w:val="auto"/>
                      <w:kern w:val="2"/>
                      <w:sz w:val="21"/>
                      <w:szCs w:val="21"/>
                      <w:lang w:val="en-US" w:eastAsia="zh-CN" w:bidi="ar-SA"/>
                    </w:rPr>
                    <w:t>后</w:t>
                  </w:r>
                  <w:r>
                    <w:rPr>
                      <w:rFonts w:hint="eastAsia" w:cs="Times New Roman"/>
                      <w:color w:val="auto"/>
                      <w:kern w:val="2"/>
                      <w:sz w:val="21"/>
                      <w:szCs w:val="21"/>
                      <w:lang w:val="en-US" w:eastAsia="zh-CN" w:bidi="ar-SA"/>
                    </w:rPr>
                    <w:t>，汇同</w:t>
                  </w:r>
                  <w:r>
                    <w:rPr>
                      <w:rFonts w:hint="default" w:cs="Times New Roman"/>
                      <w:color w:val="auto"/>
                      <w:kern w:val="2"/>
                      <w:sz w:val="21"/>
                      <w:szCs w:val="21"/>
                      <w:lang w:val="en-US" w:eastAsia="zh-CN" w:bidi="ar-SA"/>
                    </w:rPr>
                    <w:t>车间其他废气</w:t>
                  </w:r>
                  <w:r>
                    <w:rPr>
                      <w:rFonts w:hint="eastAsia" w:cs="Times New Roman"/>
                      <w:color w:val="auto"/>
                      <w:kern w:val="2"/>
                      <w:sz w:val="21"/>
                      <w:szCs w:val="21"/>
                      <w:lang w:val="en-US" w:eastAsia="zh-CN" w:bidi="ar-SA"/>
                    </w:rPr>
                    <w:t>、储罐废气</w:t>
                  </w:r>
                  <w:r>
                    <w:rPr>
                      <w:rFonts w:hint="default" w:cs="Times New Roman"/>
                      <w:color w:val="auto"/>
                      <w:kern w:val="2"/>
                      <w:sz w:val="21"/>
                      <w:szCs w:val="21"/>
                      <w:lang w:val="en-US" w:eastAsia="zh-CN" w:bidi="ar-SA"/>
                    </w:rPr>
                    <w:t>混合进入酸洗+碱洗+</w:t>
                  </w:r>
                  <w:r>
                    <w:rPr>
                      <w:rFonts w:hint="eastAsia" w:cs="Times New Roman"/>
                      <w:color w:val="auto"/>
                      <w:kern w:val="2"/>
                      <w:sz w:val="21"/>
                      <w:szCs w:val="21"/>
                      <w:lang w:val="en-US" w:eastAsia="zh-CN" w:bidi="ar-SA"/>
                    </w:rPr>
                    <w:t>次氯酸钠洗+干式过滤器+一级活性炭</w:t>
                  </w:r>
                  <w:r>
                    <w:rPr>
                      <w:rFonts w:hint="default" w:cs="Times New Roman"/>
                      <w:color w:val="auto"/>
                      <w:kern w:val="2"/>
                      <w:sz w:val="21"/>
                      <w:szCs w:val="21"/>
                      <w:lang w:val="en-US" w:eastAsia="zh-CN" w:bidi="ar-SA"/>
                    </w:rPr>
                    <w:t>吸附后通过排气筒（DA001，15m）排放</w:t>
                  </w:r>
                </w:p>
              </w:tc>
            </w:tr>
            <w:tr w14:paraId="3DAAC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796" w:type="pct"/>
                  <w:vMerge w:val="continue"/>
                  <w:vAlign w:val="center"/>
                </w:tcPr>
                <w:p w14:paraId="3CC3EA2D">
                  <w:pPr>
                    <w:jc w:val="center"/>
                    <w:rPr>
                      <w:rFonts w:hint="eastAsia"/>
                      <w:color w:val="auto"/>
                      <w:szCs w:val="21"/>
                      <w:lang w:eastAsia="zh-CN"/>
                    </w:rPr>
                  </w:pPr>
                </w:p>
              </w:tc>
              <w:tc>
                <w:tcPr>
                  <w:tcW w:w="679" w:type="pct"/>
                  <w:vMerge w:val="continue"/>
                  <w:vAlign w:val="center"/>
                </w:tcPr>
                <w:p w14:paraId="5AB96801">
                  <w:pPr>
                    <w:jc w:val="center"/>
                    <w:rPr>
                      <w:rFonts w:hint="eastAsia"/>
                      <w:color w:val="auto"/>
                      <w:szCs w:val="21"/>
                      <w:lang w:eastAsia="zh-CN"/>
                    </w:rPr>
                  </w:pPr>
                </w:p>
              </w:tc>
              <w:tc>
                <w:tcPr>
                  <w:tcW w:w="995" w:type="pct"/>
                  <w:vAlign w:val="center"/>
                </w:tcPr>
                <w:p w14:paraId="0D67BD16">
                  <w:pPr>
                    <w:jc w:val="center"/>
                    <w:rPr>
                      <w:rFonts w:hint="eastAsia"/>
                      <w:color w:val="auto"/>
                      <w:szCs w:val="21"/>
                      <w:lang w:eastAsia="zh-CN"/>
                    </w:rPr>
                  </w:pPr>
                  <w:r>
                    <w:rPr>
                      <w:rFonts w:hint="eastAsia"/>
                      <w:color w:val="auto"/>
                      <w:szCs w:val="21"/>
                      <w:lang w:eastAsia="zh-CN"/>
                    </w:rPr>
                    <w:t>烘箱</w:t>
                  </w:r>
                </w:p>
              </w:tc>
              <w:tc>
                <w:tcPr>
                  <w:tcW w:w="1609" w:type="pct"/>
                  <w:vAlign w:val="center"/>
                </w:tcPr>
                <w:p w14:paraId="10381325">
                  <w:pPr>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设备</w:t>
                  </w:r>
                  <w:r>
                    <w:rPr>
                      <w:rFonts w:hint="default" w:cs="Times New Roman"/>
                      <w:color w:val="auto"/>
                      <w:kern w:val="2"/>
                      <w:sz w:val="21"/>
                      <w:szCs w:val="21"/>
                      <w:lang w:val="en-US" w:eastAsia="zh-CN" w:bidi="ar-SA"/>
                    </w:rPr>
                    <w:t>密闭，设备设置</w:t>
                  </w:r>
                  <w:r>
                    <w:rPr>
                      <w:rFonts w:hint="eastAsia" w:cs="Times New Roman"/>
                      <w:color w:val="auto"/>
                      <w:kern w:val="2"/>
                      <w:sz w:val="21"/>
                      <w:szCs w:val="21"/>
                      <w:lang w:val="en-US" w:eastAsia="zh-CN" w:bidi="ar-SA"/>
                    </w:rPr>
                    <w:t>抽风口</w:t>
                  </w:r>
                  <w:r>
                    <w:rPr>
                      <w:rFonts w:hint="default" w:cs="Times New Roman"/>
                      <w:color w:val="auto"/>
                      <w:kern w:val="2"/>
                      <w:sz w:val="21"/>
                      <w:szCs w:val="21"/>
                      <w:lang w:val="en-US" w:eastAsia="zh-CN" w:bidi="ar-SA"/>
                    </w:rPr>
                    <w:t>，</w:t>
                  </w:r>
                  <w:r>
                    <w:rPr>
                      <w:rFonts w:hint="eastAsia" w:cs="Times New Roman"/>
                      <w:color w:val="auto"/>
                      <w:kern w:val="2"/>
                      <w:sz w:val="21"/>
                      <w:szCs w:val="21"/>
                      <w:lang w:val="en-US" w:eastAsia="zh-CN" w:bidi="ar-SA"/>
                    </w:rPr>
                    <w:t>通过密闭管道将臭气引至除臭装置</w:t>
                  </w:r>
                </w:p>
              </w:tc>
              <w:tc>
                <w:tcPr>
                  <w:tcW w:w="919" w:type="pct"/>
                  <w:vMerge w:val="continue"/>
                  <w:vAlign w:val="center"/>
                </w:tcPr>
                <w:p w14:paraId="2465C5F8">
                  <w:pPr>
                    <w:jc w:val="center"/>
                    <w:rPr>
                      <w:rFonts w:hint="default" w:cs="Times New Roman"/>
                      <w:color w:val="auto"/>
                      <w:kern w:val="2"/>
                      <w:sz w:val="21"/>
                      <w:szCs w:val="21"/>
                      <w:lang w:val="en-US" w:eastAsia="zh-CN" w:bidi="ar-SA"/>
                    </w:rPr>
                  </w:pPr>
                </w:p>
              </w:tc>
            </w:tr>
            <w:tr w14:paraId="1F552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96" w:type="pct"/>
                  <w:vMerge w:val="restart"/>
                  <w:shd w:val="clear" w:color="auto" w:fill="auto"/>
                  <w:vAlign w:val="center"/>
                </w:tcPr>
                <w:p w14:paraId="17F8523D">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餐厨废弃油脂除杂</w:t>
                  </w:r>
                </w:p>
              </w:tc>
              <w:tc>
                <w:tcPr>
                  <w:tcW w:w="679" w:type="pct"/>
                  <w:vMerge w:val="restart"/>
                  <w:shd w:val="clear" w:color="auto" w:fill="auto"/>
                  <w:vAlign w:val="center"/>
                </w:tcPr>
                <w:p w14:paraId="366C65EB">
                  <w:pPr>
                    <w:jc w:val="center"/>
                    <w:rPr>
                      <w:rFonts w:hint="eastAsia" w:eastAsia="宋体"/>
                      <w:color w:val="auto"/>
                      <w:szCs w:val="21"/>
                      <w:lang w:eastAsia="zh-CN"/>
                    </w:rPr>
                  </w:pPr>
                  <w:r>
                    <w:rPr>
                      <w:rFonts w:hint="eastAsia"/>
                      <w:color w:val="auto"/>
                      <w:szCs w:val="21"/>
                      <w:lang w:eastAsia="zh-CN"/>
                    </w:rPr>
                    <w:t>氨气、硫化氢、臭气浓度</w:t>
                  </w:r>
                </w:p>
              </w:tc>
              <w:tc>
                <w:tcPr>
                  <w:tcW w:w="995" w:type="pct"/>
                  <w:shd w:val="clear" w:color="auto" w:fill="auto"/>
                  <w:vAlign w:val="center"/>
                </w:tcPr>
                <w:p w14:paraId="00F315C6">
                  <w:pPr>
                    <w:jc w:val="center"/>
                    <w:rPr>
                      <w:rFonts w:hint="eastAsia"/>
                      <w:color w:val="auto"/>
                      <w:szCs w:val="21"/>
                      <w:lang w:eastAsia="zh-CN"/>
                    </w:rPr>
                  </w:pPr>
                  <w:r>
                    <w:rPr>
                      <w:rFonts w:hint="eastAsia"/>
                      <w:color w:val="auto"/>
                      <w:szCs w:val="21"/>
                      <w:lang w:eastAsia="zh-CN"/>
                    </w:rPr>
                    <w:t>除杂机</w:t>
                  </w:r>
                </w:p>
              </w:tc>
              <w:tc>
                <w:tcPr>
                  <w:tcW w:w="1609" w:type="pct"/>
                  <w:vMerge w:val="restart"/>
                  <w:vAlign w:val="center"/>
                </w:tcPr>
                <w:p w14:paraId="6988EE69">
                  <w:pPr>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设备</w:t>
                  </w:r>
                  <w:r>
                    <w:rPr>
                      <w:rFonts w:hint="default" w:cs="Times New Roman"/>
                      <w:color w:val="auto"/>
                      <w:kern w:val="2"/>
                      <w:sz w:val="21"/>
                      <w:szCs w:val="21"/>
                      <w:lang w:val="en-US" w:eastAsia="zh-CN" w:bidi="ar-SA"/>
                    </w:rPr>
                    <w:t>密闭，设备设置</w:t>
                  </w:r>
                  <w:r>
                    <w:rPr>
                      <w:rFonts w:hint="eastAsia" w:cs="Times New Roman"/>
                      <w:color w:val="auto"/>
                      <w:kern w:val="2"/>
                      <w:sz w:val="21"/>
                      <w:szCs w:val="21"/>
                      <w:lang w:val="en-US" w:eastAsia="zh-CN" w:bidi="ar-SA"/>
                    </w:rPr>
                    <w:t>抽风口</w:t>
                  </w:r>
                  <w:r>
                    <w:rPr>
                      <w:rFonts w:hint="default" w:cs="Times New Roman"/>
                      <w:color w:val="auto"/>
                      <w:kern w:val="2"/>
                      <w:sz w:val="21"/>
                      <w:szCs w:val="21"/>
                      <w:lang w:val="en-US" w:eastAsia="zh-CN" w:bidi="ar-SA"/>
                    </w:rPr>
                    <w:t>，</w:t>
                  </w:r>
                  <w:r>
                    <w:rPr>
                      <w:rFonts w:hint="eastAsia" w:cs="Times New Roman"/>
                      <w:color w:val="auto"/>
                      <w:kern w:val="2"/>
                      <w:sz w:val="21"/>
                      <w:szCs w:val="21"/>
                      <w:lang w:val="en-US" w:eastAsia="zh-CN" w:bidi="ar-SA"/>
                    </w:rPr>
                    <w:t>通过密闭管道将臭气引至除臭装置</w:t>
                  </w:r>
                </w:p>
              </w:tc>
              <w:tc>
                <w:tcPr>
                  <w:tcW w:w="919" w:type="pct"/>
                  <w:vMerge w:val="continue"/>
                  <w:vAlign w:val="center"/>
                </w:tcPr>
                <w:p w14:paraId="7D826641">
                  <w:pPr>
                    <w:jc w:val="center"/>
                    <w:rPr>
                      <w:rFonts w:hint="eastAsia" w:cs="Times New Roman"/>
                      <w:color w:val="auto"/>
                      <w:kern w:val="2"/>
                      <w:sz w:val="21"/>
                      <w:szCs w:val="21"/>
                      <w:lang w:val="en-US" w:eastAsia="zh-CN" w:bidi="ar-SA"/>
                    </w:rPr>
                  </w:pPr>
                </w:p>
              </w:tc>
            </w:tr>
            <w:tr w14:paraId="3242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96" w:type="pct"/>
                  <w:vMerge w:val="continue"/>
                  <w:shd w:val="clear" w:color="auto" w:fill="auto"/>
                  <w:vAlign w:val="center"/>
                </w:tcPr>
                <w:p w14:paraId="089748D2">
                  <w:pPr>
                    <w:jc w:val="center"/>
                    <w:rPr>
                      <w:rFonts w:hint="eastAsia"/>
                      <w:color w:val="auto"/>
                      <w:szCs w:val="21"/>
                      <w:lang w:eastAsia="zh-CN"/>
                    </w:rPr>
                  </w:pPr>
                </w:p>
              </w:tc>
              <w:tc>
                <w:tcPr>
                  <w:tcW w:w="679" w:type="pct"/>
                  <w:vMerge w:val="continue"/>
                  <w:shd w:val="clear" w:color="auto" w:fill="auto"/>
                  <w:vAlign w:val="center"/>
                </w:tcPr>
                <w:p w14:paraId="33089614">
                  <w:pPr>
                    <w:jc w:val="center"/>
                    <w:rPr>
                      <w:rFonts w:hint="eastAsia"/>
                      <w:color w:val="auto"/>
                      <w:szCs w:val="21"/>
                      <w:lang w:eastAsia="zh-CN"/>
                    </w:rPr>
                  </w:pPr>
                </w:p>
              </w:tc>
              <w:tc>
                <w:tcPr>
                  <w:tcW w:w="995" w:type="pct"/>
                  <w:shd w:val="clear" w:color="auto" w:fill="auto"/>
                  <w:vAlign w:val="center"/>
                </w:tcPr>
                <w:p w14:paraId="11A4232B">
                  <w:pPr>
                    <w:jc w:val="center"/>
                    <w:rPr>
                      <w:rFonts w:hint="eastAsia"/>
                      <w:color w:val="auto"/>
                      <w:szCs w:val="21"/>
                      <w:lang w:eastAsia="zh-CN"/>
                    </w:rPr>
                  </w:pPr>
                  <w:r>
                    <w:rPr>
                      <w:rFonts w:hint="eastAsia"/>
                      <w:color w:val="auto"/>
                      <w:szCs w:val="21"/>
                      <w:lang w:eastAsia="zh-CN"/>
                    </w:rPr>
                    <w:t>集油箱</w:t>
                  </w:r>
                </w:p>
              </w:tc>
              <w:tc>
                <w:tcPr>
                  <w:tcW w:w="1609" w:type="pct"/>
                  <w:vMerge w:val="continue"/>
                  <w:vAlign w:val="center"/>
                </w:tcPr>
                <w:p w14:paraId="21AE127C">
                  <w:pPr>
                    <w:jc w:val="center"/>
                    <w:rPr>
                      <w:rFonts w:hint="eastAsia" w:cs="Times New Roman"/>
                      <w:color w:val="auto"/>
                      <w:kern w:val="2"/>
                      <w:sz w:val="21"/>
                      <w:szCs w:val="21"/>
                      <w:lang w:val="en-US" w:eastAsia="zh-CN" w:bidi="ar-SA"/>
                    </w:rPr>
                  </w:pPr>
                </w:p>
              </w:tc>
              <w:tc>
                <w:tcPr>
                  <w:tcW w:w="919" w:type="pct"/>
                  <w:vMerge w:val="continue"/>
                  <w:vAlign w:val="center"/>
                </w:tcPr>
                <w:p w14:paraId="5867567B">
                  <w:pPr>
                    <w:jc w:val="center"/>
                    <w:rPr>
                      <w:rFonts w:hint="eastAsia" w:cs="Times New Roman"/>
                      <w:color w:val="auto"/>
                      <w:kern w:val="2"/>
                      <w:sz w:val="21"/>
                      <w:szCs w:val="21"/>
                      <w:lang w:val="en-US" w:eastAsia="zh-CN" w:bidi="ar-SA"/>
                    </w:rPr>
                  </w:pPr>
                </w:p>
              </w:tc>
            </w:tr>
            <w:tr w14:paraId="75259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796" w:type="pct"/>
                  <w:vMerge w:val="restart"/>
                  <w:shd w:val="clear" w:color="auto" w:fill="auto"/>
                  <w:vAlign w:val="center"/>
                </w:tcPr>
                <w:p w14:paraId="7507DF21">
                  <w:pPr>
                    <w:jc w:val="center"/>
                    <w:rPr>
                      <w:rFonts w:hint="eastAsia"/>
                      <w:color w:val="auto"/>
                      <w:szCs w:val="21"/>
                      <w:lang w:eastAsia="zh-CN"/>
                    </w:rPr>
                  </w:pPr>
                  <w:r>
                    <w:rPr>
                      <w:rFonts w:hint="eastAsia"/>
                      <w:color w:val="auto"/>
                      <w:szCs w:val="21"/>
                      <w:lang w:eastAsia="zh-CN"/>
                    </w:rPr>
                    <w:t>餐厨垃圾高压挤压</w:t>
                  </w:r>
                </w:p>
              </w:tc>
              <w:tc>
                <w:tcPr>
                  <w:tcW w:w="679" w:type="pct"/>
                  <w:vMerge w:val="restart"/>
                  <w:shd w:val="clear" w:color="auto" w:fill="auto"/>
                  <w:vAlign w:val="center"/>
                </w:tcPr>
                <w:p w14:paraId="058C0C4F">
                  <w:pPr>
                    <w:jc w:val="center"/>
                    <w:rPr>
                      <w:rFonts w:hint="eastAsia"/>
                      <w:color w:val="auto"/>
                      <w:szCs w:val="21"/>
                      <w:lang w:eastAsia="zh-CN"/>
                    </w:rPr>
                  </w:pPr>
                  <w:r>
                    <w:rPr>
                      <w:rFonts w:hint="eastAsia"/>
                      <w:color w:val="auto"/>
                      <w:szCs w:val="21"/>
                      <w:lang w:eastAsia="zh-CN"/>
                    </w:rPr>
                    <w:t>氨气、硫化氢、臭气浓度</w:t>
                  </w:r>
                </w:p>
              </w:tc>
              <w:tc>
                <w:tcPr>
                  <w:tcW w:w="995" w:type="pct"/>
                  <w:shd w:val="clear" w:color="auto" w:fill="auto"/>
                  <w:vAlign w:val="center"/>
                </w:tcPr>
                <w:p w14:paraId="0CDC9807">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撕碎机</w:t>
                  </w:r>
                </w:p>
              </w:tc>
              <w:tc>
                <w:tcPr>
                  <w:tcW w:w="1609" w:type="pct"/>
                  <w:vMerge w:val="continue"/>
                  <w:vAlign w:val="center"/>
                </w:tcPr>
                <w:p w14:paraId="1312E13C">
                  <w:pPr>
                    <w:jc w:val="center"/>
                    <w:rPr>
                      <w:rFonts w:hint="eastAsia" w:cs="Times New Roman"/>
                      <w:color w:val="auto"/>
                      <w:kern w:val="2"/>
                      <w:sz w:val="21"/>
                      <w:szCs w:val="21"/>
                      <w:lang w:val="en-US" w:eastAsia="zh-CN" w:bidi="ar-SA"/>
                    </w:rPr>
                  </w:pPr>
                </w:p>
              </w:tc>
              <w:tc>
                <w:tcPr>
                  <w:tcW w:w="919" w:type="pct"/>
                  <w:vMerge w:val="continue"/>
                  <w:vAlign w:val="center"/>
                </w:tcPr>
                <w:p w14:paraId="1DCBFB35">
                  <w:pPr>
                    <w:jc w:val="center"/>
                    <w:rPr>
                      <w:rFonts w:hint="eastAsia" w:cs="Times New Roman"/>
                      <w:color w:val="auto"/>
                      <w:kern w:val="2"/>
                      <w:sz w:val="21"/>
                      <w:szCs w:val="21"/>
                      <w:lang w:val="en-US" w:eastAsia="zh-CN" w:bidi="ar-SA"/>
                    </w:rPr>
                  </w:pPr>
                </w:p>
              </w:tc>
            </w:tr>
            <w:tr w14:paraId="2C194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796" w:type="pct"/>
                  <w:vMerge w:val="continue"/>
                  <w:shd w:val="clear" w:color="auto" w:fill="auto"/>
                  <w:vAlign w:val="center"/>
                </w:tcPr>
                <w:p w14:paraId="0484FF8F">
                  <w:pPr>
                    <w:jc w:val="center"/>
                    <w:rPr>
                      <w:color w:val="auto"/>
                    </w:rPr>
                  </w:pPr>
                </w:p>
              </w:tc>
              <w:tc>
                <w:tcPr>
                  <w:tcW w:w="679" w:type="pct"/>
                  <w:vMerge w:val="continue"/>
                  <w:shd w:val="clear" w:color="auto" w:fill="auto"/>
                  <w:vAlign w:val="center"/>
                </w:tcPr>
                <w:p w14:paraId="105E8ED9">
                  <w:pPr>
                    <w:jc w:val="center"/>
                    <w:rPr>
                      <w:color w:val="auto"/>
                    </w:rPr>
                  </w:pPr>
                </w:p>
              </w:tc>
              <w:tc>
                <w:tcPr>
                  <w:tcW w:w="995" w:type="pct"/>
                  <w:shd w:val="clear" w:color="auto" w:fill="auto"/>
                  <w:vAlign w:val="center"/>
                </w:tcPr>
                <w:p w14:paraId="42F670C0">
                  <w:pPr>
                    <w:jc w:val="center"/>
                    <w:rPr>
                      <w:rFonts w:hint="eastAsia"/>
                      <w:color w:val="auto"/>
                      <w:szCs w:val="21"/>
                      <w:lang w:eastAsia="zh-CN"/>
                    </w:rPr>
                  </w:pPr>
                  <w:r>
                    <w:rPr>
                      <w:rFonts w:hint="eastAsia"/>
                      <w:color w:val="auto"/>
                      <w:szCs w:val="21"/>
                      <w:lang w:eastAsia="zh-CN"/>
                    </w:rPr>
                    <w:t>高压挤压设备</w:t>
                  </w:r>
                </w:p>
              </w:tc>
              <w:tc>
                <w:tcPr>
                  <w:tcW w:w="1609" w:type="pct"/>
                  <w:vMerge w:val="continue"/>
                  <w:vAlign w:val="center"/>
                </w:tcPr>
                <w:p w14:paraId="374F105B">
                  <w:pPr>
                    <w:jc w:val="center"/>
                    <w:rPr>
                      <w:rFonts w:hint="eastAsia"/>
                      <w:color w:val="auto"/>
                      <w:szCs w:val="21"/>
                      <w:lang w:eastAsia="zh-CN"/>
                    </w:rPr>
                  </w:pPr>
                </w:p>
              </w:tc>
              <w:tc>
                <w:tcPr>
                  <w:tcW w:w="919" w:type="pct"/>
                  <w:vMerge w:val="continue"/>
                  <w:vAlign w:val="center"/>
                </w:tcPr>
                <w:p w14:paraId="1B806CBE">
                  <w:pPr>
                    <w:jc w:val="center"/>
                    <w:rPr>
                      <w:rFonts w:hint="eastAsia"/>
                      <w:color w:val="auto"/>
                      <w:szCs w:val="21"/>
                      <w:lang w:eastAsia="zh-CN"/>
                    </w:rPr>
                  </w:pPr>
                </w:p>
              </w:tc>
            </w:tr>
            <w:tr w14:paraId="1F06F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796" w:type="pct"/>
                  <w:vMerge w:val="continue"/>
                  <w:shd w:val="clear" w:color="auto" w:fill="auto"/>
                  <w:vAlign w:val="center"/>
                </w:tcPr>
                <w:p w14:paraId="62ADA982">
                  <w:pPr>
                    <w:jc w:val="center"/>
                    <w:rPr>
                      <w:color w:val="auto"/>
                    </w:rPr>
                  </w:pPr>
                </w:p>
              </w:tc>
              <w:tc>
                <w:tcPr>
                  <w:tcW w:w="679" w:type="pct"/>
                  <w:vMerge w:val="continue"/>
                  <w:shd w:val="clear" w:color="auto" w:fill="auto"/>
                  <w:vAlign w:val="center"/>
                </w:tcPr>
                <w:p w14:paraId="6ACADE2B">
                  <w:pPr>
                    <w:jc w:val="center"/>
                    <w:rPr>
                      <w:color w:val="auto"/>
                    </w:rPr>
                  </w:pPr>
                </w:p>
              </w:tc>
              <w:tc>
                <w:tcPr>
                  <w:tcW w:w="995" w:type="pct"/>
                  <w:shd w:val="clear" w:color="auto" w:fill="auto"/>
                  <w:vAlign w:val="center"/>
                </w:tcPr>
                <w:p w14:paraId="4B7DA5E4">
                  <w:pPr>
                    <w:jc w:val="center"/>
                    <w:rPr>
                      <w:rFonts w:hint="eastAsia"/>
                      <w:color w:val="auto"/>
                      <w:szCs w:val="21"/>
                      <w:lang w:eastAsia="zh-CN"/>
                    </w:rPr>
                  </w:pPr>
                  <w:r>
                    <w:rPr>
                      <w:rFonts w:hint="eastAsia"/>
                      <w:color w:val="auto"/>
                      <w:szCs w:val="21"/>
                      <w:lang w:eastAsia="zh-CN"/>
                    </w:rPr>
                    <w:t>沥液池（加盖）</w:t>
                  </w:r>
                </w:p>
              </w:tc>
              <w:tc>
                <w:tcPr>
                  <w:tcW w:w="1609" w:type="pct"/>
                  <w:vMerge w:val="continue"/>
                  <w:vAlign w:val="center"/>
                </w:tcPr>
                <w:p w14:paraId="7A75A150">
                  <w:pPr>
                    <w:jc w:val="center"/>
                    <w:rPr>
                      <w:rFonts w:hint="eastAsia"/>
                      <w:color w:val="auto"/>
                      <w:szCs w:val="21"/>
                      <w:lang w:eastAsia="zh-CN"/>
                    </w:rPr>
                  </w:pPr>
                </w:p>
              </w:tc>
              <w:tc>
                <w:tcPr>
                  <w:tcW w:w="919" w:type="pct"/>
                  <w:vMerge w:val="continue"/>
                  <w:vAlign w:val="center"/>
                </w:tcPr>
                <w:p w14:paraId="15BC600C">
                  <w:pPr>
                    <w:jc w:val="center"/>
                    <w:rPr>
                      <w:rFonts w:hint="eastAsia"/>
                      <w:color w:val="auto"/>
                      <w:szCs w:val="21"/>
                      <w:lang w:eastAsia="zh-CN"/>
                    </w:rPr>
                  </w:pPr>
                </w:p>
              </w:tc>
            </w:tr>
            <w:tr w14:paraId="4DFA8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796" w:type="pct"/>
                  <w:vMerge w:val="continue"/>
                  <w:shd w:val="clear" w:color="auto" w:fill="auto"/>
                  <w:vAlign w:val="center"/>
                </w:tcPr>
                <w:p w14:paraId="7C7BC56C">
                  <w:pPr>
                    <w:jc w:val="center"/>
                    <w:rPr>
                      <w:color w:val="auto"/>
                    </w:rPr>
                  </w:pPr>
                </w:p>
              </w:tc>
              <w:tc>
                <w:tcPr>
                  <w:tcW w:w="679" w:type="pct"/>
                  <w:vMerge w:val="continue"/>
                  <w:shd w:val="clear" w:color="auto" w:fill="auto"/>
                  <w:vAlign w:val="center"/>
                </w:tcPr>
                <w:p w14:paraId="012F86B4">
                  <w:pPr>
                    <w:jc w:val="center"/>
                    <w:rPr>
                      <w:color w:val="auto"/>
                    </w:rPr>
                  </w:pPr>
                </w:p>
              </w:tc>
              <w:tc>
                <w:tcPr>
                  <w:tcW w:w="995" w:type="pct"/>
                  <w:shd w:val="clear" w:color="auto" w:fill="auto"/>
                  <w:vAlign w:val="center"/>
                </w:tcPr>
                <w:p w14:paraId="6B420901">
                  <w:pPr>
                    <w:jc w:val="center"/>
                    <w:rPr>
                      <w:rFonts w:hint="eastAsia"/>
                      <w:color w:val="auto"/>
                      <w:szCs w:val="21"/>
                      <w:lang w:eastAsia="zh-CN"/>
                    </w:rPr>
                  </w:pPr>
                  <w:r>
                    <w:rPr>
                      <w:rFonts w:hint="eastAsia"/>
                      <w:color w:val="auto"/>
                      <w:szCs w:val="21"/>
                      <w:lang w:eastAsia="zh-CN"/>
                    </w:rPr>
                    <w:t>沥液收集箱</w:t>
                  </w:r>
                </w:p>
              </w:tc>
              <w:tc>
                <w:tcPr>
                  <w:tcW w:w="1609" w:type="pct"/>
                  <w:vMerge w:val="continue"/>
                  <w:vAlign w:val="center"/>
                </w:tcPr>
                <w:p w14:paraId="7CA06F93">
                  <w:pPr>
                    <w:jc w:val="center"/>
                    <w:rPr>
                      <w:rFonts w:hint="eastAsia"/>
                      <w:color w:val="auto"/>
                      <w:szCs w:val="21"/>
                      <w:lang w:eastAsia="zh-CN"/>
                    </w:rPr>
                  </w:pPr>
                </w:p>
              </w:tc>
              <w:tc>
                <w:tcPr>
                  <w:tcW w:w="919" w:type="pct"/>
                  <w:vMerge w:val="continue"/>
                  <w:vAlign w:val="center"/>
                </w:tcPr>
                <w:p w14:paraId="2E6AC1B7">
                  <w:pPr>
                    <w:jc w:val="center"/>
                    <w:rPr>
                      <w:rFonts w:hint="eastAsia"/>
                      <w:color w:val="auto"/>
                      <w:szCs w:val="21"/>
                      <w:lang w:eastAsia="zh-CN"/>
                    </w:rPr>
                  </w:pPr>
                </w:p>
              </w:tc>
            </w:tr>
            <w:tr w14:paraId="7A8D2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796" w:type="pct"/>
                  <w:shd w:val="clear" w:color="auto" w:fill="auto"/>
                  <w:vAlign w:val="center"/>
                </w:tcPr>
                <w:p w14:paraId="3552EFA5">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加热</w:t>
                  </w:r>
                </w:p>
              </w:tc>
              <w:tc>
                <w:tcPr>
                  <w:tcW w:w="679" w:type="pct"/>
                  <w:shd w:val="clear" w:color="auto" w:fill="auto"/>
                  <w:vAlign w:val="center"/>
                </w:tcPr>
                <w:p w14:paraId="10BBE867">
                  <w:pPr>
                    <w:jc w:val="center"/>
                    <w:rPr>
                      <w:rFonts w:hint="eastAsia" w:eastAsia="宋体"/>
                      <w:color w:val="auto"/>
                      <w:szCs w:val="21"/>
                      <w:lang w:eastAsia="zh-CN"/>
                    </w:rPr>
                  </w:pPr>
                  <w:r>
                    <w:rPr>
                      <w:rFonts w:hint="eastAsia"/>
                      <w:color w:val="auto"/>
                      <w:szCs w:val="21"/>
                      <w:lang w:eastAsia="zh-CN"/>
                    </w:rPr>
                    <w:t>氨气、硫化氢、臭气浓度、非甲烷总烃</w:t>
                  </w:r>
                </w:p>
              </w:tc>
              <w:tc>
                <w:tcPr>
                  <w:tcW w:w="995" w:type="pct"/>
                  <w:shd w:val="clear" w:color="auto" w:fill="auto"/>
                  <w:vAlign w:val="center"/>
                </w:tcPr>
                <w:p w14:paraId="07EFA280">
                  <w:pPr>
                    <w:jc w:val="center"/>
                    <w:rPr>
                      <w:rFonts w:hint="eastAsia"/>
                      <w:color w:val="auto"/>
                      <w:szCs w:val="21"/>
                      <w:lang w:eastAsia="zh-CN"/>
                    </w:rPr>
                  </w:pPr>
                  <w:r>
                    <w:rPr>
                      <w:rFonts w:hint="eastAsia" w:cs="Times New Roman"/>
                      <w:color w:val="auto"/>
                      <w:kern w:val="2"/>
                      <w:sz w:val="21"/>
                      <w:szCs w:val="21"/>
                      <w:lang w:val="en-US" w:eastAsia="zh-CN" w:bidi="ar-SA"/>
                    </w:rPr>
                    <w:t>加热罐/加热沉降釜</w:t>
                  </w:r>
                </w:p>
              </w:tc>
              <w:tc>
                <w:tcPr>
                  <w:tcW w:w="1609" w:type="pct"/>
                  <w:vMerge w:val="continue"/>
                  <w:vAlign w:val="center"/>
                </w:tcPr>
                <w:p w14:paraId="755E29B7">
                  <w:pPr>
                    <w:jc w:val="center"/>
                    <w:rPr>
                      <w:rFonts w:hint="eastAsia" w:cs="Times New Roman"/>
                      <w:color w:val="auto"/>
                      <w:kern w:val="2"/>
                      <w:sz w:val="21"/>
                      <w:szCs w:val="21"/>
                      <w:lang w:val="en-US" w:eastAsia="zh-CN" w:bidi="ar-SA"/>
                    </w:rPr>
                  </w:pPr>
                </w:p>
              </w:tc>
              <w:tc>
                <w:tcPr>
                  <w:tcW w:w="919" w:type="pct"/>
                  <w:vMerge w:val="continue"/>
                  <w:vAlign w:val="center"/>
                </w:tcPr>
                <w:p w14:paraId="4D333D99">
                  <w:pPr>
                    <w:jc w:val="center"/>
                    <w:rPr>
                      <w:rFonts w:hint="eastAsia" w:cs="Times New Roman"/>
                      <w:color w:val="auto"/>
                      <w:kern w:val="2"/>
                      <w:sz w:val="21"/>
                      <w:szCs w:val="21"/>
                      <w:lang w:val="en-US" w:eastAsia="zh-CN" w:bidi="ar-SA"/>
                    </w:rPr>
                  </w:pPr>
                </w:p>
              </w:tc>
            </w:tr>
            <w:tr w14:paraId="2E4A3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796" w:type="pct"/>
                  <w:vMerge w:val="restart"/>
                  <w:vAlign w:val="center"/>
                </w:tcPr>
                <w:p w14:paraId="303D0B67">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三相离心</w:t>
                  </w:r>
                </w:p>
              </w:tc>
              <w:tc>
                <w:tcPr>
                  <w:tcW w:w="679" w:type="pct"/>
                  <w:vMerge w:val="restart"/>
                  <w:vAlign w:val="center"/>
                </w:tcPr>
                <w:p w14:paraId="5D955F73">
                  <w:pPr>
                    <w:jc w:val="center"/>
                    <w:rPr>
                      <w:rFonts w:hint="eastAsia" w:eastAsia="宋体"/>
                      <w:color w:val="auto"/>
                      <w:szCs w:val="21"/>
                      <w:lang w:eastAsia="zh-CN"/>
                    </w:rPr>
                  </w:pPr>
                  <w:r>
                    <w:rPr>
                      <w:rFonts w:hint="eastAsia"/>
                      <w:color w:val="auto"/>
                      <w:szCs w:val="21"/>
                      <w:lang w:eastAsia="zh-CN"/>
                    </w:rPr>
                    <w:t>氨气、硫化氢、臭气浓度、非甲烷总烃</w:t>
                  </w:r>
                </w:p>
              </w:tc>
              <w:tc>
                <w:tcPr>
                  <w:tcW w:w="995" w:type="pct"/>
                  <w:vAlign w:val="center"/>
                </w:tcPr>
                <w:p w14:paraId="6F73430F">
                  <w:pPr>
                    <w:jc w:val="center"/>
                    <w:rPr>
                      <w:rFonts w:hint="eastAsia"/>
                      <w:color w:val="auto"/>
                      <w:szCs w:val="21"/>
                      <w:lang w:eastAsia="zh-CN"/>
                    </w:rPr>
                  </w:pPr>
                  <w:r>
                    <w:rPr>
                      <w:rFonts w:hint="eastAsia"/>
                      <w:color w:val="auto"/>
                      <w:szCs w:val="21"/>
                      <w:lang w:eastAsia="zh-CN"/>
                    </w:rPr>
                    <w:t>三相分离机</w:t>
                  </w:r>
                </w:p>
              </w:tc>
              <w:tc>
                <w:tcPr>
                  <w:tcW w:w="1609" w:type="pct"/>
                  <w:vMerge w:val="continue"/>
                  <w:vAlign w:val="center"/>
                </w:tcPr>
                <w:p w14:paraId="2EA12388">
                  <w:pPr>
                    <w:jc w:val="center"/>
                    <w:rPr>
                      <w:rFonts w:hint="eastAsia"/>
                      <w:color w:val="auto"/>
                      <w:szCs w:val="21"/>
                      <w:lang w:eastAsia="zh-CN"/>
                    </w:rPr>
                  </w:pPr>
                </w:p>
              </w:tc>
              <w:tc>
                <w:tcPr>
                  <w:tcW w:w="919" w:type="pct"/>
                  <w:vMerge w:val="continue"/>
                  <w:vAlign w:val="center"/>
                </w:tcPr>
                <w:p w14:paraId="69F9FEC3">
                  <w:pPr>
                    <w:jc w:val="center"/>
                    <w:rPr>
                      <w:rFonts w:hint="eastAsia" w:eastAsia="宋体"/>
                      <w:color w:val="auto"/>
                      <w:szCs w:val="21"/>
                      <w:lang w:eastAsia="zh-CN"/>
                    </w:rPr>
                  </w:pPr>
                </w:p>
              </w:tc>
            </w:tr>
            <w:tr w14:paraId="2F706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796" w:type="pct"/>
                  <w:vMerge w:val="continue"/>
                  <w:vAlign w:val="center"/>
                </w:tcPr>
                <w:p w14:paraId="30293C9B">
                  <w:pPr>
                    <w:jc w:val="center"/>
                    <w:rPr>
                      <w:rFonts w:hint="eastAsia"/>
                      <w:color w:val="auto"/>
                      <w:szCs w:val="21"/>
                      <w:lang w:eastAsia="zh-CN"/>
                    </w:rPr>
                  </w:pPr>
                </w:p>
              </w:tc>
              <w:tc>
                <w:tcPr>
                  <w:tcW w:w="679" w:type="pct"/>
                  <w:vMerge w:val="continue"/>
                  <w:vAlign w:val="center"/>
                </w:tcPr>
                <w:p w14:paraId="1B4B954A">
                  <w:pPr>
                    <w:jc w:val="center"/>
                    <w:rPr>
                      <w:rFonts w:hint="eastAsia"/>
                      <w:color w:val="auto"/>
                      <w:szCs w:val="21"/>
                      <w:lang w:eastAsia="zh-CN"/>
                    </w:rPr>
                  </w:pPr>
                </w:p>
              </w:tc>
              <w:tc>
                <w:tcPr>
                  <w:tcW w:w="995" w:type="pct"/>
                  <w:vAlign w:val="center"/>
                </w:tcPr>
                <w:p w14:paraId="5929B5D1">
                  <w:pPr>
                    <w:jc w:val="center"/>
                    <w:rPr>
                      <w:rFonts w:hint="eastAsia"/>
                      <w:color w:val="auto"/>
                      <w:szCs w:val="21"/>
                      <w:lang w:eastAsia="zh-CN"/>
                    </w:rPr>
                  </w:pPr>
                  <w:r>
                    <w:rPr>
                      <w:rFonts w:hint="eastAsia"/>
                      <w:color w:val="auto"/>
                      <w:szCs w:val="21"/>
                      <w:lang w:eastAsia="zh-CN"/>
                    </w:rPr>
                    <w:t>水缓存罐</w:t>
                  </w:r>
                </w:p>
              </w:tc>
              <w:tc>
                <w:tcPr>
                  <w:tcW w:w="1609" w:type="pct"/>
                  <w:vMerge w:val="continue"/>
                  <w:vAlign w:val="center"/>
                </w:tcPr>
                <w:p w14:paraId="2CC7101D">
                  <w:pPr>
                    <w:jc w:val="center"/>
                    <w:rPr>
                      <w:rFonts w:hint="eastAsia"/>
                      <w:color w:val="auto"/>
                      <w:szCs w:val="21"/>
                      <w:lang w:eastAsia="zh-CN"/>
                    </w:rPr>
                  </w:pPr>
                </w:p>
              </w:tc>
              <w:tc>
                <w:tcPr>
                  <w:tcW w:w="919" w:type="pct"/>
                  <w:vMerge w:val="continue"/>
                  <w:vAlign w:val="center"/>
                </w:tcPr>
                <w:p w14:paraId="034B0002">
                  <w:pPr>
                    <w:jc w:val="center"/>
                    <w:rPr>
                      <w:rFonts w:hint="eastAsia" w:eastAsia="宋体"/>
                      <w:color w:val="auto"/>
                      <w:szCs w:val="21"/>
                      <w:lang w:eastAsia="zh-CN"/>
                    </w:rPr>
                  </w:pPr>
                </w:p>
              </w:tc>
            </w:tr>
            <w:tr w14:paraId="109B3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796" w:type="pct"/>
                  <w:vMerge w:val="continue"/>
                  <w:vAlign w:val="center"/>
                </w:tcPr>
                <w:p w14:paraId="67D31F80">
                  <w:pPr>
                    <w:jc w:val="center"/>
                    <w:rPr>
                      <w:color w:val="auto"/>
                    </w:rPr>
                  </w:pPr>
                </w:p>
              </w:tc>
              <w:tc>
                <w:tcPr>
                  <w:tcW w:w="679" w:type="pct"/>
                  <w:vMerge w:val="continue"/>
                  <w:vAlign w:val="center"/>
                </w:tcPr>
                <w:p w14:paraId="14E3D3F1">
                  <w:pPr>
                    <w:jc w:val="center"/>
                    <w:rPr>
                      <w:color w:val="auto"/>
                    </w:rPr>
                  </w:pPr>
                </w:p>
              </w:tc>
              <w:tc>
                <w:tcPr>
                  <w:tcW w:w="995" w:type="pct"/>
                  <w:vAlign w:val="center"/>
                </w:tcPr>
                <w:p w14:paraId="39F03B59">
                  <w:pPr>
                    <w:jc w:val="center"/>
                    <w:rPr>
                      <w:rFonts w:hint="eastAsia"/>
                      <w:color w:val="auto"/>
                      <w:szCs w:val="21"/>
                      <w:lang w:eastAsia="zh-CN"/>
                    </w:rPr>
                  </w:pPr>
                  <w:r>
                    <w:rPr>
                      <w:rFonts w:hint="eastAsia"/>
                      <w:color w:val="auto"/>
                      <w:szCs w:val="21"/>
                      <w:lang w:eastAsia="zh-CN"/>
                    </w:rPr>
                    <w:t>排水罐</w:t>
                  </w:r>
                </w:p>
              </w:tc>
              <w:tc>
                <w:tcPr>
                  <w:tcW w:w="1609" w:type="pct"/>
                  <w:vMerge w:val="continue"/>
                  <w:vAlign w:val="center"/>
                </w:tcPr>
                <w:p w14:paraId="010E7BE1">
                  <w:pPr>
                    <w:jc w:val="center"/>
                    <w:rPr>
                      <w:rFonts w:hint="eastAsia"/>
                      <w:color w:val="auto"/>
                      <w:szCs w:val="21"/>
                      <w:lang w:eastAsia="zh-CN"/>
                    </w:rPr>
                  </w:pPr>
                </w:p>
              </w:tc>
              <w:tc>
                <w:tcPr>
                  <w:tcW w:w="919" w:type="pct"/>
                  <w:vMerge w:val="continue"/>
                  <w:vAlign w:val="center"/>
                </w:tcPr>
                <w:p w14:paraId="78CBF71D">
                  <w:pPr>
                    <w:jc w:val="center"/>
                    <w:rPr>
                      <w:rFonts w:hint="eastAsia"/>
                      <w:color w:val="auto"/>
                      <w:szCs w:val="21"/>
                      <w:lang w:eastAsia="zh-CN"/>
                    </w:rPr>
                  </w:pPr>
                </w:p>
              </w:tc>
            </w:tr>
            <w:tr w14:paraId="66570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796" w:type="pct"/>
                  <w:vMerge w:val="restart"/>
                  <w:vAlign w:val="center"/>
                </w:tcPr>
                <w:p w14:paraId="0FBDB854">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沉降分离</w:t>
                  </w:r>
                </w:p>
              </w:tc>
              <w:tc>
                <w:tcPr>
                  <w:tcW w:w="679" w:type="pct"/>
                  <w:vMerge w:val="restart"/>
                  <w:shd w:val="clear" w:color="auto" w:fill="auto"/>
                  <w:vAlign w:val="center"/>
                </w:tcPr>
                <w:p w14:paraId="712FED08">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氨气、硫化氢、臭气浓度</w:t>
                  </w:r>
                </w:p>
              </w:tc>
              <w:tc>
                <w:tcPr>
                  <w:tcW w:w="995" w:type="pct"/>
                  <w:shd w:val="clear" w:color="auto" w:fill="auto"/>
                  <w:vAlign w:val="center"/>
                </w:tcPr>
                <w:p w14:paraId="6E6F4BCE">
                  <w:pPr>
                    <w:jc w:val="center"/>
                    <w:rPr>
                      <w:rFonts w:hint="eastAsia"/>
                      <w:color w:val="auto"/>
                      <w:szCs w:val="21"/>
                      <w:lang w:eastAsia="zh-CN"/>
                    </w:rPr>
                  </w:pPr>
                  <w:r>
                    <w:rPr>
                      <w:rFonts w:hint="eastAsia"/>
                      <w:color w:val="auto"/>
                      <w:szCs w:val="21"/>
                      <w:lang w:eastAsia="zh-CN"/>
                    </w:rPr>
                    <w:t>计量罐</w:t>
                  </w:r>
                </w:p>
              </w:tc>
              <w:tc>
                <w:tcPr>
                  <w:tcW w:w="1609" w:type="pct"/>
                  <w:vMerge w:val="continue"/>
                  <w:shd w:val="clear" w:color="auto" w:fill="auto"/>
                  <w:vAlign w:val="center"/>
                </w:tcPr>
                <w:p w14:paraId="4F8ED6FB">
                  <w:pPr>
                    <w:jc w:val="center"/>
                    <w:rPr>
                      <w:rFonts w:hint="eastAsia"/>
                      <w:color w:val="auto"/>
                      <w:szCs w:val="21"/>
                      <w:lang w:val="en-US" w:eastAsia="zh-CN"/>
                    </w:rPr>
                  </w:pPr>
                </w:p>
              </w:tc>
              <w:tc>
                <w:tcPr>
                  <w:tcW w:w="919" w:type="pct"/>
                  <w:vMerge w:val="continue"/>
                  <w:vAlign w:val="center"/>
                </w:tcPr>
                <w:p w14:paraId="299ADF02">
                  <w:pPr>
                    <w:jc w:val="center"/>
                    <w:rPr>
                      <w:rFonts w:hint="eastAsia" w:eastAsia="宋体"/>
                      <w:color w:val="auto"/>
                      <w:szCs w:val="21"/>
                      <w:lang w:eastAsia="zh-CN"/>
                    </w:rPr>
                  </w:pPr>
                </w:p>
              </w:tc>
            </w:tr>
            <w:tr w14:paraId="69797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796" w:type="pct"/>
                  <w:vMerge w:val="continue"/>
                  <w:vAlign w:val="center"/>
                </w:tcPr>
                <w:p w14:paraId="39B62C4D">
                  <w:pPr>
                    <w:jc w:val="center"/>
                    <w:rPr>
                      <w:color w:val="auto"/>
                    </w:rPr>
                  </w:pPr>
                </w:p>
              </w:tc>
              <w:tc>
                <w:tcPr>
                  <w:tcW w:w="679" w:type="pct"/>
                  <w:vMerge w:val="continue"/>
                  <w:shd w:val="clear" w:color="auto" w:fill="auto"/>
                  <w:vAlign w:val="center"/>
                </w:tcPr>
                <w:p w14:paraId="6F53DCD3">
                  <w:pPr>
                    <w:jc w:val="center"/>
                    <w:rPr>
                      <w:color w:val="auto"/>
                    </w:rPr>
                  </w:pPr>
                </w:p>
              </w:tc>
              <w:tc>
                <w:tcPr>
                  <w:tcW w:w="995" w:type="pct"/>
                  <w:shd w:val="clear" w:color="auto" w:fill="auto"/>
                  <w:vAlign w:val="center"/>
                </w:tcPr>
                <w:p w14:paraId="3BAB361E">
                  <w:pPr>
                    <w:jc w:val="center"/>
                    <w:rPr>
                      <w:rFonts w:hint="eastAsia"/>
                      <w:color w:val="auto"/>
                      <w:szCs w:val="21"/>
                      <w:lang w:eastAsia="zh-CN"/>
                    </w:rPr>
                  </w:pPr>
                  <w:r>
                    <w:rPr>
                      <w:rFonts w:hint="eastAsia"/>
                      <w:color w:val="auto"/>
                      <w:szCs w:val="21"/>
                      <w:lang w:eastAsia="zh-CN"/>
                    </w:rPr>
                    <w:t>中间沉降罐</w:t>
                  </w:r>
                </w:p>
              </w:tc>
              <w:tc>
                <w:tcPr>
                  <w:tcW w:w="1609" w:type="pct"/>
                  <w:vMerge w:val="continue"/>
                  <w:shd w:val="clear" w:color="auto" w:fill="auto"/>
                  <w:vAlign w:val="center"/>
                </w:tcPr>
                <w:p w14:paraId="1532BC9B">
                  <w:pPr>
                    <w:jc w:val="center"/>
                    <w:rPr>
                      <w:rFonts w:hint="eastAsia"/>
                      <w:color w:val="auto"/>
                      <w:szCs w:val="21"/>
                      <w:lang w:eastAsia="zh-CN"/>
                    </w:rPr>
                  </w:pPr>
                </w:p>
              </w:tc>
              <w:tc>
                <w:tcPr>
                  <w:tcW w:w="919" w:type="pct"/>
                  <w:vMerge w:val="continue"/>
                  <w:vAlign w:val="center"/>
                </w:tcPr>
                <w:p w14:paraId="1BC4341C">
                  <w:pPr>
                    <w:jc w:val="center"/>
                    <w:rPr>
                      <w:rFonts w:hint="eastAsia"/>
                      <w:color w:val="auto"/>
                      <w:szCs w:val="21"/>
                      <w:lang w:eastAsia="zh-CN"/>
                    </w:rPr>
                  </w:pPr>
                </w:p>
              </w:tc>
            </w:tr>
            <w:tr w14:paraId="7F11E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796" w:type="pct"/>
                  <w:vMerge w:val="continue"/>
                  <w:vAlign w:val="center"/>
                </w:tcPr>
                <w:p w14:paraId="14EF6A24">
                  <w:pPr>
                    <w:jc w:val="center"/>
                    <w:rPr>
                      <w:color w:val="auto"/>
                    </w:rPr>
                  </w:pPr>
                </w:p>
              </w:tc>
              <w:tc>
                <w:tcPr>
                  <w:tcW w:w="679" w:type="pct"/>
                  <w:vMerge w:val="continue"/>
                  <w:shd w:val="clear" w:color="auto" w:fill="auto"/>
                  <w:vAlign w:val="center"/>
                </w:tcPr>
                <w:p w14:paraId="76F6BE0F">
                  <w:pPr>
                    <w:jc w:val="center"/>
                    <w:rPr>
                      <w:color w:val="auto"/>
                    </w:rPr>
                  </w:pPr>
                </w:p>
              </w:tc>
              <w:tc>
                <w:tcPr>
                  <w:tcW w:w="995" w:type="pct"/>
                  <w:shd w:val="clear" w:color="auto" w:fill="auto"/>
                  <w:vAlign w:val="center"/>
                </w:tcPr>
                <w:p w14:paraId="755DA65F">
                  <w:pPr>
                    <w:jc w:val="center"/>
                    <w:rPr>
                      <w:rFonts w:hint="eastAsia"/>
                      <w:color w:val="auto"/>
                      <w:szCs w:val="21"/>
                      <w:lang w:eastAsia="zh-CN"/>
                    </w:rPr>
                  </w:pPr>
                  <w:r>
                    <w:rPr>
                      <w:rFonts w:hint="eastAsia"/>
                      <w:color w:val="auto"/>
                      <w:szCs w:val="21"/>
                      <w:lang w:eastAsia="zh-CN"/>
                    </w:rPr>
                    <w:t>油缓存罐</w:t>
                  </w:r>
                </w:p>
              </w:tc>
              <w:tc>
                <w:tcPr>
                  <w:tcW w:w="1609" w:type="pct"/>
                  <w:vMerge w:val="continue"/>
                  <w:shd w:val="clear" w:color="auto" w:fill="auto"/>
                  <w:vAlign w:val="center"/>
                </w:tcPr>
                <w:p w14:paraId="5216A4FD">
                  <w:pPr>
                    <w:jc w:val="center"/>
                    <w:rPr>
                      <w:rFonts w:hint="eastAsia"/>
                      <w:color w:val="auto"/>
                      <w:szCs w:val="21"/>
                      <w:lang w:eastAsia="zh-CN"/>
                    </w:rPr>
                  </w:pPr>
                </w:p>
              </w:tc>
              <w:tc>
                <w:tcPr>
                  <w:tcW w:w="919" w:type="pct"/>
                  <w:vMerge w:val="continue"/>
                  <w:vAlign w:val="center"/>
                </w:tcPr>
                <w:p w14:paraId="0914AE61">
                  <w:pPr>
                    <w:jc w:val="center"/>
                    <w:rPr>
                      <w:rFonts w:hint="eastAsia"/>
                      <w:color w:val="auto"/>
                      <w:szCs w:val="21"/>
                      <w:lang w:eastAsia="zh-CN"/>
                    </w:rPr>
                  </w:pPr>
                </w:p>
              </w:tc>
            </w:tr>
            <w:tr w14:paraId="6444C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796" w:type="pct"/>
                  <w:vMerge w:val="continue"/>
                  <w:vAlign w:val="center"/>
                </w:tcPr>
                <w:p w14:paraId="7DF7E8AE">
                  <w:pPr>
                    <w:jc w:val="center"/>
                    <w:rPr>
                      <w:rFonts w:hint="eastAsia" w:eastAsia="宋体"/>
                      <w:color w:val="auto"/>
                      <w:lang w:eastAsia="zh-CN"/>
                    </w:rPr>
                  </w:pPr>
                </w:p>
              </w:tc>
              <w:tc>
                <w:tcPr>
                  <w:tcW w:w="679" w:type="pct"/>
                  <w:vMerge w:val="continue"/>
                  <w:shd w:val="clear" w:color="auto" w:fill="auto"/>
                  <w:vAlign w:val="center"/>
                </w:tcPr>
                <w:p w14:paraId="7774929F">
                  <w:pPr>
                    <w:jc w:val="center"/>
                    <w:rPr>
                      <w:color w:val="auto"/>
                    </w:rPr>
                  </w:pPr>
                </w:p>
              </w:tc>
              <w:tc>
                <w:tcPr>
                  <w:tcW w:w="995" w:type="pct"/>
                  <w:shd w:val="clear" w:color="auto" w:fill="auto"/>
                  <w:vAlign w:val="center"/>
                </w:tcPr>
                <w:p w14:paraId="5417DC91">
                  <w:pPr>
                    <w:jc w:val="center"/>
                    <w:rPr>
                      <w:rFonts w:hint="eastAsia" w:ascii="Times New Roman" w:hAnsi="Times New Roman" w:eastAsia="宋体" w:cs="Times New Roman"/>
                      <w:color w:val="auto"/>
                      <w:kern w:val="2"/>
                      <w:sz w:val="21"/>
                      <w:szCs w:val="24"/>
                      <w:lang w:val="en-US" w:eastAsia="zh-CN" w:bidi="ar-SA"/>
                    </w:rPr>
                  </w:pPr>
                  <w:r>
                    <w:rPr>
                      <w:rFonts w:hint="eastAsia"/>
                      <w:color w:val="auto"/>
                      <w:lang w:eastAsia="zh-CN"/>
                    </w:rPr>
                    <w:t>过滤桶</w:t>
                  </w:r>
                </w:p>
              </w:tc>
              <w:tc>
                <w:tcPr>
                  <w:tcW w:w="1609" w:type="pct"/>
                  <w:vMerge w:val="continue"/>
                  <w:shd w:val="clear" w:color="auto" w:fill="auto"/>
                  <w:vAlign w:val="center"/>
                </w:tcPr>
                <w:p w14:paraId="527AE701">
                  <w:pPr>
                    <w:jc w:val="center"/>
                    <w:rPr>
                      <w:rFonts w:hint="eastAsia"/>
                      <w:color w:val="auto"/>
                      <w:szCs w:val="21"/>
                      <w:lang w:eastAsia="zh-CN"/>
                    </w:rPr>
                  </w:pPr>
                </w:p>
              </w:tc>
              <w:tc>
                <w:tcPr>
                  <w:tcW w:w="919" w:type="pct"/>
                  <w:vMerge w:val="continue"/>
                  <w:vAlign w:val="center"/>
                </w:tcPr>
                <w:p w14:paraId="2A5EC4CC">
                  <w:pPr>
                    <w:jc w:val="center"/>
                    <w:rPr>
                      <w:rFonts w:hint="eastAsia"/>
                      <w:color w:val="auto"/>
                      <w:szCs w:val="21"/>
                      <w:lang w:eastAsia="zh-CN"/>
                    </w:rPr>
                  </w:pPr>
                </w:p>
              </w:tc>
            </w:tr>
            <w:tr w14:paraId="44361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796" w:type="pct"/>
                  <w:vMerge w:val="restart"/>
                  <w:vAlign w:val="center"/>
                </w:tcPr>
                <w:p w14:paraId="42898B8D">
                  <w:pPr>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螺旋输送</w:t>
                  </w:r>
                </w:p>
              </w:tc>
              <w:tc>
                <w:tcPr>
                  <w:tcW w:w="679" w:type="pct"/>
                  <w:vMerge w:val="restart"/>
                  <w:shd w:val="clear" w:color="auto" w:fill="auto"/>
                  <w:vAlign w:val="center"/>
                </w:tcPr>
                <w:p w14:paraId="3D5CB9E7">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氨气、硫化氢、臭气浓度</w:t>
                  </w:r>
                </w:p>
              </w:tc>
              <w:tc>
                <w:tcPr>
                  <w:tcW w:w="995" w:type="pct"/>
                  <w:shd w:val="clear" w:color="auto" w:fill="auto"/>
                  <w:vAlign w:val="center"/>
                </w:tcPr>
                <w:p w14:paraId="0E895A77">
                  <w:pPr>
                    <w:jc w:val="center"/>
                    <w:rPr>
                      <w:rFonts w:hint="eastAsia"/>
                      <w:color w:val="auto"/>
                      <w:szCs w:val="21"/>
                      <w:lang w:eastAsia="zh-CN"/>
                    </w:rPr>
                  </w:pPr>
                  <w:r>
                    <w:rPr>
                      <w:rFonts w:hint="eastAsia"/>
                      <w:color w:val="auto"/>
                      <w:szCs w:val="21"/>
                      <w:lang w:val="en-US" w:eastAsia="zh-CN"/>
                    </w:rPr>
                    <w:t>除杂机出渣螺旋</w:t>
                  </w:r>
                </w:p>
              </w:tc>
              <w:tc>
                <w:tcPr>
                  <w:tcW w:w="1609" w:type="pct"/>
                  <w:vMerge w:val="continue"/>
                  <w:vAlign w:val="center"/>
                </w:tcPr>
                <w:p w14:paraId="4D6E3445">
                  <w:pPr>
                    <w:jc w:val="center"/>
                    <w:rPr>
                      <w:rFonts w:hint="eastAsia"/>
                      <w:color w:val="auto"/>
                      <w:szCs w:val="21"/>
                      <w:lang w:eastAsia="zh-CN"/>
                    </w:rPr>
                  </w:pPr>
                </w:p>
              </w:tc>
              <w:tc>
                <w:tcPr>
                  <w:tcW w:w="919" w:type="pct"/>
                  <w:vMerge w:val="continue"/>
                  <w:vAlign w:val="center"/>
                </w:tcPr>
                <w:p w14:paraId="5E28BC82">
                  <w:pPr>
                    <w:jc w:val="center"/>
                    <w:rPr>
                      <w:rFonts w:hint="eastAsia" w:eastAsia="宋体"/>
                      <w:color w:val="auto"/>
                      <w:szCs w:val="21"/>
                      <w:lang w:eastAsia="zh-CN"/>
                    </w:rPr>
                  </w:pPr>
                </w:p>
              </w:tc>
            </w:tr>
            <w:tr w14:paraId="015B7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796" w:type="pct"/>
                  <w:vMerge w:val="continue"/>
                  <w:vAlign w:val="center"/>
                </w:tcPr>
                <w:p w14:paraId="56F47677">
                  <w:pPr>
                    <w:jc w:val="center"/>
                    <w:rPr>
                      <w:color w:val="auto"/>
                    </w:rPr>
                  </w:pPr>
                </w:p>
              </w:tc>
              <w:tc>
                <w:tcPr>
                  <w:tcW w:w="679" w:type="pct"/>
                  <w:vMerge w:val="continue"/>
                  <w:shd w:val="clear" w:color="auto" w:fill="auto"/>
                  <w:vAlign w:val="center"/>
                </w:tcPr>
                <w:p w14:paraId="3C62442F">
                  <w:pPr>
                    <w:jc w:val="center"/>
                    <w:rPr>
                      <w:color w:val="auto"/>
                    </w:rPr>
                  </w:pPr>
                </w:p>
              </w:tc>
              <w:tc>
                <w:tcPr>
                  <w:tcW w:w="995" w:type="pct"/>
                  <w:shd w:val="clear" w:color="auto" w:fill="auto"/>
                  <w:vAlign w:val="center"/>
                </w:tcPr>
                <w:p w14:paraId="1FC5A0B7">
                  <w:pPr>
                    <w:jc w:val="center"/>
                    <w:rPr>
                      <w:rFonts w:hint="eastAsia"/>
                      <w:color w:val="auto"/>
                      <w:szCs w:val="21"/>
                      <w:lang w:val="en-US" w:eastAsia="zh-CN"/>
                    </w:rPr>
                  </w:pPr>
                  <w:r>
                    <w:rPr>
                      <w:rFonts w:hint="eastAsia"/>
                      <w:color w:val="auto"/>
                      <w:szCs w:val="21"/>
                      <w:lang w:eastAsia="zh-CN"/>
                    </w:rPr>
                    <w:t>三相离心机出渣螺旋</w:t>
                  </w:r>
                </w:p>
              </w:tc>
              <w:tc>
                <w:tcPr>
                  <w:tcW w:w="1609" w:type="pct"/>
                  <w:vMerge w:val="continue"/>
                  <w:vAlign w:val="center"/>
                </w:tcPr>
                <w:p w14:paraId="12EF6F0E">
                  <w:pPr>
                    <w:jc w:val="center"/>
                    <w:rPr>
                      <w:rFonts w:hint="eastAsia"/>
                      <w:color w:val="auto"/>
                      <w:szCs w:val="21"/>
                      <w:lang w:val="en-US" w:eastAsia="zh-CN"/>
                    </w:rPr>
                  </w:pPr>
                </w:p>
              </w:tc>
              <w:tc>
                <w:tcPr>
                  <w:tcW w:w="919" w:type="pct"/>
                  <w:vMerge w:val="continue"/>
                  <w:vAlign w:val="center"/>
                </w:tcPr>
                <w:p w14:paraId="61A77DFB">
                  <w:pPr>
                    <w:jc w:val="center"/>
                    <w:rPr>
                      <w:rFonts w:hint="eastAsia"/>
                      <w:color w:val="auto"/>
                      <w:szCs w:val="21"/>
                      <w:lang w:val="en-US" w:eastAsia="zh-CN"/>
                    </w:rPr>
                  </w:pPr>
                </w:p>
              </w:tc>
            </w:tr>
            <w:tr w14:paraId="0540F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796" w:type="pct"/>
                  <w:vMerge w:val="continue"/>
                  <w:vAlign w:val="center"/>
                </w:tcPr>
                <w:p w14:paraId="30341D1C">
                  <w:pPr>
                    <w:jc w:val="center"/>
                    <w:rPr>
                      <w:rFonts w:hint="eastAsia"/>
                      <w:color w:val="auto"/>
                      <w:szCs w:val="21"/>
                      <w:lang w:val="en-US" w:eastAsia="zh-CN"/>
                    </w:rPr>
                  </w:pPr>
                </w:p>
              </w:tc>
              <w:tc>
                <w:tcPr>
                  <w:tcW w:w="679" w:type="pct"/>
                  <w:vMerge w:val="continue"/>
                  <w:shd w:val="clear" w:color="auto" w:fill="auto"/>
                  <w:vAlign w:val="center"/>
                </w:tcPr>
                <w:p w14:paraId="49F73652">
                  <w:pPr>
                    <w:jc w:val="center"/>
                    <w:rPr>
                      <w:rFonts w:hint="eastAsia"/>
                      <w:color w:val="auto"/>
                      <w:szCs w:val="21"/>
                      <w:lang w:val="en-US" w:eastAsia="zh-CN"/>
                    </w:rPr>
                  </w:pPr>
                </w:p>
              </w:tc>
              <w:tc>
                <w:tcPr>
                  <w:tcW w:w="995" w:type="pct"/>
                  <w:shd w:val="clear" w:color="auto" w:fill="auto"/>
                  <w:vAlign w:val="center"/>
                </w:tcPr>
                <w:p w14:paraId="3216398C">
                  <w:pPr>
                    <w:jc w:val="center"/>
                    <w:rPr>
                      <w:rFonts w:hint="eastAsia"/>
                      <w:color w:val="auto"/>
                      <w:szCs w:val="21"/>
                      <w:lang w:val="en-US" w:eastAsia="zh-CN"/>
                    </w:rPr>
                  </w:pPr>
                  <w:r>
                    <w:rPr>
                      <w:rFonts w:hint="eastAsia"/>
                      <w:color w:val="auto"/>
                      <w:szCs w:val="21"/>
                      <w:lang w:eastAsia="zh-CN"/>
                    </w:rPr>
                    <w:t>撕碎机进料螺旋输送机</w:t>
                  </w:r>
                </w:p>
              </w:tc>
              <w:tc>
                <w:tcPr>
                  <w:tcW w:w="1609" w:type="pct"/>
                  <w:vMerge w:val="continue"/>
                  <w:vAlign w:val="center"/>
                </w:tcPr>
                <w:p w14:paraId="2178E7B3">
                  <w:pPr>
                    <w:jc w:val="center"/>
                    <w:rPr>
                      <w:rFonts w:hint="eastAsia"/>
                      <w:color w:val="auto"/>
                      <w:szCs w:val="21"/>
                      <w:lang w:val="en-US" w:eastAsia="zh-CN"/>
                    </w:rPr>
                  </w:pPr>
                </w:p>
              </w:tc>
              <w:tc>
                <w:tcPr>
                  <w:tcW w:w="919" w:type="pct"/>
                  <w:vMerge w:val="continue"/>
                  <w:vAlign w:val="center"/>
                </w:tcPr>
                <w:p w14:paraId="32EC4E5A">
                  <w:pPr>
                    <w:jc w:val="center"/>
                    <w:rPr>
                      <w:rFonts w:hint="eastAsia"/>
                      <w:color w:val="auto"/>
                      <w:szCs w:val="21"/>
                      <w:lang w:val="en-US" w:eastAsia="zh-CN"/>
                    </w:rPr>
                  </w:pPr>
                </w:p>
              </w:tc>
            </w:tr>
            <w:tr w14:paraId="1D86B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796" w:type="pct"/>
                  <w:vMerge w:val="continue"/>
                  <w:vAlign w:val="center"/>
                </w:tcPr>
                <w:p w14:paraId="64B5CFB5">
                  <w:pPr>
                    <w:jc w:val="center"/>
                    <w:rPr>
                      <w:rFonts w:hint="eastAsia"/>
                      <w:color w:val="auto"/>
                      <w:szCs w:val="21"/>
                      <w:lang w:val="en-US" w:eastAsia="zh-CN"/>
                    </w:rPr>
                  </w:pPr>
                </w:p>
              </w:tc>
              <w:tc>
                <w:tcPr>
                  <w:tcW w:w="679" w:type="pct"/>
                  <w:vMerge w:val="continue"/>
                  <w:shd w:val="clear" w:color="auto" w:fill="auto"/>
                  <w:vAlign w:val="center"/>
                </w:tcPr>
                <w:p w14:paraId="32B990B3">
                  <w:pPr>
                    <w:jc w:val="center"/>
                    <w:rPr>
                      <w:rFonts w:hint="eastAsia"/>
                      <w:color w:val="auto"/>
                      <w:szCs w:val="21"/>
                      <w:lang w:val="en-US" w:eastAsia="zh-CN"/>
                    </w:rPr>
                  </w:pPr>
                </w:p>
              </w:tc>
              <w:tc>
                <w:tcPr>
                  <w:tcW w:w="995" w:type="pct"/>
                  <w:shd w:val="clear" w:color="auto" w:fill="auto"/>
                  <w:vAlign w:val="center"/>
                </w:tcPr>
                <w:p w14:paraId="30961731">
                  <w:pPr>
                    <w:jc w:val="center"/>
                    <w:rPr>
                      <w:rFonts w:hint="eastAsia"/>
                      <w:color w:val="auto"/>
                      <w:szCs w:val="21"/>
                      <w:lang w:val="en-US" w:eastAsia="zh-CN"/>
                    </w:rPr>
                  </w:pPr>
                  <w:r>
                    <w:rPr>
                      <w:rFonts w:hint="eastAsia"/>
                      <w:color w:val="auto"/>
                      <w:szCs w:val="21"/>
                      <w:lang w:eastAsia="zh-CN"/>
                    </w:rPr>
                    <w:t>挤压机进料螺旋</w:t>
                  </w:r>
                </w:p>
              </w:tc>
              <w:tc>
                <w:tcPr>
                  <w:tcW w:w="1609" w:type="pct"/>
                  <w:vMerge w:val="continue"/>
                  <w:vAlign w:val="center"/>
                </w:tcPr>
                <w:p w14:paraId="4DF86933">
                  <w:pPr>
                    <w:jc w:val="center"/>
                    <w:rPr>
                      <w:rFonts w:hint="eastAsia"/>
                      <w:color w:val="auto"/>
                      <w:szCs w:val="21"/>
                      <w:lang w:val="en-US" w:eastAsia="zh-CN"/>
                    </w:rPr>
                  </w:pPr>
                </w:p>
              </w:tc>
              <w:tc>
                <w:tcPr>
                  <w:tcW w:w="919" w:type="pct"/>
                  <w:vMerge w:val="continue"/>
                  <w:vAlign w:val="center"/>
                </w:tcPr>
                <w:p w14:paraId="0AD81B05">
                  <w:pPr>
                    <w:jc w:val="center"/>
                    <w:rPr>
                      <w:rFonts w:hint="eastAsia"/>
                      <w:color w:val="auto"/>
                      <w:szCs w:val="21"/>
                      <w:lang w:val="en-US" w:eastAsia="zh-CN"/>
                    </w:rPr>
                  </w:pPr>
                </w:p>
              </w:tc>
            </w:tr>
            <w:tr w14:paraId="680A3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796" w:type="pct"/>
                  <w:vMerge w:val="continue"/>
                  <w:vAlign w:val="center"/>
                </w:tcPr>
                <w:p w14:paraId="0CB7A6A2">
                  <w:pPr>
                    <w:jc w:val="center"/>
                    <w:rPr>
                      <w:rFonts w:hint="eastAsia"/>
                      <w:color w:val="auto"/>
                      <w:szCs w:val="21"/>
                      <w:lang w:val="en-US" w:eastAsia="zh-CN"/>
                    </w:rPr>
                  </w:pPr>
                </w:p>
              </w:tc>
              <w:tc>
                <w:tcPr>
                  <w:tcW w:w="679" w:type="pct"/>
                  <w:vMerge w:val="continue"/>
                  <w:shd w:val="clear" w:color="auto" w:fill="auto"/>
                  <w:vAlign w:val="center"/>
                </w:tcPr>
                <w:p w14:paraId="6BE347CF">
                  <w:pPr>
                    <w:jc w:val="center"/>
                    <w:rPr>
                      <w:rFonts w:hint="eastAsia"/>
                      <w:color w:val="auto"/>
                      <w:szCs w:val="21"/>
                      <w:lang w:val="en-US" w:eastAsia="zh-CN"/>
                    </w:rPr>
                  </w:pPr>
                </w:p>
              </w:tc>
              <w:tc>
                <w:tcPr>
                  <w:tcW w:w="995" w:type="pct"/>
                  <w:shd w:val="clear" w:color="auto" w:fill="auto"/>
                  <w:vAlign w:val="center"/>
                </w:tcPr>
                <w:p w14:paraId="0BFB4A07">
                  <w:pPr>
                    <w:jc w:val="center"/>
                    <w:rPr>
                      <w:rFonts w:hint="eastAsia"/>
                      <w:color w:val="auto"/>
                      <w:szCs w:val="21"/>
                      <w:lang w:val="en-US" w:eastAsia="zh-CN"/>
                    </w:rPr>
                  </w:pPr>
                  <w:r>
                    <w:rPr>
                      <w:rFonts w:hint="eastAsia"/>
                      <w:color w:val="auto"/>
                      <w:szCs w:val="21"/>
                      <w:lang w:eastAsia="zh-CN"/>
                    </w:rPr>
                    <w:t>挤压机出渣螺旋</w:t>
                  </w:r>
                </w:p>
              </w:tc>
              <w:tc>
                <w:tcPr>
                  <w:tcW w:w="1609" w:type="pct"/>
                  <w:vMerge w:val="continue"/>
                  <w:vAlign w:val="center"/>
                </w:tcPr>
                <w:p w14:paraId="30197A2B">
                  <w:pPr>
                    <w:jc w:val="center"/>
                    <w:rPr>
                      <w:rFonts w:hint="eastAsia"/>
                      <w:color w:val="auto"/>
                      <w:szCs w:val="21"/>
                      <w:lang w:val="en-US" w:eastAsia="zh-CN"/>
                    </w:rPr>
                  </w:pPr>
                </w:p>
              </w:tc>
              <w:tc>
                <w:tcPr>
                  <w:tcW w:w="919" w:type="pct"/>
                  <w:vMerge w:val="continue"/>
                  <w:vAlign w:val="center"/>
                </w:tcPr>
                <w:p w14:paraId="303AC64D">
                  <w:pPr>
                    <w:jc w:val="center"/>
                    <w:rPr>
                      <w:rFonts w:hint="eastAsia"/>
                      <w:color w:val="auto"/>
                      <w:szCs w:val="21"/>
                      <w:lang w:val="en-US" w:eastAsia="zh-CN"/>
                    </w:rPr>
                  </w:pPr>
                </w:p>
              </w:tc>
            </w:tr>
            <w:tr w14:paraId="43527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796" w:type="pct"/>
                  <w:vAlign w:val="center"/>
                </w:tcPr>
                <w:p w14:paraId="3B18DC78">
                  <w:pPr>
                    <w:jc w:val="center"/>
                    <w:rPr>
                      <w:rFonts w:hint="eastAsia"/>
                      <w:color w:val="auto"/>
                      <w:szCs w:val="21"/>
                      <w:lang w:val="en-US" w:eastAsia="zh-CN"/>
                    </w:rPr>
                  </w:pPr>
                  <w:r>
                    <w:rPr>
                      <w:rFonts w:hint="eastAsia"/>
                      <w:color w:val="auto"/>
                      <w:szCs w:val="21"/>
                      <w:lang w:val="en-US" w:eastAsia="zh-CN"/>
                    </w:rPr>
                    <w:t>出渣</w:t>
                  </w:r>
                </w:p>
              </w:tc>
              <w:tc>
                <w:tcPr>
                  <w:tcW w:w="679" w:type="pct"/>
                  <w:shd w:val="clear" w:color="auto" w:fill="auto"/>
                  <w:vAlign w:val="center"/>
                </w:tcPr>
                <w:p w14:paraId="767A7837">
                  <w:pPr>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氨气、硫化氢、臭气浓度</w:t>
                  </w:r>
                </w:p>
              </w:tc>
              <w:tc>
                <w:tcPr>
                  <w:tcW w:w="995" w:type="pct"/>
                  <w:shd w:val="clear" w:color="auto" w:fill="auto"/>
                  <w:vAlign w:val="center"/>
                </w:tcPr>
                <w:p w14:paraId="4DCB3A9D">
                  <w:pPr>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移动式出渣箱</w:t>
                  </w:r>
                </w:p>
              </w:tc>
              <w:tc>
                <w:tcPr>
                  <w:tcW w:w="1609" w:type="pct"/>
                  <w:vAlign w:val="center"/>
                </w:tcPr>
                <w:p w14:paraId="2FE50606">
                  <w:pPr>
                    <w:jc w:val="center"/>
                    <w:rPr>
                      <w:rFonts w:hint="eastAsia"/>
                      <w:color w:val="auto"/>
                      <w:szCs w:val="21"/>
                      <w:lang w:val="en-US" w:eastAsia="zh-CN"/>
                    </w:rPr>
                  </w:pPr>
                  <w:r>
                    <w:rPr>
                      <w:rFonts w:hint="eastAsia"/>
                      <w:color w:val="auto"/>
                      <w:szCs w:val="21"/>
                      <w:lang w:val="en-US" w:eastAsia="zh-CN"/>
                    </w:rPr>
                    <w:t>箱体密闭，设施抽风口，通过密闭管道将臭气引至除臭装置</w:t>
                  </w:r>
                </w:p>
              </w:tc>
              <w:tc>
                <w:tcPr>
                  <w:tcW w:w="919" w:type="pct"/>
                  <w:vMerge w:val="continue"/>
                  <w:vAlign w:val="center"/>
                </w:tcPr>
                <w:p w14:paraId="588F47BD">
                  <w:pPr>
                    <w:jc w:val="center"/>
                    <w:rPr>
                      <w:rFonts w:hint="eastAsia"/>
                      <w:color w:val="auto"/>
                      <w:szCs w:val="21"/>
                      <w:lang w:val="en-US" w:eastAsia="zh-CN"/>
                    </w:rPr>
                  </w:pPr>
                </w:p>
              </w:tc>
            </w:tr>
            <w:tr w14:paraId="10EC7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796" w:type="pct"/>
                  <w:vAlign w:val="center"/>
                </w:tcPr>
                <w:p w14:paraId="08D9429D">
                  <w:pPr>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卸料</w:t>
                  </w:r>
                </w:p>
              </w:tc>
              <w:tc>
                <w:tcPr>
                  <w:tcW w:w="679" w:type="pct"/>
                  <w:vMerge w:val="restart"/>
                  <w:shd w:val="clear" w:color="auto" w:fill="auto"/>
                  <w:vAlign w:val="center"/>
                </w:tcPr>
                <w:p w14:paraId="254DF047">
                  <w:pPr>
                    <w:jc w:val="center"/>
                    <w:rPr>
                      <w:rFonts w:hint="eastAsia"/>
                      <w:b/>
                      <w:bCs/>
                      <w:color w:val="auto"/>
                      <w:szCs w:val="21"/>
                      <w:lang w:eastAsia="zh-CN"/>
                    </w:rPr>
                  </w:pPr>
                  <w:r>
                    <w:rPr>
                      <w:rFonts w:hint="eastAsia"/>
                      <w:color w:val="auto"/>
                      <w:szCs w:val="21"/>
                      <w:lang w:eastAsia="zh-CN"/>
                    </w:rPr>
                    <w:t>氨气、硫化氢、臭气浓度</w:t>
                  </w:r>
                </w:p>
              </w:tc>
              <w:tc>
                <w:tcPr>
                  <w:tcW w:w="995" w:type="pct"/>
                  <w:shd w:val="clear" w:color="auto" w:fill="auto"/>
                  <w:vAlign w:val="center"/>
                </w:tcPr>
                <w:p w14:paraId="6E91E747">
                  <w:pPr>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卸料间</w:t>
                  </w:r>
                </w:p>
              </w:tc>
              <w:tc>
                <w:tcPr>
                  <w:tcW w:w="1609" w:type="pct"/>
                  <w:vAlign w:val="center"/>
                </w:tcPr>
                <w:p w14:paraId="17D118C6">
                  <w:pPr>
                    <w:jc w:val="center"/>
                    <w:rPr>
                      <w:rFonts w:hint="eastAsia"/>
                      <w:color w:val="auto"/>
                      <w:szCs w:val="21"/>
                      <w:lang w:val="en-US" w:eastAsia="zh-CN"/>
                    </w:rPr>
                  </w:pPr>
                  <w:r>
                    <w:rPr>
                      <w:rFonts w:hint="eastAsia"/>
                      <w:color w:val="auto"/>
                      <w:szCs w:val="21"/>
                      <w:lang w:val="en-US" w:eastAsia="zh-CN"/>
                    </w:rPr>
                    <w:t>卸料间密闭，车间换风</w:t>
                  </w:r>
                </w:p>
              </w:tc>
              <w:tc>
                <w:tcPr>
                  <w:tcW w:w="919" w:type="pct"/>
                  <w:vMerge w:val="continue"/>
                  <w:vAlign w:val="center"/>
                </w:tcPr>
                <w:p w14:paraId="59F48AAD">
                  <w:pPr>
                    <w:jc w:val="center"/>
                    <w:rPr>
                      <w:rFonts w:hint="eastAsia" w:eastAsia="宋体"/>
                      <w:color w:val="auto"/>
                      <w:szCs w:val="21"/>
                      <w:lang w:eastAsia="zh-CN"/>
                    </w:rPr>
                  </w:pPr>
                </w:p>
              </w:tc>
            </w:tr>
            <w:tr w14:paraId="5118F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796" w:type="pct"/>
                  <w:vAlign w:val="center"/>
                </w:tcPr>
                <w:p w14:paraId="264614C7">
                  <w:pPr>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生产</w:t>
                  </w:r>
                </w:p>
              </w:tc>
              <w:tc>
                <w:tcPr>
                  <w:tcW w:w="679" w:type="pct"/>
                  <w:vMerge w:val="continue"/>
                  <w:shd w:val="clear" w:color="auto" w:fill="auto"/>
                  <w:vAlign w:val="center"/>
                </w:tcPr>
                <w:p w14:paraId="15154908">
                  <w:pPr>
                    <w:jc w:val="center"/>
                    <w:rPr>
                      <w:rFonts w:hint="eastAsia" w:ascii="Times New Roman" w:hAnsi="Times New Roman" w:eastAsia="宋体" w:cs="Times New Roman"/>
                      <w:b/>
                      <w:bCs/>
                      <w:color w:val="auto"/>
                      <w:kern w:val="2"/>
                      <w:sz w:val="21"/>
                      <w:szCs w:val="21"/>
                      <w:lang w:val="en-US" w:eastAsia="zh-CN" w:bidi="ar-SA"/>
                    </w:rPr>
                  </w:pPr>
                </w:p>
              </w:tc>
              <w:tc>
                <w:tcPr>
                  <w:tcW w:w="995" w:type="pct"/>
                  <w:shd w:val="clear" w:color="auto" w:fill="auto"/>
                  <w:vAlign w:val="center"/>
                </w:tcPr>
                <w:p w14:paraId="11D17DDD">
                  <w:pPr>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主厂房一生产区</w:t>
                  </w:r>
                </w:p>
              </w:tc>
              <w:tc>
                <w:tcPr>
                  <w:tcW w:w="1609" w:type="pct"/>
                  <w:vAlign w:val="center"/>
                </w:tcPr>
                <w:p w14:paraId="433416E7">
                  <w:pPr>
                    <w:jc w:val="center"/>
                    <w:rPr>
                      <w:rFonts w:hint="eastAsia"/>
                      <w:color w:val="auto"/>
                      <w:szCs w:val="21"/>
                      <w:lang w:val="en-US" w:eastAsia="zh-CN"/>
                    </w:rPr>
                  </w:pPr>
                  <w:r>
                    <w:rPr>
                      <w:rFonts w:hint="eastAsia"/>
                      <w:color w:val="auto"/>
                      <w:szCs w:val="21"/>
                      <w:lang w:val="en-US" w:eastAsia="zh-CN"/>
                    </w:rPr>
                    <w:t>车间换风</w:t>
                  </w:r>
                </w:p>
              </w:tc>
              <w:tc>
                <w:tcPr>
                  <w:tcW w:w="919" w:type="pct"/>
                  <w:vMerge w:val="continue"/>
                  <w:vAlign w:val="center"/>
                </w:tcPr>
                <w:p w14:paraId="6151ED58">
                  <w:pPr>
                    <w:jc w:val="center"/>
                    <w:rPr>
                      <w:rFonts w:hint="eastAsia" w:eastAsia="宋体"/>
                      <w:color w:val="auto"/>
                      <w:szCs w:val="21"/>
                      <w:lang w:eastAsia="zh-CN"/>
                    </w:rPr>
                  </w:pPr>
                </w:p>
              </w:tc>
            </w:tr>
            <w:tr w14:paraId="4BDE1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796" w:type="pct"/>
                  <w:vAlign w:val="center"/>
                </w:tcPr>
                <w:p w14:paraId="7FF6D539">
                  <w:pPr>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暂存</w:t>
                  </w:r>
                </w:p>
              </w:tc>
              <w:tc>
                <w:tcPr>
                  <w:tcW w:w="679" w:type="pct"/>
                  <w:shd w:val="clear" w:color="auto" w:fill="auto"/>
                  <w:vAlign w:val="center"/>
                </w:tcPr>
                <w:p w14:paraId="1AD3E2F4">
                  <w:pPr>
                    <w:jc w:val="center"/>
                    <w:rPr>
                      <w:rFonts w:hint="eastAsia" w:ascii="Times New Roman" w:hAnsi="Times New Roman" w:eastAsia="宋体" w:cs="Times New Roman"/>
                      <w:b/>
                      <w:bCs/>
                      <w:color w:val="auto"/>
                      <w:kern w:val="2"/>
                      <w:sz w:val="21"/>
                      <w:szCs w:val="21"/>
                      <w:lang w:val="en-US" w:eastAsia="zh-CN" w:bidi="ar-SA"/>
                    </w:rPr>
                  </w:pPr>
                  <w:r>
                    <w:rPr>
                      <w:rFonts w:hint="eastAsia"/>
                      <w:color w:val="auto"/>
                      <w:szCs w:val="21"/>
                      <w:lang w:eastAsia="zh-CN"/>
                    </w:rPr>
                    <w:t>氨气、硫化氢、臭气浓度</w:t>
                  </w:r>
                </w:p>
              </w:tc>
              <w:tc>
                <w:tcPr>
                  <w:tcW w:w="995" w:type="pct"/>
                  <w:shd w:val="clear" w:color="auto" w:fill="auto"/>
                  <w:vAlign w:val="center"/>
                </w:tcPr>
                <w:p w14:paraId="7FD4BFEC">
                  <w:pPr>
                    <w:jc w:val="center"/>
                    <w:rPr>
                      <w:rFonts w:hint="eastAsia" w:cs="Times New Roman"/>
                      <w:color w:val="auto"/>
                      <w:kern w:val="2"/>
                      <w:sz w:val="21"/>
                      <w:szCs w:val="21"/>
                      <w:lang w:val="en-US" w:eastAsia="zh-CN" w:bidi="ar-SA"/>
                    </w:rPr>
                  </w:pPr>
                  <w:r>
                    <w:rPr>
                      <w:rFonts w:hint="eastAsia" w:cs="Times New Roman"/>
                      <w:color w:val="auto"/>
                      <w:kern w:val="2"/>
                      <w:sz w:val="21"/>
                      <w:szCs w:val="21"/>
                      <w:lang w:val="en-US" w:eastAsia="zh-CN" w:bidi="ar-SA"/>
                    </w:rPr>
                    <w:t>储罐</w:t>
                  </w:r>
                </w:p>
              </w:tc>
              <w:tc>
                <w:tcPr>
                  <w:tcW w:w="1609" w:type="pct"/>
                  <w:vAlign w:val="center"/>
                </w:tcPr>
                <w:p w14:paraId="0377BA72">
                  <w:pPr>
                    <w:jc w:val="center"/>
                    <w:rPr>
                      <w:rFonts w:hint="eastAsia"/>
                      <w:color w:val="auto"/>
                      <w:szCs w:val="21"/>
                      <w:lang w:val="en-US" w:eastAsia="zh-CN"/>
                    </w:rPr>
                  </w:pPr>
                  <w:r>
                    <w:rPr>
                      <w:rFonts w:hint="eastAsia"/>
                      <w:color w:val="auto"/>
                      <w:szCs w:val="21"/>
                      <w:lang w:val="en-US" w:eastAsia="zh-CN"/>
                    </w:rPr>
                    <w:t>储罐密闭，设置抽风口，</w:t>
                  </w:r>
                  <w:r>
                    <w:rPr>
                      <w:rFonts w:hint="eastAsia" w:cs="Times New Roman"/>
                      <w:color w:val="auto"/>
                      <w:kern w:val="2"/>
                      <w:sz w:val="21"/>
                      <w:szCs w:val="21"/>
                      <w:lang w:val="en-US" w:eastAsia="zh-CN" w:bidi="ar-SA"/>
                    </w:rPr>
                    <w:t>通过密闭管道将臭气引至除臭装置</w:t>
                  </w:r>
                </w:p>
              </w:tc>
              <w:tc>
                <w:tcPr>
                  <w:tcW w:w="919" w:type="pct"/>
                  <w:vMerge w:val="continue"/>
                  <w:vAlign w:val="center"/>
                </w:tcPr>
                <w:p w14:paraId="0B2C140E">
                  <w:pPr>
                    <w:jc w:val="center"/>
                    <w:rPr>
                      <w:rFonts w:hint="eastAsia" w:eastAsia="宋体"/>
                      <w:color w:val="auto"/>
                      <w:szCs w:val="21"/>
                      <w:lang w:eastAsia="zh-CN"/>
                    </w:rPr>
                  </w:pPr>
                </w:p>
              </w:tc>
            </w:tr>
          </w:tbl>
          <w:p w14:paraId="04A8D56F">
            <w:pPr>
              <w:pStyle w:val="70"/>
              <w:spacing w:line="360" w:lineRule="auto"/>
              <w:rPr>
                <w:rFonts w:hint="eastAsia" w:cs="Times New Roman"/>
                <w:color w:val="auto"/>
                <w:highlight w:val="none"/>
                <w:lang w:val="en-US" w:eastAsia="zh-CN"/>
              </w:rPr>
            </w:pPr>
            <w:r>
              <w:rPr>
                <w:rFonts w:hint="eastAsia" w:cs="Times New Roman"/>
                <w:color w:val="auto"/>
                <w:highlight w:val="none"/>
                <w:lang w:val="en-US" w:eastAsia="zh-CN"/>
              </w:rPr>
              <w:t>（1）废气产排情况</w:t>
            </w:r>
          </w:p>
          <w:p w14:paraId="06A921E0">
            <w:pPr>
              <w:pStyle w:val="70"/>
              <w:spacing w:line="360" w:lineRule="auto"/>
              <w:rPr>
                <w:rFonts w:hint="eastAsia"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餐厨垃圾及餐厨废油在处理过程中、储罐暂存中产生氨气、硫化氢，以及废油脂在加热过程中会产生非甲烷总烃。</w:t>
            </w:r>
          </w:p>
          <w:p w14:paraId="328817D1">
            <w:pPr>
              <w:pStyle w:val="70"/>
              <w:spacing w:line="360" w:lineRule="auto"/>
              <w:rPr>
                <w:rFonts w:hint="default"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① 氨气、硫化氢</w:t>
            </w:r>
          </w:p>
          <w:p w14:paraId="26D4E9A4">
            <w:pPr>
              <w:pStyle w:val="70"/>
              <w:spacing w:line="360" w:lineRule="auto"/>
              <w:rPr>
                <w:rFonts w:hint="eastAsia"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目前，餐厨垃圾接收及处理过程中的臭气源强没有相关的经验公式和理论计算方法，国家亦未发布餐厨垃圾恶臭污染物产生系数，本项目参考省内已投产建设并验收通过的亳州鹏鹞马盛环境科技有限公司亳州市餐厨废弃物处理项目的验收监测数据，采用餐厨垃圾处理恶臭气体中主要污染物 NH</w:t>
            </w:r>
            <w:r>
              <w:rPr>
                <w:rFonts w:hint="eastAsia" w:cs="Times New Roman"/>
                <w:color w:val="auto"/>
                <w:sz w:val="24"/>
                <w:szCs w:val="24"/>
                <w:highlight w:val="none"/>
                <w:vertAlign w:val="subscript"/>
                <w:lang w:val="en-US" w:eastAsia="zh-CN" w:bidi="ar-SA"/>
              </w:rPr>
              <w:t>3</w:t>
            </w:r>
            <w:r>
              <w:rPr>
                <w:rFonts w:hint="eastAsia" w:cs="Times New Roman"/>
                <w:color w:val="auto"/>
                <w:sz w:val="24"/>
                <w:szCs w:val="24"/>
                <w:highlight w:val="none"/>
                <w:lang w:val="en-US" w:eastAsia="zh-CN" w:bidi="ar-SA"/>
              </w:rPr>
              <w:t>、H</w:t>
            </w:r>
            <w:r>
              <w:rPr>
                <w:rFonts w:hint="eastAsia" w:cs="Times New Roman"/>
                <w:color w:val="auto"/>
                <w:sz w:val="24"/>
                <w:szCs w:val="24"/>
                <w:highlight w:val="none"/>
                <w:vertAlign w:val="subscript"/>
                <w:lang w:val="en-US" w:eastAsia="zh-CN" w:bidi="ar-SA"/>
              </w:rPr>
              <w:t>2</w:t>
            </w:r>
            <w:r>
              <w:rPr>
                <w:rFonts w:hint="eastAsia" w:cs="Times New Roman"/>
                <w:color w:val="auto"/>
                <w:sz w:val="24"/>
                <w:szCs w:val="24"/>
                <w:highlight w:val="none"/>
                <w:lang w:val="en-US" w:eastAsia="zh-CN" w:bidi="ar-SA"/>
              </w:rPr>
              <w:t>S 产生系数，综合取最大值核算本项目恶臭气体废气源强。</w:t>
            </w:r>
          </w:p>
          <w:p w14:paraId="14D13621">
            <w:pPr>
              <w:pStyle w:val="70"/>
              <w:spacing w:line="360" w:lineRule="auto"/>
              <w:rPr>
                <w:rFonts w:hint="eastAsia"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亳州鹏鹞马盛环境科技有限公司亳州市餐厨废弃物处理项目环评时间2020年，验收时间为2021年9月。参照项目的环评设计处理餐厨垃圾的规模为180t/d，地沟油20t/d，采用“预处理（加热+固液分离）”；验收规模餐厨垃圾为80t/d，地沟油2t/d。验收时的处理规模与本项目设计规模相近，具体内容比对如下：</w:t>
            </w:r>
          </w:p>
          <w:p w14:paraId="71832D1F">
            <w:pPr>
              <w:keepNext w:val="0"/>
              <w:keepLines w:val="0"/>
              <w:pageBreakBefore w:val="0"/>
              <w:widowControl w:val="0"/>
              <w:kinsoku/>
              <w:wordWrap/>
              <w:overflowPunct/>
              <w:topLinePunct w:val="0"/>
              <w:autoSpaceDE/>
              <w:autoSpaceDN/>
              <w:bidi w:val="0"/>
              <w:adjustRightInd w:val="0"/>
              <w:snapToGrid/>
              <w:spacing w:line="240" w:lineRule="auto"/>
              <w:ind w:firstLine="474"/>
              <w:jc w:val="center"/>
              <w:textAlignment w:val="auto"/>
              <w:outlineLvl w:val="9"/>
              <w:rPr>
                <w:rFonts w:hint="default" w:ascii="Times New Roman" w:hAnsi="Times New Roman" w:cs="Times New Roman"/>
                <w:b/>
                <w:bCs w:val="0"/>
                <w:color w:val="auto"/>
                <w:sz w:val="21"/>
                <w:szCs w:val="21"/>
                <w:lang w:val="en-US" w:eastAsia="zh-CN"/>
              </w:rPr>
            </w:pPr>
            <w:r>
              <w:rPr>
                <w:rFonts w:hint="default" w:ascii="Times New Roman" w:hAnsi="Times New Roman" w:cs="Times New Roman"/>
                <w:b/>
                <w:bCs w:val="0"/>
                <w:color w:val="auto"/>
                <w:sz w:val="21"/>
                <w:szCs w:val="21"/>
                <w:lang w:eastAsia="zh-CN"/>
              </w:rPr>
              <w:t>表</w:t>
            </w:r>
            <w:r>
              <w:rPr>
                <w:rFonts w:hint="eastAsia" w:cs="Times New Roman"/>
                <w:b/>
                <w:bCs w:val="0"/>
                <w:color w:val="auto"/>
                <w:sz w:val="21"/>
                <w:szCs w:val="21"/>
                <w:lang w:val="en-US" w:eastAsia="zh-CN"/>
              </w:rPr>
              <w:t>4-4</w:t>
            </w:r>
            <w:r>
              <w:rPr>
                <w:rFonts w:hint="default" w:ascii="Times New Roman" w:hAnsi="Times New Roman" w:cs="Times New Roman"/>
                <w:b/>
                <w:bCs w:val="0"/>
                <w:color w:val="auto"/>
                <w:sz w:val="21"/>
                <w:szCs w:val="21"/>
                <w:lang w:val="en-US" w:eastAsia="zh-CN"/>
              </w:rPr>
              <w:t xml:space="preserve"> 本项目与参照项目比对内容一览表</w:t>
            </w:r>
          </w:p>
          <w:tbl>
            <w:tblPr>
              <w:tblStyle w:val="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2"/>
              <w:gridCol w:w="2123"/>
              <w:gridCol w:w="2123"/>
              <w:gridCol w:w="2030"/>
            </w:tblGrid>
            <w:tr w14:paraId="6C007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22" w:type="pct"/>
                  <w:noWrap w:val="0"/>
                  <w:vAlign w:val="center"/>
                </w:tcPr>
                <w:p w14:paraId="3B9BF4A1">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eastAsia"/>
                      <w:b w:val="0"/>
                      <w:bCs/>
                      <w:color w:val="auto"/>
                      <w:sz w:val="21"/>
                      <w:szCs w:val="21"/>
                      <w:lang w:eastAsia="zh-CN"/>
                    </w:rPr>
                  </w:pPr>
                  <w:r>
                    <w:rPr>
                      <w:rFonts w:hint="eastAsia"/>
                      <w:b w:val="0"/>
                      <w:bCs/>
                      <w:color w:val="auto"/>
                      <w:sz w:val="21"/>
                      <w:szCs w:val="21"/>
                      <w:lang w:eastAsia="zh-CN"/>
                    </w:rPr>
                    <w:t>类别</w:t>
                  </w:r>
                </w:p>
              </w:tc>
              <w:tc>
                <w:tcPr>
                  <w:tcW w:w="1277" w:type="pct"/>
                  <w:noWrap w:val="0"/>
                  <w:vAlign w:val="center"/>
                </w:tcPr>
                <w:p w14:paraId="6E8F2E5C">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eastAsia" w:ascii="宋体" w:hAnsi="宋体" w:eastAsia="宋体" w:cs="宋体"/>
                      <w:b w:val="0"/>
                      <w:bCs/>
                      <w:color w:val="auto"/>
                      <w:sz w:val="21"/>
                      <w:szCs w:val="21"/>
                      <w:vertAlign w:val="baseline"/>
                      <w:lang w:eastAsia="zh-CN"/>
                    </w:rPr>
                  </w:pPr>
                  <w:r>
                    <w:rPr>
                      <w:rFonts w:hint="eastAsia"/>
                      <w:b w:val="0"/>
                      <w:bCs/>
                      <w:color w:val="auto"/>
                      <w:sz w:val="21"/>
                      <w:szCs w:val="21"/>
                      <w:lang w:eastAsia="zh-CN"/>
                    </w:rPr>
                    <w:t>参照项目（验收内容）</w:t>
                  </w:r>
                </w:p>
              </w:tc>
              <w:tc>
                <w:tcPr>
                  <w:tcW w:w="1277" w:type="pct"/>
                  <w:noWrap w:val="0"/>
                  <w:vAlign w:val="center"/>
                </w:tcPr>
                <w:p w14:paraId="4F52679F">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eastAsia" w:ascii="宋体" w:hAnsi="宋体" w:eastAsia="宋体" w:cs="宋体"/>
                      <w:b w:val="0"/>
                      <w:bCs/>
                      <w:color w:val="auto"/>
                      <w:sz w:val="21"/>
                      <w:szCs w:val="21"/>
                      <w:vertAlign w:val="baseline"/>
                      <w:lang w:eastAsia="zh-CN"/>
                    </w:rPr>
                  </w:pPr>
                  <w:r>
                    <w:rPr>
                      <w:rFonts w:hint="eastAsia" w:ascii="宋体" w:hAnsi="宋体" w:eastAsia="宋体" w:cs="宋体"/>
                      <w:b w:val="0"/>
                      <w:bCs/>
                      <w:color w:val="auto"/>
                      <w:sz w:val="21"/>
                      <w:szCs w:val="21"/>
                      <w:vertAlign w:val="baseline"/>
                      <w:lang w:eastAsia="zh-CN"/>
                    </w:rPr>
                    <w:t>本项目</w:t>
                  </w:r>
                </w:p>
              </w:tc>
              <w:tc>
                <w:tcPr>
                  <w:tcW w:w="1221" w:type="pct"/>
                  <w:noWrap w:val="0"/>
                  <w:vAlign w:val="center"/>
                </w:tcPr>
                <w:p w14:paraId="75933CAE">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eastAsia" w:ascii="宋体" w:hAnsi="宋体" w:eastAsia="宋体" w:cs="宋体"/>
                      <w:b w:val="0"/>
                      <w:bCs/>
                      <w:color w:val="auto"/>
                      <w:sz w:val="21"/>
                      <w:szCs w:val="21"/>
                      <w:vertAlign w:val="baseline"/>
                      <w:lang w:eastAsia="zh-CN"/>
                    </w:rPr>
                  </w:pPr>
                  <w:r>
                    <w:rPr>
                      <w:rFonts w:hint="eastAsia" w:ascii="宋体" w:hAnsi="宋体" w:eastAsia="宋体" w:cs="宋体"/>
                      <w:b w:val="0"/>
                      <w:bCs/>
                      <w:color w:val="auto"/>
                      <w:sz w:val="21"/>
                      <w:szCs w:val="21"/>
                      <w:vertAlign w:val="baseline"/>
                      <w:lang w:eastAsia="zh-CN"/>
                    </w:rPr>
                    <w:t>备注</w:t>
                  </w:r>
                </w:p>
              </w:tc>
            </w:tr>
            <w:tr w14:paraId="5E258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22" w:type="pct"/>
                  <w:noWrap w:val="0"/>
                  <w:vAlign w:val="center"/>
                </w:tcPr>
                <w:p w14:paraId="1750D452">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eastAsia" w:ascii="宋体" w:hAnsi="宋体" w:eastAsia="宋体" w:cs="宋体"/>
                      <w:b w:val="0"/>
                      <w:bCs/>
                      <w:color w:val="auto"/>
                      <w:sz w:val="21"/>
                      <w:szCs w:val="21"/>
                      <w:vertAlign w:val="baseline"/>
                      <w:lang w:eastAsia="zh-CN"/>
                    </w:rPr>
                  </w:pPr>
                  <w:r>
                    <w:rPr>
                      <w:rFonts w:hint="eastAsia" w:ascii="宋体" w:hAnsi="宋体" w:eastAsia="宋体" w:cs="宋体"/>
                      <w:b w:val="0"/>
                      <w:bCs/>
                      <w:color w:val="auto"/>
                      <w:sz w:val="21"/>
                      <w:szCs w:val="21"/>
                      <w:vertAlign w:val="baseline"/>
                      <w:lang w:eastAsia="zh-CN"/>
                    </w:rPr>
                    <w:t>处理规模</w:t>
                  </w:r>
                </w:p>
              </w:tc>
              <w:tc>
                <w:tcPr>
                  <w:tcW w:w="1277" w:type="pct"/>
                  <w:shd w:val="clear" w:color="auto" w:fill="auto"/>
                  <w:noWrap w:val="0"/>
                  <w:vAlign w:val="center"/>
                </w:tcPr>
                <w:p w14:paraId="1F0151E7">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eastAsia" w:ascii="宋体" w:hAnsi="宋体" w:eastAsia="宋体" w:cs="宋体"/>
                      <w:b w:val="0"/>
                      <w:bCs/>
                      <w:color w:val="auto"/>
                      <w:kern w:val="2"/>
                      <w:sz w:val="21"/>
                      <w:szCs w:val="21"/>
                      <w:vertAlign w:val="baseline"/>
                      <w:lang w:val="en-US" w:eastAsia="zh-CN" w:bidi="ar-SA"/>
                    </w:rPr>
                  </w:pPr>
                  <w:r>
                    <w:rPr>
                      <w:rFonts w:hint="eastAsia" w:ascii="宋体" w:hAnsi="宋体" w:eastAsia="宋体" w:cs="宋体"/>
                      <w:b w:val="0"/>
                      <w:bCs/>
                      <w:color w:val="auto"/>
                      <w:sz w:val="21"/>
                      <w:szCs w:val="21"/>
                      <w:vertAlign w:val="baseline"/>
                      <w:lang w:eastAsia="zh-CN"/>
                    </w:rPr>
                    <w:t>餐厨垃圾为80t/d，地沟油2t/d</w:t>
                  </w:r>
                </w:p>
              </w:tc>
              <w:tc>
                <w:tcPr>
                  <w:tcW w:w="1277" w:type="pct"/>
                  <w:noWrap w:val="0"/>
                  <w:vAlign w:val="center"/>
                </w:tcPr>
                <w:p w14:paraId="171F8CE8">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default" w:ascii="宋体" w:hAnsi="宋体" w:eastAsia="宋体" w:cs="宋体"/>
                      <w:b w:val="0"/>
                      <w:bCs/>
                      <w:color w:val="auto"/>
                      <w:sz w:val="21"/>
                      <w:szCs w:val="21"/>
                      <w:vertAlign w:val="baseline"/>
                      <w:lang w:val="en-US" w:eastAsia="zh-CN"/>
                    </w:rPr>
                  </w:pPr>
                  <w:r>
                    <w:rPr>
                      <w:rFonts w:hint="eastAsia" w:ascii="宋体" w:hAnsi="宋体" w:eastAsia="宋体" w:cs="宋体"/>
                      <w:b w:val="0"/>
                      <w:bCs/>
                      <w:color w:val="auto"/>
                      <w:sz w:val="21"/>
                      <w:szCs w:val="21"/>
                      <w:vertAlign w:val="baseline"/>
                      <w:lang w:eastAsia="zh-CN"/>
                    </w:rPr>
                    <w:t>餐厨垃圾</w:t>
                  </w:r>
                  <w:r>
                    <w:rPr>
                      <w:rFonts w:hint="eastAsia" w:ascii="宋体" w:hAnsi="宋体" w:cs="宋体"/>
                      <w:b w:val="0"/>
                      <w:bCs/>
                      <w:color w:val="auto"/>
                      <w:sz w:val="21"/>
                      <w:szCs w:val="21"/>
                      <w:vertAlign w:val="baseline"/>
                      <w:lang w:val="en-US" w:eastAsia="zh-CN"/>
                    </w:rPr>
                    <w:t>9.09</w:t>
                  </w:r>
                  <w:r>
                    <w:rPr>
                      <w:rFonts w:hint="eastAsia" w:ascii="宋体" w:hAnsi="宋体" w:eastAsia="宋体" w:cs="宋体"/>
                      <w:b w:val="0"/>
                      <w:bCs/>
                      <w:color w:val="auto"/>
                      <w:sz w:val="21"/>
                      <w:szCs w:val="21"/>
                      <w:vertAlign w:val="baseline"/>
                      <w:lang w:val="en-US" w:eastAsia="zh-CN"/>
                    </w:rPr>
                    <w:t>t/d，餐厨废油</w:t>
                  </w:r>
                  <w:r>
                    <w:rPr>
                      <w:rFonts w:hint="eastAsia" w:ascii="宋体" w:hAnsi="宋体" w:cs="宋体"/>
                      <w:b w:val="0"/>
                      <w:bCs/>
                      <w:color w:val="auto"/>
                      <w:sz w:val="21"/>
                      <w:szCs w:val="21"/>
                      <w:vertAlign w:val="baseline"/>
                      <w:lang w:val="en-US" w:eastAsia="zh-CN"/>
                    </w:rPr>
                    <w:t>36.36</w:t>
                  </w:r>
                  <w:r>
                    <w:rPr>
                      <w:rFonts w:hint="eastAsia" w:ascii="宋体" w:hAnsi="宋体" w:eastAsia="宋体" w:cs="宋体"/>
                      <w:b w:val="0"/>
                      <w:bCs/>
                      <w:color w:val="auto"/>
                      <w:sz w:val="21"/>
                      <w:szCs w:val="21"/>
                      <w:vertAlign w:val="baseline"/>
                      <w:lang w:val="en-US" w:eastAsia="zh-CN"/>
                    </w:rPr>
                    <w:t>t/d</w:t>
                  </w:r>
                </w:p>
              </w:tc>
              <w:tc>
                <w:tcPr>
                  <w:tcW w:w="1221" w:type="pct"/>
                  <w:noWrap w:val="0"/>
                  <w:vAlign w:val="center"/>
                </w:tcPr>
                <w:p w14:paraId="5DAD8486">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default" w:ascii="宋体" w:hAnsi="宋体" w:eastAsia="宋体" w:cs="宋体"/>
                      <w:b w:val="0"/>
                      <w:bCs/>
                      <w:color w:val="auto"/>
                      <w:sz w:val="21"/>
                      <w:szCs w:val="21"/>
                      <w:vertAlign w:val="baseline"/>
                      <w:lang w:val="en-US" w:eastAsia="zh-CN"/>
                    </w:rPr>
                  </w:pPr>
                  <w:r>
                    <w:rPr>
                      <w:rFonts w:hint="eastAsia" w:ascii="宋体" w:hAnsi="宋体" w:eastAsia="宋体" w:cs="宋体"/>
                      <w:b w:val="0"/>
                      <w:bCs/>
                      <w:color w:val="auto"/>
                      <w:sz w:val="21"/>
                      <w:szCs w:val="21"/>
                      <w:vertAlign w:val="baseline"/>
                      <w:lang w:eastAsia="zh-CN"/>
                    </w:rPr>
                    <w:t>本项目规模约为类比项目的</w:t>
                  </w:r>
                  <w:r>
                    <w:rPr>
                      <w:rFonts w:hint="eastAsia" w:ascii="宋体" w:hAnsi="宋体" w:eastAsia="宋体" w:cs="宋体"/>
                      <w:b w:val="0"/>
                      <w:bCs/>
                      <w:color w:val="auto"/>
                      <w:sz w:val="21"/>
                      <w:szCs w:val="21"/>
                      <w:vertAlign w:val="baseline"/>
                      <w:lang w:val="en-US" w:eastAsia="zh-CN"/>
                    </w:rPr>
                    <w:t>0.55</w:t>
                  </w:r>
                </w:p>
              </w:tc>
            </w:tr>
            <w:tr w14:paraId="48CCC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22" w:type="pct"/>
                  <w:noWrap w:val="0"/>
                  <w:vAlign w:val="center"/>
                </w:tcPr>
                <w:p w14:paraId="70CD4851">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eastAsia" w:ascii="宋体" w:hAnsi="宋体" w:eastAsia="宋体" w:cs="宋体"/>
                      <w:b w:val="0"/>
                      <w:bCs/>
                      <w:color w:val="auto"/>
                      <w:sz w:val="21"/>
                      <w:szCs w:val="21"/>
                      <w:vertAlign w:val="baseline"/>
                      <w:lang w:eastAsia="zh-CN"/>
                    </w:rPr>
                  </w:pPr>
                  <w:r>
                    <w:rPr>
                      <w:rFonts w:hint="eastAsia" w:ascii="宋体" w:hAnsi="宋体" w:eastAsia="宋体" w:cs="宋体"/>
                      <w:b w:val="0"/>
                      <w:bCs/>
                      <w:color w:val="auto"/>
                      <w:sz w:val="21"/>
                      <w:szCs w:val="21"/>
                      <w:vertAlign w:val="baseline"/>
                      <w:lang w:eastAsia="zh-CN"/>
                    </w:rPr>
                    <w:t>处理工艺</w:t>
                  </w:r>
                </w:p>
              </w:tc>
              <w:tc>
                <w:tcPr>
                  <w:tcW w:w="1277" w:type="pct"/>
                  <w:shd w:val="clear" w:color="auto" w:fill="auto"/>
                  <w:noWrap w:val="0"/>
                  <w:vAlign w:val="center"/>
                </w:tcPr>
                <w:p w14:paraId="1A017DEC">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eastAsia" w:ascii="宋体" w:hAnsi="宋体" w:eastAsia="宋体" w:cs="宋体"/>
                      <w:b w:val="0"/>
                      <w:bCs/>
                      <w:color w:val="auto"/>
                      <w:kern w:val="2"/>
                      <w:sz w:val="21"/>
                      <w:szCs w:val="21"/>
                      <w:vertAlign w:val="baseline"/>
                      <w:lang w:val="en-US" w:eastAsia="zh-CN" w:bidi="ar-SA"/>
                    </w:rPr>
                  </w:pPr>
                  <w:r>
                    <w:rPr>
                      <w:rFonts w:hint="eastAsia" w:ascii="宋体" w:hAnsi="宋体" w:eastAsia="宋体" w:cs="宋体"/>
                      <w:b w:val="0"/>
                      <w:bCs/>
                      <w:color w:val="auto"/>
                      <w:sz w:val="21"/>
                      <w:szCs w:val="21"/>
                      <w:vertAlign w:val="baseline"/>
                      <w:lang w:eastAsia="zh-CN"/>
                    </w:rPr>
                    <w:t>预处理（加热+固液分离）</w:t>
                  </w:r>
                </w:p>
              </w:tc>
              <w:tc>
                <w:tcPr>
                  <w:tcW w:w="1277" w:type="pct"/>
                  <w:noWrap w:val="0"/>
                  <w:vAlign w:val="center"/>
                </w:tcPr>
                <w:p w14:paraId="7F85FEF2">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eastAsia" w:ascii="宋体" w:hAnsi="宋体" w:eastAsia="宋体" w:cs="宋体"/>
                      <w:b w:val="0"/>
                      <w:bCs/>
                      <w:color w:val="auto"/>
                      <w:sz w:val="21"/>
                      <w:szCs w:val="21"/>
                      <w:vertAlign w:val="baseline"/>
                      <w:lang w:eastAsia="zh-CN"/>
                    </w:rPr>
                  </w:pPr>
                  <w:r>
                    <w:rPr>
                      <w:rFonts w:hint="eastAsia" w:ascii="宋体" w:hAnsi="宋体" w:eastAsia="宋体" w:cs="宋体"/>
                      <w:b w:val="0"/>
                      <w:bCs/>
                      <w:color w:val="auto"/>
                      <w:sz w:val="21"/>
                      <w:szCs w:val="21"/>
                      <w:vertAlign w:val="baseline"/>
                      <w:lang w:eastAsia="zh-CN"/>
                    </w:rPr>
                    <w:t>预处理（加热+固液分离）</w:t>
                  </w:r>
                </w:p>
              </w:tc>
              <w:tc>
                <w:tcPr>
                  <w:tcW w:w="1221" w:type="pct"/>
                  <w:noWrap w:val="0"/>
                  <w:vAlign w:val="center"/>
                </w:tcPr>
                <w:p w14:paraId="2F1C0280">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eastAsia" w:ascii="宋体" w:hAnsi="宋体" w:eastAsia="宋体" w:cs="宋体"/>
                      <w:b w:val="0"/>
                      <w:bCs/>
                      <w:color w:val="auto"/>
                      <w:sz w:val="21"/>
                      <w:szCs w:val="21"/>
                      <w:vertAlign w:val="baseline"/>
                      <w:lang w:eastAsia="zh-CN"/>
                    </w:rPr>
                  </w:pPr>
                  <w:r>
                    <w:rPr>
                      <w:rFonts w:hint="eastAsia" w:ascii="宋体" w:hAnsi="宋体" w:cs="宋体"/>
                      <w:b w:val="0"/>
                      <w:bCs/>
                      <w:color w:val="auto"/>
                      <w:sz w:val="21"/>
                      <w:szCs w:val="21"/>
                      <w:vertAlign w:val="baseline"/>
                      <w:lang w:eastAsia="zh-CN"/>
                    </w:rPr>
                    <w:t>预处理</w:t>
                  </w:r>
                  <w:r>
                    <w:rPr>
                      <w:rFonts w:hint="eastAsia" w:ascii="宋体" w:hAnsi="宋体" w:eastAsia="宋体" w:cs="宋体"/>
                      <w:b w:val="0"/>
                      <w:bCs/>
                      <w:color w:val="auto"/>
                      <w:sz w:val="21"/>
                      <w:szCs w:val="21"/>
                      <w:vertAlign w:val="baseline"/>
                      <w:lang w:eastAsia="zh-CN"/>
                    </w:rPr>
                    <w:t>工艺一致</w:t>
                  </w:r>
                </w:p>
              </w:tc>
            </w:tr>
            <w:tr w14:paraId="6DB57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22" w:type="pct"/>
                  <w:noWrap w:val="0"/>
                  <w:vAlign w:val="center"/>
                </w:tcPr>
                <w:p w14:paraId="29630188">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eastAsia" w:ascii="宋体" w:hAnsi="宋体" w:eastAsia="宋体" w:cs="宋体"/>
                      <w:b w:val="0"/>
                      <w:bCs/>
                      <w:color w:val="auto"/>
                      <w:sz w:val="21"/>
                      <w:szCs w:val="21"/>
                      <w:vertAlign w:val="baseline"/>
                      <w:lang w:eastAsia="zh-CN"/>
                    </w:rPr>
                  </w:pPr>
                  <w:r>
                    <w:rPr>
                      <w:rFonts w:hint="eastAsia" w:ascii="宋体" w:hAnsi="宋体" w:eastAsia="宋体" w:cs="宋体"/>
                      <w:b w:val="0"/>
                      <w:bCs/>
                      <w:color w:val="auto"/>
                      <w:sz w:val="21"/>
                      <w:szCs w:val="21"/>
                      <w:vertAlign w:val="baseline"/>
                      <w:lang w:eastAsia="zh-CN"/>
                    </w:rPr>
                    <w:t>收集</w:t>
                  </w:r>
                  <w:r>
                    <w:rPr>
                      <w:rFonts w:hint="eastAsia" w:ascii="宋体" w:hAnsi="宋体" w:eastAsia="宋体" w:cs="宋体"/>
                      <w:b w:val="0"/>
                      <w:bCs/>
                      <w:color w:val="auto"/>
                      <w:sz w:val="21"/>
                      <w:szCs w:val="21"/>
                      <w:vertAlign w:val="baseline"/>
                      <w:lang w:val="en-US" w:eastAsia="zh-CN"/>
                    </w:rPr>
                    <w:t>+废气处理</w:t>
                  </w:r>
                  <w:r>
                    <w:rPr>
                      <w:rFonts w:hint="eastAsia" w:ascii="宋体" w:hAnsi="宋体" w:eastAsia="宋体" w:cs="宋体"/>
                      <w:b w:val="0"/>
                      <w:bCs/>
                      <w:color w:val="auto"/>
                      <w:sz w:val="21"/>
                      <w:szCs w:val="21"/>
                      <w:vertAlign w:val="baseline"/>
                      <w:lang w:eastAsia="zh-CN"/>
                    </w:rPr>
                    <w:t>措施</w:t>
                  </w:r>
                </w:p>
              </w:tc>
              <w:tc>
                <w:tcPr>
                  <w:tcW w:w="1277" w:type="pct"/>
                  <w:shd w:val="clear" w:color="auto" w:fill="auto"/>
                  <w:noWrap w:val="0"/>
                  <w:vAlign w:val="center"/>
                </w:tcPr>
                <w:p w14:paraId="4063DFF1">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eastAsia" w:ascii="宋体" w:hAnsi="宋体" w:eastAsia="宋体" w:cs="宋体"/>
                      <w:b w:val="0"/>
                      <w:bCs/>
                      <w:color w:val="auto"/>
                      <w:kern w:val="2"/>
                      <w:sz w:val="21"/>
                      <w:szCs w:val="21"/>
                      <w:vertAlign w:val="baseline"/>
                      <w:lang w:val="en-US" w:eastAsia="zh-CN" w:bidi="ar-SA"/>
                    </w:rPr>
                  </w:pPr>
                  <w:r>
                    <w:rPr>
                      <w:rFonts w:hint="eastAsia" w:ascii="宋体" w:hAnsi="宋体" w:eastAsia="宋体" w:cs="宋体"/>
                      <w:b w:val="0"/>
                      <w:bCs/>
                      <w:color w:val="auto"/>
                      <w:sz w:val="21"/>
                      <w:szCs w:val="21"/>
                      <w:vertAlign w:val="baseline"/>
                      <w:lang w:eastAsia="zh-CN"/>
                    </w:rPr>
                    <w:t>接料斗、初清设备、除杂设备、破碎除砂设备、加热搅拌设备、三相分离设备、筛分设备、调配罐、发酵罐、隔油池、等均密闭管道收集；压滤间、卸料间密闭负压收集。车间臭气经1套酸性废气喷淋塔+1套碱性废气喷淋塔+1套生物滤池除臭系统串联处理</w:t>
                  </w:r>
                </w:p>
              </w:tc>
              <w:tc>
                <w:tcPr>
                  <w:tcW w:w="1277" w:type="pct"/>
                  <w:shd w:val="clear" w:color="auto" w:fill="auto"/>
                  <w:noWrap w:val="0"/>
                  <w:vAlign w:val="center"/>
                </w:tcPr>
                <w:p w14:paraId="60ABBF5E">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eastAsia" w:ascii="宋体" w:hAnsi="宋体" w:eastAsia="宋体" w:cs="宋体"/>
                      <w:b w:val="0"/>
                      <w:bCs/>
                      <w:color w:val="auto"/>
                      <w:sz w:val="21"/>
                      <w:szCs w:val="21"/>
                      <w:vertAlign w:val="baseline"/>
                      <w:lang w:eastAsia="zh-CN"/>
                    </w:rPr>
                  </w:pPr>
                  <w:r>
                    <w:rPr>
                      <w:rFonts w:hint="eastAsia" w:ascii="宋体" w:hAnsi="宋体" w:cs="宋体"/>
                      <w:b w:val="0"/>
                      <w:bCs/>
                      <w:color w:val="auto"/>
                      <w:sz w:val="21"/>
                      <w:szCs w:val="21"/>
                      <w:vertAlign w:val="baseline"/>
                      <w:lang w:eastAsia="zh-CN"/>
                    </w:rPr>
                    <w:t>密闭设备和暂存设备、螺旋输送设备</w:t>
                  </w:r>
                  <w:r>
                    <w:rPr>
                      <w:rFonts w:hint="eastAsia" w:ascii="宋体" w:hAnsi="宋体" w:eastAsia="宋体" w:cs="宋体"/>
                      <w:b w:val="0"/>
                      <w:bCs/>
                      <w:color w:val="auto"/>
                      <w:sz w:val="21"/>
                      <w:szCs w:val="21"/>
                      <w:vertAlign w:val="baseline"/>
                      <w:lang w:eastAsia="zh-CN"/>
                    </w:rPr>
                    <w:t>密闭管道抽风收集。</w:t>
                  </w:r>
                </w:p>
                <w:p w14:paraId="38363F23">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eastAsia" w:cs="Times New Roman"/>
                      <w:color w:val="auto"/>
                      <w:spacing w:val="4"/>
                      <w:kern w:val="18"/>
                      <w:sz w:val="21"/>
                      <w:szCs w:val="21"/>
                      <w:lang w:val="en-US" w:eastAsia="zh-CN"/>
                    </w:rPr>
                  </w:pPr>
                  <w:r>
                    <w:rPr>
                      <w:rFonts w:hint="eastAsia" w:ascii="宋体" w:hAnsi="宋体" w:eastAsia="宋体" w:cs="宋体"/>
                      <w:b w:val="0"/>
                      <w:bCs/>
                      <w:color w:val="auto"/>
                      <w:sz w:val="21"/>
                      <w:szCs w:val="21"/>
                      <w:vertAlign w:val="baseline"/>
                      <w:lang w:eastAsia="zh-CN"/>
                    </w:rPr>
                    <w:t>卸料间、出渣间</w:t>
                  </w:r>
                  <w:r>
                    <w:rPr>
                      <w:rFonts w:hint="eastAsia" w:cs="Times New Roman"/>
                      <w:color w:val="auto"/>
                      <w:spacing w:val="4"/>
                      <w:kern w:val="18"/>
                      <w:sz w:val="21"/>
                      <w:szCs w:val="21"/>
                      <w:lang w:val="en-US" w:eastAsia="zh-CN"/>
                    </w:rPr>
                    <w:t>密闭微负压收集。</w:t>
                  </w:r>
                </w:p>
                <w:p w14:paraId="270F4ED0">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eastAsia" w:ascii="宋体" w:hAnsi="宋体" w:eastAsia="宋体" w:cs="宋体"/>
                      <w:b w:val="0"/>
                      <w:bCs/>
                      <w:color w:val="auto"/>
                      <w:kern w:val="2"/>
                      <w:sz w:val="21"/>
                      <w:szCs w:val="21"/>
                      <w:vertAlign w:val="baseline"/>
                      <w:lang w:val="en-US" w:eastAsia="zh-CN" w:bidi="ar-SA"/>
                    </w:rPr>
                  </w:pPr>
                  <w:r>
                    <w:rPr>
                      <w:rFonts w:hint="eastAsia" w:cs="Times New Roman"/>
                      <w:color w:val="auto"/>
                      <w:spacing w:val="4"/>
                      <w:kern w:val="18"/>
                      <w:sz w:val="21"/>
                      <w:szCs w:val="21"/>
                      <w:lang w:val="en-US" w:eastAsia="zh-CN"/>
                    </w:rPr>
                    <w:t>车间的加热罐、三相分离设备废气经油雾净化器+管式热交换器处理后，汇同与车间其他废气和储罐废气混合进入酸洗+碱洗+次氯酸钠洗+干式过滤器+一级活性炭过排气筒（DA001，15m）排放</w:t>
                  </w:r>
                </w:p>
              </w:tc>
              <w:tc>
                <w:tcPr>
                  <w:tcW w:w="1221" w:type="pct"/>
                  <w:noWrap w:val="0"/>
                  <w:vAlign w:val="center"/>
                </w:tcPr>
                <w:p w14:paraId="33BB9BF4">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outlineLvl w:val="9"/>
                    <w:rPr>
                      <w:rFonts w:hint="default" w:ascii="宋体" w:hAnsi="宋体" w:eastAsia="宋体" w:cs="宋体"/>
                      <w:b w:val="0"/>
                      <w:bCs/>
                      <w:color w:val="auto"/>
                      <w:sz w:val="21"/>
                      <w:szCs w:val="21"/>
                      <w:vertAlign w:val="baseline"/>
                      <w:lang w:val="en-US" w:eastAsia="zh-CN"/>
                    </w:rPr>
                  </w:pPr>
                  <w:r>
                    <w:rPr>
                      <w:rFonts w:hint="eastAsia" w:ascii="宋体" w:hAnsi="宋体" w:eastAsia="宋体" w:cs="宋体"/>
                      <w:b w:val="0"/>
                      <w:bCs/>
                      <w:color w:val="auto"/>
                      <w:sz w:val="21"/>
                      <w:szCs w:val="21"/>
                      <w:vertAlign w:val="baseline"/>
                      <w:lang w:val="en-US" w:eastAsia="zh-CN"/>
                    </w:rPr>
                    <w:t>两个项目设计措施相近，设备、池体均为密闭管道抽风收集，车间密闭负压抽风收集。</w:t>
                  </w:r>
                  <w:r>
                    <w:rPr>
                      <w:rFonts w:hint="eastAsia" w:ascii="宋体" w:hAnsi="宋体" w:cs="宋体"/>
                      <w:b w:val="0"/>
                      <w:bCs/>
                      <w:color w:val="auto"/>
                      <w:sz w:val="21"/>
                      <w:szCs w:val="21"/>
                      <w:vertAlign w:val="baseline"/>
                      <w:lang w:val="en-US" w:eastAsia="zh-CN"/>
                    </w:rPr>
                    <w:t>本项目不涉及污水处理部分。本项目考虑主要处理餐厨废弃油脂，因此增加油雾净化器。且处理措施均为推荐技术</w:t>
                  </w:r>
                </w:p>
              </w:tc>
            </w:tr>
          </w:tbl>
          <w:p w14:paraId="6421FE8E">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outlineLvl w:val="9"/>
              <w:rPr>
                <w:rFonts w:hint="eastAsia"/>
                <w:b/>
                <w:bCs w:val="0"/>
                <w:color w:val="auto"/>
                <w:sz w:val="24"/>
                <w:szCs w:val="24"/>
                <w:lang w:eastAsia="zh-CN"/>
              </w:rPr>
            </w:pPr>
            <w:r>
              <w:rPr>
                <w:rFonts w:hint="eastAsia"/>
                <w:b w:val="0"/>
                <w:bCs/>
                <w:color w:val="auto"/>
                <w:sz w:val="24"/>
                <w:szCs w:val="24"/>
                <w:lang w:eastAsia="zh-CN"/>
              </w:rPr>
              <w:t>综上分析，本项目比类比项目废气处理措施更加严格，因此本次取“亳州</w:t>
            </w:r>
            <w:r>
              <w:rPr>
                <w:rFonts w:hint="eastAsia"/>
                <w:color w:val="auto"/>
                <w:sz w:val="24"/>
                <w:szCs w:val="24"/>
                <w:vertAlign w:val="baseline"/>
              </w:rPr>
              <w:t>鹏鹞马盛环境科技有限公司亳州市餐厨废弃物处理项目</w:t>
            </w:r>
            <w:r>
              <w:rPr>
                <w:rFonts w:hint="eastAsia"/>
                <w:color w:val="auto"/>
                <w:sz w:val="24"/>
                <w:szCs w:val="24"/>
                <w:vertAlign w:val="baseline"/>
                <w:lang w:eastAsia="zh-CN"/>
              </w:rPr>
              <w:t>”的</w:t>
            </w:r>
            <w:r>
              <w:rPr>
                <w:rFonts w:hint="eastAsia"/>
                <w:color w:val="auto"/>
                <w:sz w:val="24"/>
                <w:szCs w:val="24"/>
                <w:vertAlign w:val="baseline"/>
                <w:lang w:val="en-US" w:eastAsia="zh-CN"/>
              </w:rPr>
              <w:t>验收检测文本中未进入处理措施前的检测数据</w:t>
            </w:r>
            <w:r>
              <w:rPr>
                <w:rFonts w:hint="eastAsia"/>
                <w:b w:val="0"/>
                <w:bCs/>
                <w:color w:val="auto"/>
                <w:sz w:val="24"/>
                <w:szCs w:val="24"/>
                <w:lang w:eastAsia="zh-CN"/>
              </w:rPr>
              <w:t>，计算建设项目恶臭气体源强。具体监测结果详见下表。</w:t>
            </w:r>
          </w:p>
          <w:p w14:paraId="21FB4E10">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eastAsia"/>
                <w:b/>
                <w:bCs w:val="0"/>
                <w:color w:val="auto"/>
                <w:sz w:val="24"/>
                <w:szCs w:val="24"/>
                <w:lang w:val="en-US" w:eastAsia="zh-CN"/>
              </w:rPr>
            </w:pPr>
            <w:r>
              <w:rPr>
                <w:rFonts w:hint="eastAsia"/>
                <w:b/>
                <w:bCs w:val="0"/>
                <w:color w:val="auto"/>
                <w:sz w:val="21"/>
                <w:szCs w:val="21"/>
                <w:lang w:eastAsia="zh-CN"/>
              </w:rPr>
              <w:t>表</w:t>
            </w:r>
            <w:r>
              <w:rPr>
                <w:rFonts w:hint="eastAsia"/>
                <w:b/>
                <w:bCs w:val="0"/>
                <w:color w:val="auto"/>
                <w:sz w:val="21"/>
                <w:szCs w:val="21"/>
                <w:lang w:val="en-US" w:eastAsia="zh-CN"/>
              </w:rPr>
              <w:t>4-5参照项目恶臭气体验收监测数据源一览表</w:t>
            </w:r>
          </w:p>
          <w:tbl>
            <w:tblPr>
              <w:tblStyle w:val="29"/>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6"/>
              <w:gridCol w:w="1658"/>
              <w:gridCol w:w="1660"/>
              <w:gridCol w:w="1660"/>
              <w:gridCol w:w="1661"/>
            </w:tblGrid>
            <w:tr w14:paraId="07283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8" w:type="pct"/>
                  <w:noWrap w:val="0"/>
                  <w:vAlign w:val="top"/>
                </w:tcPr>
                <w:p w14:paraId="5A828ED2">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bCs w:val="0"/>
                      <w:color w:val="auto"/>
                      <w:sz w:val="21"/>
                      <w:szCs w:val="21"/>
                      <w:vertAlign w:val="baseline"/>
                      <w:lang w:val="en-US" w:eastAsia="zh-CN"/>
                    </w:rPr>
                  </w:pPr>
                  <w:r>
                    <w:rPr>
                      <w:rFonts w:hint="eastAsia"/>
                      <w:b/>
                      <w:bCs w:val="0"/>
                      <w:color w:val="auto"/>
                      <w:sz w:val="21"/>
                      <w:szCs w:val="21"/>
                      <w:vertAlign w:val="baseline"/>
                      <w:lang w:val="en-US" w:eastAsia="zh-CN"/>
                    </w:rPr>
                    <w:t>监测位置</w:t>
                  </w:r>
                </w:p>
              </w:tc>
              <w:tc>
                <w:tcPr>
                  <w:tcW w:w="999" w:type="pct"/>
                  <w:noWrap w:val="0"/>
                  <w:vAlign w:val="top"/>
                </w:tcPr>
                <w:p w14:paraId="30C6FA12">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bCs w:val="0"/>
                      <w:color w:val="auto"/>
                      <w:sz w:val="21"/>
                      <w:szCs w:val="21"/>
                      <w:vertAlign w:val="baseline"/>
                      <w:lang w:val="en-US" w:eastAsia="zh-CN"/>
                    </w:rPr>
                  </w:pPr>
                  <w:r>
                    <w:rPr>
                      <w:rFonts w:hint="eastAsia"/>
                      <w:b/>
                      <w:bCs w:val="0"/>
                      <w:color w:val="auto"/>
                      <w:sz w:val="21"/>
                      <w:szCs w:val="21"/>
                      <w:vertAlign w:val="baseline"/>
                      <w:lang w:val="en-US" w:eastAsia="zh-CN"/>
                    </w:rPr>
                    <w:t>监测项目</w:t>
                  </w:r>
                </w:p>
              </w:tc>
              <w:tc>
                <w:tcPr>
                  <w:tcW w:w="1000" w:type="pct"/>
                  <w:noWrap w:val="0"/>
                  <w:vAlign w:val="top"/>
                </w:tcPr>
                <w:p w14:paraId="74E3B218">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bCs w:val="0"/>
                      <w:color w:val="auto"/>
                      <w:sz w:val="21"/>
                      <w:szCs w:val="21"/>
                      <w:vertAlign w:val="baseline"/>
                      <w:lang w:val="en-US" w:eastAsia="zh-CN"/>
                    </w:rPr>
                  </w:pPr>
                  <w:r>
                    <w:rPr>
                      <w:rFonts w:hint="eastAsia"/>
                      <w:b/>
                      <w:bCs w:val="0"/>
                      <w:color w:val="auto"/>
                      <w:sz w:val="21"/>
                      <w:szCs w:val="21"/>
                      <w:vertAlign w:val="baseline"/>
                      <w:lang w:val="en-US" w:eastAsia="zh-CN"/>
                    </w:rPr>
                    <w:t>监测频次</w:t>
                  </w:r>
                </w:p>
              </w:tc>
              <w:tc>
                <w:tcPr>
                  <w:tcW w:w="1000" w:type="pct"/>
                  <w:noWrap w:val="0"/>
                  <w:vAlign w:val="top"/>
                </w:tcPr>
                <w:p w14:paraId="289D6747">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bCs w:val="0"/>
                      <w:color w:val="auto"/>
                      <w:sz w:val="21"/>
                      <w:szCs w:val="21"/>
                      <w:vertAlign w:val="baseline"/>
                      <w:lang w:val="en-US" w:eastAsia="zh-CN"/>
                    </w:rPr>
                  </w:pPr>
                  <w:r>
                    <w:rPr>
                      <w:rFonts w:hint="eastAsia"/>
                      <w:b/>
                      <w:bCs w:val="0"/>
                      <w:color w:val="auto"/>
                      <w:sz w:val="21"/>
                      <w:szCs w:val="21"/>
                      <w:vertAlign w:val="baseline"/>
                      <w:lang w:val="en-US" w:eastAsia="zh-CN"/>
                    </w:rPr>
                    <w:t>排放浓度（mg/m³）</w:t>
                  </w:r>
                </w:p>
              </w:tc>
              <w:tc>
                <w:tcPr>
                  <w:tcW w:w="1001" w:type="pct"/>
                  <w:noWrap w:val="0"/>
                  <w:vAlign w:val="top"/>
                </w:tcPr>
                <w:p w14:paraId="3710A913">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bCs w:val="0"/>
                      <w:color w:val="auto"/>
                      <w:sz w:val="21"/>
                      <w:szCs w:val="21"/>
                      <w:vertAlign w:val="baseline"/>
                      <w:lang w:val="en-US" w:eastAsia="zh-CN"/>
                    </w:rPr>
                  </w:pPr>
                  <w:r>
                    <w:rPr>
                      <w:rFonts w:hint="eastAsia"/>
                      <w:b/>
                      <w:bCs w:val="0"/>
                      <w:color w:val="auto"/>
                      <w:sz w:val="21"/>
                      <w:szCs w:val="21"/>
                      <w:vertAlign w:val="baseline"/>
                      <w:lang w:val="en-US" w:eastAsia="zh-CN"/>
                    </w:rPr>
                    <w:t>排放速率（kg/h）</w:t>
                  </w:r>
                </w:p>
              </w:tc>
            </w:tr>
            <w:tr w14:paraId="3D275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8" w:type="pct"/>
                  <w:vMerge w:val="restart"/>
                  <w:noWrap w:val="0"/>
                  <w:vAlign w:val="top"/>
                </w:tcPr>
                <w:p w14:paraId="110D8CE2">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生产车间废气进口</w:t>
                  </w:r>
                </w:p>
              </w:tc>
              <w:tc>
                <w:tcPr>
                  <w:tcW w:w="999" w:type="pct"/>
                  <w:vMerge w:val="restart"/>
                  <w:noWrap w:val="0"/>
                  <w:vAlign w:val="top"/>
                </w:tcPr>
                <w:p w14:paraId="46123632">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氨</w:t>
                  </w:r>
                </w:p>
              </w:tc>
              <w:tc>
                <w:tcPr>
                  <w:tcW w:w="1000" w:type="pct"/>
                  <w:noWrap w:val="0"/>
                  <w:vAlign w:val="top"/>
                </w:tcPr>
                <w:p w14:paraId="175A4BF5">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第一次</w:t>
                  </w:r>
                </w:p>
              </w:tc>
              <w:tc>
                <w:tcPr>
                  <w:tcW w:w="1000" w:type="pct"/>
                  <w:noWrap w:val="0"/>
                  <w:vAlign w:val="top"/>
                </w:tcPr>
                <w:p w14:paraId="39B55BED">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3.52</w:t>
                  </w:r>
                </w:p>
              </w:tc>
              <w:tc>
                <w:tcPr>
                  <w:tcW w:w="1001" w:type="pct"/>
                  <w:noWrap w:val="0"/>
                  <w:vAlign w:val="top"/>
                </w:tcPr>
                <w:p w14:paraId="3678DB07">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0.0917</w:t>
                  </w:r>
                </w:p>
              </w:tc>
            </w:tr>
            <w:tr w14:paraId="684EF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8" w:type="pct"/>
                  <w:vMerge w:val="continue"/>
                  <w:noWrap w:val="0"/>
                  <w:vAlign w:val="top"/>
                </w:tcPr>
                <w:p w14:paraId="3BCD1B06">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999" w:type="pct"/>
                  <w:vMerge w:val="continue"/>
                  <w:noWrap w:val="0"/>
                  <w:vAlign w:val="top"/>
                </w:tcPr>
                <w:p w14:paraId="1A4A6543">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1000" w:type="pct"/>
                  <w:noWrap w:val="0"/>
                  <w:vAlign w:val="top"/>
                </w:tcPr>
                <w:p w14:paraId="51150B16">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第二次</w:t>
                  </w:r>
                </w:p>
              </w:tc>
              <w:tc>
                <w:tcPr>
                  <w:tcW w:w="1000" w:type="pct"/>
                  <w:noWrap w:val="0"/>
                  <w:vAlign w:val="top"/>
                </w:tcPr>
                <w:p w14:paraId="2E6B6D85">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3.39</w:t>
                  </w:r>
                </w:p>
              </w:tc>
              <w:tc>
                <w:tcPr>
                  <w:tcW w:w="1001" w:type="pct"/>
                  <w:noWrap w:val="0"/>
                  <w:vAlign w:val="top"/>
                </w:tcPr>
                <w:p w14:paraId="682161FB">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0.0887</w:t>
                  </w:r>
                </w:p>
              </w:tc>
            </w:tr>
            <w:tr w14:paraId="7E86F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8" w:type="pct"/>
                  <w:vMerge w:val="continue"/>
                  <w:noWrap w:val="0"/>
                  <w:vAlign w:val="top"/>
                </w:tcPr>
                <w:p w14:paraId="0B9CF2D0">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999" w:type="pct"/>
                  <w:vMerge w:val="continue"/>
                  <w:noWrap w:val="0"/>
                  <w:vAlign w:val="top"/>
                </w:tcPr>
                <w:p w14:paraId="6B203168">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1000" w:type="pct"/>
                  <w:noWrap w:val="0"/>
                  <w:vAlign w:val="top"/>
                </w:tcPr>
                <w:p w14:paraId="1CF1ADDB">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第三次</w:t>
                  </w:r>
                </w:p>
              </w:tc>
              <w:tc>
                <w:tcPr>
                  <w:tcW w:w="1000" w:type="pct"/>
                  <w:noWrap w:val="0"/>
                  <w:vAlign w:val="top"/>
                </w:tcPr>
                <w:p w14:paraId="43126B22">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3.61</w:t>
                  </w:r>
                </w:p>
              </w:tc>
              <w:tc>
                <w:tcPr>
                  <w:tcW w:w="1001" w:type="pct"/>
                  <w:noWrap w:val="0"/>
                  <w:vAlign w:val="top"/>
                </w:tcPr>
                <w:p w14:paraId="2968DBFD">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0.0910</w:t>
                  </w:r>
                </w:p>
              </w:tc>
            </w:tr>
            <w:tr w14:paraId="55B50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8" w:type="pct"/>
                  <w:vMerge w:val="continue"/>
                  <w:noWrap w:val="0"/>
                  <w:vAlign w:val="top"/>
                </w:tcPr>
                <w:p w14:paraId="57DA25F7">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999" w:type="pct"/>
                  <w:vMerge w:val="restart"/>
                  <w:noWrap w:val="0"/>
                  <w:vAlign w:val="top"/>
                </w:tcPr>
                <w:p w14:paraId="60821EE0">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硫化氢</w:t>
                  </w:r>
                </w:p>
              </w:tc>
              <w:tc>
                <w:tcPr>
                  <w:tcW w:w="1000" w:type="pct"/>
                  <w:noWrap w:val="0"/>
                  <w:vAlign w:val="top"/>
                </w:tcPr>
                <w:p w14:paraId="3B2D7B6E">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第一次</w:t>
                  </w:r>
                </w:p>
              </w:tc>
              <w:tc>
                <w:tcPr>
                  <w:tcW w:w="1000" w:type="pct"/>
                  <w:noWrap w:val="0"/>
                  <w:vAlign w:val="top"/>
                </w:tcPr>
                <w:p w14:paraId="134EE2F7">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0.13</w:t>
                  </w:r>
                </w:p>
              </w:tc>
              <w:tc>
                <w:tcPr>
                  <w:tcW w:w="1001" w:type="pct"/>
                  <w:noWrap w:val="0"/>
                  <w:vAlign w:val="top"/>
                </w:tcPr>
                <w:p w14:paraId="5B6AC750">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0.0034</w:t>
                  </w:r>
                </w:p>
              </w:tc>
            </w:tr>
            <w:tr w14:paraId="01701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8" w:type="pct"/>
                  <w:vMerge w:val="continue"/>
                  <w:noWrap w:val="0"/>
                  <w:vAlign w:val="top"/>
                </w:tcPr>
                <w:p w14:paraId="6EE0D407">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999" w:type="pct"/>
                  <w:vMerge w:val="continue"/>
                  <w:noWrap w:val="0"/>
                  <w:vAlign w:val="top"/>
                </w:tcPr>
                <w:p w14:paraId="1ACF94D2">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1000" w:type="pct"/>
                  <w:noWrap w:val="0"/>
                  <w:vAlign w:val="top"/>
                </w:tcPr>
                <w:p w14:paraId="2FE0D3E3">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第二次</w:t>
                  </w:r>
                </w:p>
              </w:tc>
              <w:tc>
                <w:tcPr>
                  <w:tcW w:w="1000" w:type="pct"/>
                  <w:noWrap w:val="0"/>
                  <w:vAlign w:val="top"/>
                </w:tcPr>
                <w:p w14:paraId="483D5894">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0.14</w:t>
                  </w:r>
                </w:p>
              </w:tc>
              <w:tc>
                <w:tcPr>
                  <w:tcW w:w="1001" w:type="pct"/>
                  <w:noWrap w:val="0"/>
                  <w:vAlign w:val="top"/>
                </w:tcPr>
                <w:p w14:paraId="3D4AD1F3">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0.0037</w:t>
                  </w:r>
                </w:p>
              </w:tc>
            </w:tr>
            <w:tr w14:paraId="10873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8" w:type="pct"/>
                  <w:vMerge w:val="continue"/>
                  <w:noWrap w:val="0"/>
                  <w:vAlign w:val="top"/>
                </w:tcPr>
                <w:p w14:paraId="4E937CDC">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999" w:type="pct"/>
                  <w:vMerge w:val="continue"/>
                  <w:noWrap w:val="0"/>
                  <w:vAlign w:val="top"/>
                </w:tcPr>
                <w:p w14:paraId="5F8ACD83">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1000" w:type="pct"/>
                  <w:noWrap w:val="0"/>
                  <w:vAlign w:val="top"/>
                </w:tcPr>
                <w:p w14:paraId="52937489">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第三次</w:t>
                  </w:r>
                </w:p>
              </w:tc>
              <w:tc>
                <w:tcPr>
                  <w:tcW w:w="1000" w:type="pct"/>
                  <w:noWrap w:val="0"/>
                  <w:vAlign w:val="top"/>
                </w:tcPr>
                <w:p w14:paraId="06A62969">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0.15</w:t>
                  </w:r>
                </w:p>
              </w:tc>
              <w:tc>
                <w:tcPr>
                  <w:tcW w:w="1001" w:type="pct"/>
                  <w:noWrap w:val="0"/>
                  <w:vAlign w:val="top"/>
                </w:tcPr>
                <w:p w14:paraId="4351B453">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0.0038</w:t>
                  </w:r>
                </w:p>
              </w:tc>
            </w:tr>
            <w:tr w14:paraId="69DE7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8" w:type="pct"/>
                  <w:vMerge w:val="restart"/>
                  <w:noWrap w:val="0"/>
                  <w:vAlign w:val="top"/>
                </w:tcPr>
                <w:p w14:paraId="6B806808">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生产车间废气出口</w:t>
                  </w:r>
                </w:p>
              </w:tc>
              <w:tc>
                <w:tcPr>
                  <w:tcW w:w="999" w:type="pct"/>
                  <w:vMerge w:val="restart"/>
                  <w:noWrap w:val="0"/>
                  <w:vAlign w:val="top"/>
                </w:tcPr>
                <w:p w14:paraId="0302FB1B">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氨</w:t>
                  </w:r>
                </w:p>
              </w:tc>
              <w:tc>
                <w:tcPr>
                  <w:tcW w:w="1000" w:type="pct"/>
                  <w:noWrap w:val="0"/>
                  <w:vAlign w:val="top"/>
                </w:tcPr>
                <w:p w14:paraId="2275EA7D">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第一次</w:t>
                  </w:r>
                </w:p>
              </w:tc>
              <w:tc>
                <w:tcPr>
                  <w:tcW w:w="1000" w:type="pct"/>
                  <w:noWrap w:val="0"/>
                  <w:vAlign w:val="top"/>
                </w:tcPr>
                <w:p w14:paraId="7E37E7C6">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0.46</w:t>
                  </w:r>
                </w:p>
              </w:tc>
              <w:tc>
                <w:tcPr>
                  <w:tcW w:w="1001" w:type="pct"/>
                  <w:noWrap w:val="0"/>
                  <w:vAlign w:val="top"/>
                </w:tcPr>
                <w:p w14:paraId="00E2A476">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0.0122</w:t>
                  </w:r>
                </w:p>
              </w:tc>
            </w:tr>
            <w:tr w14:paraId="78610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98" w:type="pct"/>
                  <w:vMerge w:val="continue"/>
                  <w:noWrap w:val="0"/>
                  <w:vAlign w:val="top"/>
                </w:tcPr>
                <w:p w14:paraId="2AEC45BC">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999" w:type="pct"/>
                  <w:vMerge w:val="continue"/>
                  <w:noWrap w:val="0"/>
                  <w:vAlign w:val="top"/>
                </w:tcPr>
                <w:p w14:paraId="7A945B1B">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1000" w:type="pct"/>
                  <w:noWrap w:val="0"/>
                  <w:vAlign w:val="top"/>
                </w:tcPr>
                <w:p w14:paraId="0EC6BB50">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第二次</w:t>
                  </w:r>
                </w:p>
              </w:tc>
              <w:tc>
                <w:tcPr>
                  <w:tcW w:w="1000" w:type="pct"/>
                  <w:noWrap w:val="0"/>
                  <w:vAlign w:val="top"/>
                </w:tcPr>
                <w:p w14:paraId="6F7A7FFB">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0.35</w:t>
                  </w:r>
                </w:p>
              </w:tc>
              <w:tc>
                <w:tcPr>
                  <w:tcW w:w="1001" w:type="pct"/>
                  <w:noWrap w:val="0"/>
                  <w:vAlign w:val="top"/>
                </w:tcPr>
                <w:p w14:paraId="3AD075B3">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0.0087</w:t>
                  </w:r>
                </w:p>
              </w:tc>
            </w:tr>
            <w:tr w14:paraId="7AA6D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8" w:type="pct"/>
                  <w:vMerge w:val="continue"/>
                  <w:noWrap w:val="0"/>
                  <w:vAlign w:val="top"/>
                </w:tcPr>
                <w:p w14:paraId="5F16A6A6">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999" w:type="pct"/>
                  <w:vMerge w:val="continue"/>
                  <w:noWrap w:val="0"/>
                  <w:vAlign w:val="top"/>
                </w:tcPr>
                <w:p w14:paraId="4963DA48">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1000" w:type="pct"/>
                  <w:noWrap w:val="0"/>
                  <w:vAlign w:val="top"/>
                </w:tcPr>
                <w:p w14:paraId="5D115903">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第三次</w:t>
                  </w:r>
                </w:p>
              </w:tc>
              <w:tc>
                <w:tcPr>
                  <w:tcW w:w="1000" w:type="pct"/>
                  <w:noWrap w:val="0"/>
                  <w:vAlign w:val="top"/>
                </w:tcPr>
                <w:p w14:paraId="032337B7">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0.41</w:t>
                  </w:r>
                </w:p>
              </w:tc>
              <w:tc>
                <w:tcPr>
                  <w:tcW w:w="1001" w:type="pct"/>
                  <w:noWrap w:val="0"/>
                  <w:vAlign w:val="top"/>
                </w:tcPr>
                <w:p w14:paraId="247F43C7">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0.0106</w:t>
                  </w:r>
                </w:p>
              </w:tc>
            </w:tr>
            <w:tr w14:paraId="43305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998" w:type="pct"/>
                  <w:vMerge w:val="continue"/>
                  <w:noWrap w:val="0"/>
                  <w:vAlign w:val="top"/>
                </w:tcPr>
                <w:p w14:paraId="184FB307">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999" w:type="pct"/>
                  <w:vMerge w:val="restart"/>
                  <w:noWrap w:val="0"/>
                  <w:vAlign w:val="top"/>
                </w:tcPr>
                <w:p w14:paraId="7241957F">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硫化氢</w:t>
                  </w:r>
                </w:p>
              </w:tc>
              <w:tc>
                <w:tcPr>
                  <w:tcW w:w="1000" w:type="pct"/>
                  <w:noWrap w:val="0"/>
                  <w:vAlign w:val="top"/>
                </w:tcPr>
                <w:p w14:paraId="2025E678">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第一次</w:t>
                  </w:r>
                </w:p>
              </w:tc>
              <w:tc>
                <w:tcPr>
                  <w:tcW w:w="1000" w:type="pct"/>
                  <w:noWrap w:val="0"/>
                  <w:vAlign w:val="top"/>
                </w:tcPr>
                <w:p w14:paraId="665815AD">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未检出</w:t>
                  </w:r>
                </w:p>
              </w:tc>
              <w:tc>
                <w:tcPr>
                  <w:tcW w:w="1001" w:type="pct"/>
                  <w:noWrap w:val="0"/>
                  <w:vAlign w:val="top"/>
                </w:tcPr>
                <w:p w14:paraId="59E48FEA">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eastAsia="宋体"/>
                      <w:b w:val="0"/>
                      <w:bCs/>
                      <w:color w:val="auto"/>
                      <w:sz w:val="21"/>
                      <w:szCs w:val="21"/>
                      <w:vertAlign w:val="baseline"/>
                      <w:lang w:val="en-US" w:eastAsia="zh-CN"/>
                    </w:rPr>
                  </w:pPr>
                  <w:r>
                    <w:rPr>
                      <w:rFonts w:hint="eastAsia"/>
                      <w:b w:val="0"/>
                      <w:bCs/>
                      <w:color w:val="auto"/>
                      <w:sz w:val="21"/>
                      <w:szCs w:val="21"/>
                      <w:vertAlign w:val="baseline"/>
                      <w:lang w:val="en-US" w:eastAsia="zh-CN"/>
                    </w:rPr>
                    <w:t>/</w:t>
                  </w:r>
                </w:p>
              </w:tc>
            </w:tr>
            <w:tr w14:paraId="4B1A1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8" w:type="pct"/>
                  <w:vMerge w:val="continue"/>
                  <w:noWrap w:val="0"/>
                  <w:vAlign w:val="top"/>
                </w:tcPr>
                <w:p w14:paraId="4B3246DC">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999" w:type="pct"/>
                  <w:vMerge w:val="continue"/>
                  <w:noWrap w:val="0"/>
                  <w:vAlign w:val="top"/>
                </w:tcPr>
                <w:p w14:paraId="60277F02">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1000" w:type="pct"/>
                  <w:noWrap w:val="0"/>
                  <w:vAlign w:val="top"/>
                </w:tcPr>
                <w:p w14:paraId="5BCE4D84">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第二次</w:t>
                  </w:r>
                </w:p>
              </w:tc>
              <w:tc>
                <w:tcPr>
                  <w:tcW w:w="1000" w:type="pct"/>
                  <w:noWrap w:val="0"/>
                  <w:vAlign w:val="top"/>
                </w:tcPr>
                <w:p w14:paraId="2CC7E776">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未检出</w:t>
                  </w:r>
                </w:p>
              </w:tc>
              <w:tc>
                <w:tcPr>
                  <w:tcW w:w="1001" w:type="pct"/>
                  <w:noWrap w:val="0"/>
                  <w:vAlign w:val="top"/>
                </w:tcPr>
                <w:p w14:paraId="48579A83">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w:t>
                  </w:r>
                </w:p>
              </w:tc>
            </w:tr>
            <w:tr w14:paraId="2EAB2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8" w:type="pct"/>
                  <w:vMerge w:val="continue"/>
                  <w:noWrap w:val="0"/>
                  <w:vAlign w:val="top"/>
                </w:tcPr>
                <w:p w14:paraId="54E93834">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999" w:type="pct"/>
                  <w:vMerge w:val="continue"/>
                  <w:noWrap w:val="0"/>
                  <w:vAlign w:val="top"/>
                </w:tcPr>
                <w:p w14:paraId="56894E7C">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1000" w:type="pct"/>
                  <w:noWrap w:val="0"/>
                  <w:vAlign w:val="top"/>
                </w:tcPr>
                <w:p w14:paraId="1E2178B0">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第三次</w:t>
                  </w:r>
                </w:p>
              </w:tc>
              <w:tc>
                <w:tcPr>
                  <w:tcW w:w="1000" w:type="pct"/>
                  <w:noWrap w:val="0"/>
                  <w:vAlign w:val="top"/>
                </w:tcPr>
                <w:p w14:paraId="3F58C0C5">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未检出</w:t>
                  </w:r>
                </w:p>
              </w:tc>
              <w:tc>
                <w:tcPr>
                  <w:tcW w:w="1001" w:type="pct"/>
                  <w:noWrap w:val="0"/>
                  <w:vAlign w:val="top"/>
                </w:tcPr>
                <w:p w14:paraId="0D1E06E4">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w:t>
                  </w:r>
                </w:p>
              </w:tc>
            </w:tr>
            <w:tr w14:paraId="519BD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8" w:type="pct"/>
                  <w:vMerge w:val="continue"/>
                  <w:noWrap w:val="0"/>
                  <w:vAlign w:val="top"/>
                </w:tcPr>
                <w:p w14:paraId="24EBD6CD">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999" w:type="pct"/>
                  <w:vMerge w:val="continue"/>
                  <w:noWrap w:val="0"/>
                  <w:vAlign w:val="top"/>
                </w:tcPr>
                <w:p w14:paraId="401560D5">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1000" w:type="pct"/>
                  <w:noWrap w:val="0"/>
                  <w:vAlign w:val="top"/>
                </w:tcPr>
                <w:p w14:paraId="21D1EBEF">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第二次</w:t>
                  </w:r>
                </w:p>
              </w:tc>
              <w:tc>
                <w:tcPr>
                  <w:tcW w:w="1000" w:type="pct"/>
                  <w:noWrap w:val="0"/>
                  <w:vAlign w:val="top"/>
                </w:tcPr>
                <w:p w14:paraId="21B7EB6C">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未检出</w:t>
                  </w:r>
                </w:p>
              </w:tc>
              <w:tc>
                <w:tcPr>
                  <w:tcW w:w="1001" w:type="pct"/>
                  <w:noWrap w:val="0"/>
                  <w:vAlign w:val="top"/>
                </w:tcPr>
                <w:p w14:paraId="19EE7325">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w:t>
                  </w:r>
                </w:p>
              </w:tc>
            </w:tr>
            <w:tr w14:paraId="3C61F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8" w:type="pct"/>
                  <w:vMerge w:val="continue"/>
                  <w:noWrap w:val="0"/>
                  <w:vAlign w:val="top"/>
                </w:tcPr>
                <w:p w14:paraId="3E77367E">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999" w:type="pct"/>
                  <w:vMerge w:val="continue"/>
                  <w:noWrap w:val="0"/>
                  <w:vAlign w:val="top"/>
                </w:tcPr>
                <w:p w14:paraId="15B77D00">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p>
              </w:tc>
              <w:tc>
                <w:tcPr>
                  <w:tcW w:w="1000" w:type="pct"/>
                  <w:noWrap w:val="0"/>
                  <w:vAlign w:val="top"/>
                </w:tcPr>
                <w:p w14:paraId="280248FB">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第三次</w:t>
                  </w:r>
                </w:p>
              </w:tc>
              <w:tc>
                <w:tcPr>
                  <w:tcW w:w="1000" w:type="pct"/>
                  <w:noWrap w:val="0"/>
                  <w:vAlign w:val="top"/>
                </w:tcPr>
                <w:p w14:paraId="36B19C76">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未检出</w:t>
                  </w:r>
                </w:p>
              </w:tc>
              <w:tc>
                <w:tcPr>
                  <w:tcW w:w="1001" w:type="pct"/>
                  <w:noWrap w:val="0"/>
                  <w:vAlign w:val="top"/>
                </w:tcPr>
                <w:p w14:paraId="74BF2EF8">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w:t>
                  </w:r>
                </w:p>
              </w:tc>
            </w:tr>
          </w:tbl>
          <w:p w14:paraId="77B653FA">
            <w:pPr>
              <w:pStyle w:val="17"/>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80" w:firstLineChars="200"/>
              <w:jc w:val="left"/>
              <w:textAlignment w:val="auto"/>
              <w:rPr>
                <w:rFonts w:hint="default"/>
                <w:b w:val="0"/>
                <w:bCs/>
                <w:color w:val="auto"/>
                <w:sz w:val="24"/>
                <w:szCs w:val="24"/>
                <w:lang w:val="en-US" w:eastAsia="zh-CN"/>
              </w:rPr>
            </w:pPr>
            <w:r>
              <w:rPr>
                <w:rFonts w:hint="eastAsia"/>
                <w:b w:val="0"/>
                <w:bCs/>
                <w:color w:val="auto"/>
                <w:sz w:val="24"/>
                <w:szCs w:val="24"/>
                <w:lang w:val="en-US" w:eastAsia="zh-CN"/>
              </w:rPr>
              <w:t>利用上表的有组织排放速率以及类比项目的工作时间（365d/a，24h/d），再根据收集效率95%，核算参照项目废气产生量。本项目处理量为类比项目处理量的0.55，因此本项目废气产生量为类比项目产生量的0.55。</w:t>
            </w:r>
          </w:p>
          <w:p w14:paraId="2CA364F4">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b/>
                <w:bCs w:val="0"/>
                <w:color w:val="auto"/>
                <w:sz w:val="21"/>
                <w:szCs w:val="21"/>
                <w:lang w:val="en-US" w:eastAsia="zh-CN"/>
              </w:rPr>
            </w:pPr>
            <w:r>
              <w:rPr>
                <w:rFonts w:hint="eastAsia"/>
                <w:b/>
                <w:bCs w:val="0"/>
                <w:color w:val="auto"/>
                <w:sz w:val="21"/>
                <w:szCs w:val="21"/>
                <w:lang w:val="en-US" w:eastAsia="zh-CN"/>
              </w:rPr>
              <w:t>表4-6 项目废气产生情况</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0"/>
              <w:gridCol w:w="1662"/>
              <w:gridCol w:w="1662"/>
              <w:gridCol w:w="1662"/>
              <w:gridCol w:w="1662"/>
            </w:tblGrid>
            <w:tr w14:paraId="06988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Merge w:val="restart"/>
                  <w:vAlign w:val="center"/>
                </w:tcPr>
                <w:p w14:paraId="71966A46">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eastAsia"/>
                      <w:b/>
                      <w:bCs w:val="0"/>
                      <w:color w:val="auto"/>
                      <w:sz w:val="21"/>
                      <w:szCs w:val="21"/>
                      <w:vertAlign w:val="baseline"/>
                      <w:lang w:val="en-US" w:eastAsia="zh-CN"/>
                    </w:rPr>
                  </w:pPr>
                  <w:r>
                    <w:rPr>
                      <w:rFonts w:hint="eastAsia"/>
                      <w:b/>
                      <w:bCs w:val="0"/>
                      <w:color w:val="auto"/>
                      <w:sz w:val="21"/>
                      <w:szCs w:val="21"/>
                      <w:vertAlign w:val="baseline"/>
                      <w:lang w:val="en-US" w:eastAsia="zh-CN"/>
                    </w:rPr>
                    <w:t>污染物</w:t>
                  </w:r>
                </w:p>
              </w:tc>
              <w:tc>
                <w:tcPr>
                  <w:tcW w:w="4986" w:type="dxa"/>
                  <w:gridSpan w:val="3"/>
                  <w:vAlign w:val="center"/>
                </w:tcPr>
                <w:p w14:paraId="524FD3F6">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eastAsia"/>
                      <w:b/>
                      <w:bCs w:val="0"/>
                      <w:color w:val="auto"/>
                      <w:sz w:val="21"/>
                      <w:szCs w:val="21"/>
                      <w:vertAlign w:val="baseline"/>
                      <w:lang w:val="en-US" w:eastAsia="zh-CN"/>
                    </w:rPr>
                  </w:pPr>
                  <w:r>
                    <w:rPr>
                      <w:rFonts w:hint="eastAsia"/>
                      <w:b/>
                      <w:bCs w:val="0"/>
                      <w:color w:val="auto"/>
                      <w:sz w:val="21"/>
                      <w:szCs w:val="21"/>
                      <w:vertAlign w:val="baseline"/>
                      <w:lang w:val="en-US" w:eastAsia="zh-CN"/>
                    </w:rPr>
                    <w:t>参照项目</w:t>
                  </w:r>
                </w:p>
              </w:tc>
              <w:tc>
                <w:tcPr>
                  <w:tcW w:w="1662" w:type="dxa"/>
                  <w:vAlign w:val="center"/>
                </w:tcPr>
                <w:p w14:paraId="554D7869">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eastAsia"/>
                      <w:b/>
                      <w:bCs w:val="0"/>
                      <w:color w:val="auto"/>
                      <w:sz w:val="21"/>
                      <w:szCs w:val="21"/>
                      <w:vertAlign w:val="baseline"/>
                      <w:lang w:val="en-US" w:eastAsia="zh-CN"/>
                    </w:rPr>
                  </w:pPr>
                  <w:r>
                    <w:rPr>
                      <w:rFonts w:hint="eastAsia"/>
                      <w:b/>
                      <w:bCs w:val="0"/>
                      <w:color w:val="auto"/>
                      <w:sz w:val="21"/>
                      <w:szCs w:val="21"/>
                      <w:vertAlign w:val="baseline"/>
                      <w:lang w:val="en-US" w:eastAsia="zh-CN"/>
                    </w:rPr>
                    <w:t>本项目</w:t>
                  </w:r>
                </w:p>
              </w:tc>
            </w:tr>
            <w:tr w14:paraId="24346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Merge w:val="continue"/>
                  <w:vAlign w:val="center"/>
                </w:tcPr>
                <w:p w14:paraId="696FAF9C">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eastAsia"/>
                      <w:b/>
                      <w:bCs w:val="0"/>
                      <w:color w:val="auto"/>
                      <w:sz w:val="21"/>
                      <w:szCs w:val="21"/>
                      <w:vertAlign w:val="baseline"/>
                      <w:lang w:val="en-US" w:eastAsia="zh-CN"/>
                    </w:rPr>
                  </w:pPr>
                </w:p>
              </w:tc>
              <w:tc>
                <w:tcPr>
                  <w:tcW w:w="1662" w:type="dxa"/>
                  <w:vAlign w:val="center"/>
                </w:tcPr>
                <w:p w14:paraId="628B09E1">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b/>
                      <w:bCs w:val="0"/>
                      <w:color w:val="auto"/>
                      <w:sz w:val="21"/>
                      <w:szCs w:val="21"/>
                      <w:vertAlign w:val="baseline"/>
                      <w:lang w:val="en-US" w:eastAsia="zh-CN"/>
                    </w:rPr>
                  </w:pPr>
                  <w:r>
                    <w:rPr>
                      <w:rFonts w:hint="eastAsia"/>
                      <w:b/>
                      <w:bCs w:val="0"/>
                      <w:color w:val="auto"/>
                      <w:sz w:val="21"/>
                      <w:szCs w:val="21"/>
                      <w:vertAlign w:val="baseline"/>
                      <w:lang w:val="en-US" w:eastAsia="zh-CN"/>
                    </w:rPr>
                    <w:t>有组织排放速率kg/h</w:t>
                  </w:r>
                </w:p>
              </w:tc>
              <w:tc>
                <w:tcPr>
                  <w:tcW w:w="1662" w:type="dxa"/>
                  <w:vAlign w:val="center"/>
                </w:tcPr>
                <w:p w14:paraId="3B529978">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b/>
                      <w:bCs w:val="0"/>
                      <w:color w:val="auto"/>
                      <w:sz w:val="21"/>
                      <w:szCs w:val="21"/>
                      <w:vertAlign w:val="baseline"/>
                      <w:lang w:val="en-US" w:eastAsia="zh-CN"/>
                    </w:rPr>
                  </w:pPr>
                  <w:r>
                    <w:rPr>
                      <w:rFonts w:hint="eastAsia"/>
                      <w:b/>
                      <w:bCs w:val="0"/>
                      <w:color w:val="auto"/>
                      <w:sz w:val="21"/>
                      <w:szCs w:val="21"/>
                      <w:vertAlign w:val="baseline"/>
                      <w:lang w:val="en-US" w:eastAsia="zh-CN"/>
                    </w:rPr>
                    <w:t>有组织产生量t/a</w:t>
                  </w:r>
                </w:p>
              </w:tc>
              <w:tc>
                <w:tcPr>
                  <w:tcW w:w="1662" w:type="dxa"/>
                  <w:vAlign w:val="center"/>
                </w:tcPr>
                <w:p w14:paraId="3D9DD50B">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b/>
                      <w:bCs w:val="0"/>
                      <w:color w:val="auto"/>
                      <w:sz w:val="21"/>
                      <w:szCs w:val="21"/>
                      <w:vertAlign w:val="baseline"/>
                      <w:lang w:val="en-US" w:eastAsia="zh-CN"/>
                    </w:rPr>
                  </w:pPr>
                  <w:r>
                    <w:rPr>
                      <w:rFonts w:hint="eastAsia"/>
                      <w:b/>
                      <w:bCs w:val="0"/>
                      <w:color w:val="auto"/>
                      <w:sz w:val="21"/>
                      <w:szCs w:val="21"/>
                      <w:vertAlign w:val="baseline"/>
                      <w:lang w:val="en-US" w:eastAsia="zh-CN"/>
                    </w:rPr>
                    <w:t>产生量t/a</w:t>
                  </w:r>
                </w:p>
              </w:tc>
              <w:tc>
                <w:tcPr>
                  <w:tcW w:w="1662" w:type="dxa"/>
                  <w:vAlign w:val="center"/>
                </w:tcPr>
                <w:p w14:paraId="1800DE5E">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eastAsia"/>
                      <w:b/>
                      <w:bCs w:val="0"/>
                      <w:color w:val="auto"/>
                      <w:sz w:val="21"/>
                      <w:szCs w:val="21"/>
                      <w:vertAlign w:val="baseline"/>
                      <w:lang w:val="en-US" w:eastAsia="zh-CN"/>
                    </w:rPr>
                  </w:pPr>
                  <w:r>
                    <w:rPr>
                      <w:rFonts w:hint="eastAsia"/>
                      <w:b/>
                      <w:bCs w:val="0"/>
                      <w:color w:val="auto"/>
                      <w:sz w:val="21"/>
                      <w:szCs w:val="21"/>
                      <w:vertAlign w:val="baseline"/>
                      <w:lang w:val="en-US" w:eastAsia="zh-CN"/>
                    </w:rPr>
                    <w:t>产生量</w:t>
                  </w:r>
                </w:p>
              </w:tc>
            </w:tr>
            <w:tr w14:paraId="66850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Align w:val="center"/>
                </w:tcPr>
                <w:p w14:paraId="0E9F7F15">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硫化氢</w:t>
                  </w:r>
                </w:p>
              </w:tc>
              <w:tc>
                <w:tcPr>
                  <w:tcW w:w="1662" w:type="dxa"/>
                  <w:vAlign w:val="center"/>
                </w:tcPr>
                <w:p w14:paraId="6D781C6F">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0.0038</w:t>
                  </w:r>
                </w:p>
              </w:tc>
              <w:tc>
                <w:tcPr>
                  <w:tcW w:w="1662" w:type="dxa"/>
                  <w:vAlign w:val="center"/>
                </w:tcPr>
                <w:p w14:paraId="184494BE">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eastAsia="宋体"/>
                      <w:b w:val="0"/>
                      <w:bCs/>
                      <w:color w:val="auto"/>
                      <w:sz w:val="21"/>
                      <w:szCs w:val="21"/>
                      <w:vertAlign w:val="baseline"/>
                      <w:lang w:val="en-US" w:eastAsia="zh-CN"/>
                    </w:rPr>
                  </w:pPr>
                  <w:r>
                    <w:rPr>
                      <w:rFonts w:hint="eastAsia" w:eastAsia="宋体"/>
                      <w:b w:val="0"/>
                      <w:bCs/>
                      <w:color w:val="auto"/>
                      <w:sz w:val="21"/>
                      <w:szCs w:val="21"/>
                      <w:vertAlign w:val="baseline"/>
                      <w:lang w:val="en-US" w:eastAsia="zh-CN"/>
                    </w:rPr>
                    <w:t>0.033</w:t>
                  </w:r>
                </w:p>
              </w:tc>
              <w:tc>
                <w:tcPr>
                  <w:tcW w:w="1662" w:type="dxa"/>
                  <w:vAlign w:val="center"/>
                </w:tcPr>
                <w:p w14:paraId="74DE8E81">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0.035</w:t>
                  </w:r>
                </w:p>
              </w:tc>
              <w:tc>
                <w:tcPr>
                  <w:tcW w:w="1662" w:type="dxa"/>
                  <w:vAlign w:val="center"/>
                </w:tcPr>
                <w:p w14:paraId="4B3D006D">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0.020</w:t>
                  </w:r>
                </w:p>
              </w:tc>
            </w:tr>
            <w:tr w14:paraId="5F8F6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Align w:val="center"/>
                </w:tcPr>
                <w:p w14:paraId="605779DB">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eastAsia"/>
                      <w:b w:val="0"/>
                      <w:bCs/>
                      <w:color w:val="auto"/>
                      <w:sz w:val="21"/>
                      <w:szCs w:val="21"/>
                      <w:vertAlign w:val="baseline"/>
                      <w:lang w:val="en-US" w:eastAsia="zh-CN"/>
                    </w:rPr>
                  </w:pPr>
                  <w:r>
                    <w:rPr>
                      <w:rFonts w:hint="eastAsia"/>
                      <w:b w:val="0"/>
                      <w:bCs/>
                      <w:color w:val="auto"/>
                      <w:sz w:val="21"/>
                      <w:szCs w:val="21"/>
                      <w:vertAlign w:val="baseline"/>
                      <w:lang w:val="en-US" w:eastAsia="zh-CN"/>
                    </w:rPr>
                    <w:t>氨气</w:t>
                  </w:r>
                </w:p>
              </w:tc>
              <w:tc>
                <w:tcPr>
                  <w:tcW w:w="1662" w:type="dxa"/>
                  <w:vAlign w:val="center"/>
                </w:tcPr>
                <w:p w14:paraId="17BF09D1">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0.0917</w:t>
                  </w:r>
                </w:p>
              </w:tc>
              <w:tc>
                <w:tcPr>
                  <w:tcW w:w="1662" w:type="dxa"/>
                  <w:vAlign w:val="center"/>
                </w:tcPr>
                <w:p w14:paraId="5AFD0A36">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0.803</w:t>
                  </w:r>
                </w:p>
              </w:tc>
              <w:tc>
                <w:tcPr>
                  <w:tcW w:w="1662" w:type="dxa"/>
                  <w:vAlign w:val="center"/>
                </w:tcPr>
                <w:p w14:paraId="1FCF610C">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0.846</w:t>
                  </w:r>
                </w:p>
              </w:tc>
              <w:tc>
                <w:tcPr>
                  <w:tcW w:w="1662" w:type="dxa"/>
                  <w:vAlign w:val="center"/>
                </w:tcPr>
                <w:p w14:paraId="0EDE717D">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jc w:val="center"/>
                    <w:textAlignment w:val="auto"/>
                    <w:rPr>
                      <w:rFonts w:hint="default"/>
                      <w:b w:val="0"/>
                      <w:bCs/>
                      <w:color w:val="auto"/>
                      <w:sz w:val="21"/>
                      <w:szCs w:val="21"/>
                      <w:vertAlign w:val="baseline"/>
                      <w:lang w:val="en-US" w:eastAsia="zh-CN"/>
                    </w:rPr>
                  </w:pPr>
                  <w:r>
                    <w:rPr>
                      <w:rFonts w:hint="eastAsia"/>
                      <w:b w:val="0"/>
                      <w:bCs/>
                      <w:color w:val="auto"/>
                      <w:sz w:val="21"/>
                      <w:szCs w:val="21"/>
                      <w:vertAlign w:val="baseline"/>
                      <w:lang w:val="en-US" w:eastAsia="zh-CN"/>
                    </w:rPr>
                    <w:t>0.465</w:t>
                  </w:r>
                </w:p>
              </w:tc>
            </w:tr>
          </w:tbl>
          <w:p w14:paraId="5F770C7B">
            <w:pPr>
              <w:pStyle w:val="17"/>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80" w:firstLineChars="200"/>
              <w:textAlignment w:val="auto"/>
              <w:rPr>
                <w:rFonts w:hint="default"/>
                <w:color w:val="auto"/>
                <w:sz w:val="24"/>
                <w:szCs w:val="22"/>
                <w:lang w:val="en-US" w:eastAsia="zh-CN"/>
              </w:rPr>
            </w:pPr>
            <w:r>
              <w:rPr>
                <w:rFonts w:hint="eastAsia"/>
                <w:color w:val="auto"/>
                <w:sz w:val="24"/>
                <w:szCs w:val="22"/>
                <w:lang w:eastAsia="zh-CN"/>
              </w:rPr>
              <w:t>②非甲烷总烃</w:t>
            </w:r>
          </w:p>
          <w:p w14:paraId="6B75B084">
            <w:pPr>
              <w:pStyle w:val="17"/>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80" w:firstLineChars="200"/>
              <w:textAlignment w:val="auto"/>
              <w:rPr>
                <w:rFonts w:hint="default" w:eastAsia="宋体"/>
                <w:color w:val="auto"/>
                <w:sz w:val="24"/>
                <w:szCs w:val="22"/>
                <w:lang w:val="en-US" w:eastAsia="zh-CN"/>
              </w:rPr>
            </w:pPr>
            <w:r>
              <w:rPr>
                <w:rFonts w:hint="eastAsia"/>
                <w:color w:val="auto"/>
                <w:sz w:val="24"/>
                <w:szCs w:val="22"/>
                <w:lang w:eastAsia="zh-CN"/>
              </w:rPr>
              <w:t>餐厨废弃油脂初加工非甲烷总烃的产生量利用物料衡算法，根据表</w:t>
            </w:r>
            <w:r>
              <w:rPr>
                <w:rFonts w:hint="eastAsia"/>
                <w:color w:val="auto"/>
                <w:sz w:val="24"/>
                <w:szCs w:val="22"/>
                <w:lang w:val="en-US" w:eastAsia="zh-CN"/>
              </w:rPr>
              <w:t>2-11、表2-12，核算出非甲烷总烃产生量为</w:t>
            </w:r>
            <w:r>
              <w:rPr>
                <w:rFonts w:hint="eastAsia"/>
                <w:color w:val="auto"/>
                <w:sz w:val="24"/>
                <w:szCs w:val="32"/>
                <w:lang w:val="en-US" w:eastAsia="zh-CN"/>
              </w:rPr>
              <w:t>6.8+0.70=7.5t/a。</w:t>
            </w:r>
          </w:p>
          <w:p w14:paraId="758637D1">
            <w:pPr>
              <w:pStyle w:val="70"/>
              <w:spacing w:line="360" w:lineRule="auto"/>
              <w:rPr>
                <w:rFonts w:hint="eastAsia"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③ 风量核算</w:t>
            </w:r>
          </w:p>
          <w:p w14:paraId="15F1756A">
            <w:pPr>
              <w:pStyle w:val="17"/>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80" w:firstLineChars="200"/>
              <w:textAlignment w:val="auto"/>
              <w:rPr>
                <w:rFonts w:hint="default" w:ascii="Times New Roman" w:hAnsi="Times New Roman" w:eastAsia="宋体" w:cs="Times New Roman"/>
                <w:color w:val="auto"/>
                <w:sz w:val="24"/>
                <w:szCs w:val="22"/>
                <w:lang w:val="en-US" w:eastAsia="zh-CN"/>
              </w:rPr>
            </w:pPr>
            <w:r>
              <w:rPr>
                <w:rFonts w:hint="default"/>
                <w:color w:val="auto"/>
                <w:sz w:val="24"/>
                <w:szCs w:val="22"/>
                <w:lang w:val="en-US" w:eastAsia="zh-CN"/>
              </w:rPr>
              <w:t>本项目捕集的</w:t>
            </w:r>
            <w:r>
              <w:rPr>
                <w:rFonts w:hint="eastAsia"/>
                <w:color w:val="auto"/>
                <w:sz w:val="24"/>
                <w:szCs w:val="22"/>
                <w:lang w:val="en-US" w:eastAsia="zh-CN"/>
              </w:rPr>
              <w:t>来自卸料、除杂、高压挤压、螺旋输送、加热、三相离心等设备的</w:t>
            </w:r>
            <w:r>
              <w:rPr>
                <w:rFonts w:hint="default"/>
                <w:color w:val="auto"/>
                <w:sz w:val="24"/>
                <w:szCs w:val="22"/>
                <w:lang w:val="en-US" w:eastAsia="zh-CN"/>
              </w:rPr>
              <w:t>臭气体</w:t>
            </w:r>
            <w:r>
              <w:rPr>
                <w:rFonts w:hint="eastAsia"/>
                <w:color w:val="auto"/>
                <w:sz w:val="24"/>
                <w:szCs w:val="22"/>
                <w:lang w:val="en-US" w:eastAsia="zh-CN"/>
              </w:rPr>
              <w:t>利用管道收集、车间整体换风收集，考虑整体收集效率为95%，运营期生产车间内加热罐、三相分离的设备废气经过油雾净化器+管式热交换器处理后、汇同车间其他废气和储罐废气混合进入酸洗+碱洗+次氯酸钠洗+干式过滤器+一级活性炭处理后</w:t>
            </w:r>
            <w:r>
              <w:rPr>
                <w:rFonts w:hint="eastAsia" w:ascii="Times New Roman" w:hAnsi="Times New Roman" w:eastAsia="宋体" w:cs="Times New Roman"/>
                <w:color w:val="auto"/>
                <w:sz w:val="24"/>
                <w:szCs w:val="22"/>
                <w:lang w:val="en-US" w:eastAsia="zh-CN"/>
              </w:rPr>
              <w:t>通过排气筒（15m）排放</w:t>
            </w:r>
            <w:r>
              <w:rPr>
                <w:rFonts w:hint="default" w:ascii="Times New Roman" w:hAnsi="Times New Roman" w:eastAsia="宋体" w:cs="Times New Roman"/>
                <w:color w:val="auto"/>
                <w:sz w:val="24"/>
                <w:szCs w:val="22"/>
                <w:lang w:val="en-US" w:eastAsia="zh-CN"/>
              </w:rPr>
              <w:t>（编号：DA001）</w:t>
            </w:r>
            <w:r>
              <w:rPr>
                <w:rFonts w:hint="eastAsia" w:ascii="Times New Roman" w:hAnsi="Times New Roman" w:eastAsia="宋体" w:cs="Times New Roman"/>
                <w:color w:val="auto"/>
                <w:sz w:val="24"/>
                <w:szCs w:val="22"/>
                <w:lang w:val="en-US" w:eastAsia="zh-CN"/>
              </w:rPr>
              <w:t>。</w:t>
            </w:r>
          </w:p>
          <w:p w14:paraId="1FBD242D">
            <w:pPr>
              <w:pStyle w:val="17"/>
              <w:keepNext w:val="0"/>
              <w:keepLines w:val="0"/>
              <w:pageBreakBefore w:val="0"/>
              <w:widowControl w:val="0"/>
              <w:kinsoku/>
              <w:wordWrap/>
              <w:overflowPunct/>
              <w:topLinePunct w:val="0"/>
              <w:autoSpaceDE/>
              <w:autoSpaceDN/>
              <w:bidi w:val="0"/>
              <w:adjustRightInd w:val="0"/>
              <w:snapToGrid w:val="0"/>
              <w:spacing w:after="0"/>
              <w:ind w:left="0" w:leftChars="0" w:right="0" w:rightChars="0" w:firstLine="480" w:firstLineChars="200"/>
              <w:textAlignment w:val="auto"/>
              <w:rPr>
                <w:rFonts w:hint="eastAsia"/>
                <w:color w:val="auto"/>
                <w:sz w:val="24"/>
                <w:szCs w:val="22"/>
                <w:lang w:val="en-US" w:eastAsia="zh-CN"/>
              </w:rPr>
            </w:pPr>
            <w:r>
              <w:rPr>
                <w:rFonts w:hint="eastAsia"/>
                <w:color w:val="auto"/>
                <w:sz w:val="24"/>
                <w:szCs w:val="22"/>
                <w:lang w:val="en-US" w:eastAsia="zh-CN"/>
              </w:rPr>
              <w:t>风量核算如下表：</w:t>
            </w:r>
          </w:p>
          <w:p w14:paraId="1D5A5F9B">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422" w:firstLineChars="200"/>
              <w:jc w:val="center"/>
              <w:textAlignment w:val="auto"/>
              <w:rPr>
                <w:rFonts w:hint="default"/>
                <w:b/>
                <w:bCs/>
                <w:color w:val="auto"/>
                <w:sz w:val="21"/>
                <w:szCs w:val="20"/>
                <w:lang w:val="en-US" w:eastAsia="zh-CN"/>
              </w:rPr>
            </w:pPr>
            <w:r>
              <w:rPr>
                <w:rFonts w:hint="eastAsia"/>
                <w:b/>
                <w:bCs/>
                <w:color w:val="auto"/>
                <w:sz w:val="21"/>
                <w:szCs w:val="20"/>
                <w:lang w:val="en-US" w:eastAsia="zh-CN"/>
              </w:rPr>
              <w:t>表4-7 风量核算表   单位m³/h</w:t>
            </w:r>
          </w:p>
          <w:tbl>
            <w:tblPr>
              <w:tblStyle w:val="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96"/>
              <w:gridCol w:w="1580"/>
              <w:gridCol w:w="1663"/>
              <w:gridCol w:w="1392"/>
              <w:gridCol w:w="1774"/>
            </w:tblGrid>
            <w:tr w14:paraId="23698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noWrap w:val="0"/>
                  <w:vAlign w:val="center"/>
                </w:tcPr>
                <w:p w14:paraId="1EB59267">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名称</w:t>
                  </w:r>
                </w:p>
              </w:tc>
              <w:tc>
                <w:tcPr>
                  <w:tcW w:w="951" w:type="pct"/>
                  <w:noWrap w:val="0"/>
                  <w:vAlign w:val="center"/>
                </w:tcPr>
                <w:p w14:paraId="0D31CEC2">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体积</w:t>
                  </w:r>
                </w:p>
              </w:tc>
              <w:tc>
                <w:tcPr>
                  <w:tcW w:w="1001" w:type="pct"/>
                  <w:noWrap w:val="0"/>
                  <w:vAlign w:val="center"/>
                </w:tcPr>
                <w:p w14:paraId="73567BB7">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数量</w:t>
                  </w:r>
                </w:p>
              </w:tc>
              <w:tc>
                <w:tcPr>
                  <w:tcW w:w="838" w:type="pct"/>
                  <w:noWrap w:val="0"/>
                  <w:vAlign w:val="center"/>
                </w:tcPr>
                <w:p w14:paraId="7995DFA7">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换风次数</w:t>
                  </w:r>
                </w:p>
              </w:tc>
              <w:tc>
                <w:tcPr>
                  <w:tcW w:w="1066" w:type="pct"/>
                  <w:noWrap w:val="0"/>
                  <w:vAlign w:val="center"/>
                </w:tcPr>
                <w:p w14:paraId="14F7C464">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风量</w:t>
                  </w:r>
                </w:p>
              </w:tc>
            </w:tr>
            <w:tr w14:paraId="26E60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190EC4D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sz w:val="21"/>
                      <w:szCs w:val="21"/>
                      <w:vertAlign w:val="baseline"/>
                      <w:lang w:val="en-US" w:eastAsia="zh-CN"/>
                    </w:rPr>
                    <w:t>卸料斗上方密封</w:t>
                  </w:r>
                </w:p>
              </w:tc>
              <w:tc>
                <w:tcPr>
                  <w:tcW w:w="951" w:type="pct"/>
                  <w:shd w:val="clear" w:color="auto" w:fill="auto"/>
                  <w:noWrap w:val="0"/>
                  <w:vAlign w:val="center"/>
                </w:tcPr>
                <w:p w14:paraId="28227EF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cs="宋体"/>
                      <w:color w:val="auto"/>
                      <w:sz w:val="21"/>
                      <w:szCs w:val="21"/>
                      <w:vertAlign w:val="baseline"/>
                      <w:lang w:val="en-US" w:eastAsia="zh-CN"/>
                    </w:rPr>
                    <w:t>1*1*3</w:t>
                  </w:r>
                </w:p>
              </w:tc>
              <w:tc>
                <w:tcPr>
                  <w:tcW w:w="1001" w:type="pct"/>
                  <w:shd w:val="clear" w:color="auto" w:fill="auto"/>
                  <w:noWrap w:val="0"/>
                  <w:vAlign w:val="center"/>
                </w:tcPr>
                <w:p w14:paraId="0ED002C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sz w:val="21"/>
                      <w:szCs w:val="21"/>
                      <w:vertAlign w:val="baseline"/>
                      <w:lang w:val="en-US" w:eastAsia="zh-CN"/>
                    </w:rPr>
                    <w:t>3</w:t>
                  </w:r>
                </w:p>
              </w:tc>
              <w:tc>
                <w:tcPr>
                  <w:tcW w:w="838" w:type="pct"/>
                  <w:vMerge w:val="restart"/>
                  <w:shd w:val="clear" w:color="auto" w:fill="auto"/>
                  <w:noWrap w:val="0"/>
                  <w:vAlign w:val="center"/>
                </w:tcPr>
                <w:p w14:paraId="77C75A7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12</w:t>
                  </w:r>
                </w:p>
              </w:tc>
              <w:tc>
                <w:tcPr>
                  <w:tcW w:w="1066" w:type="pct"/>
                  <w:shd w:val="clear" w:color="auto" w:fill="auto"/>
                  <w:noWrap w:val="0"/>
                  <w:vAlign w:val="center"/>
                </w:tcPr>
                <w:p w14:paraId="1290728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color w:val="auto"/>
                      <w:kern w:val="2"/>
                      <w:sz w:val="21"/>
                      <w:szCs w:val="21"/>
                      <w:vertAlign w:val="baseline"/>
                      <w:lang w:val="en-US" w:eastAsia="zh-CN" w:bidi="ar-SA"/>
                    </w:rPr>
                  </w:pPr>
                  <w:r>
                    <w:rPr>
                      <w:rFonts w:hint="eastAsia" w:ascii="宋体" w:hAnsi="宋体" w:cs="宋体"/>
                      <w:color w:val="auto"/>
                      <w:sz w:val="21"/>
                      <w:szCs w:val="21"/>
                      <w:vertAlign w:val="baseline"/>
                      <w:lang w:val="en-US" w:eastAsia="zh-CN"/>
                    </w:rPr>
                    <w:t>108</w:t>
                  </w:r>
                </w:p>
              </w:tc>
            </w:tr>
            <w:tr w14:paraId="45D7E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42" w:type="pct"/>
                  <w:noWrap w:val="0"/>
                  <w:vAlign w:val="center"/>
                </w:tcPr>
                <w:p w14:paraId="4278D30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除杂机出渣螺旋</w:t>
                  </w:r>
                  <w:r>
                    <w:rPr>
                      <w:rFonts w:hint="eastAsia" w:ascii="宋体" w:hAnsi="宋体" w:cs="宋体"/>
                      <w:color w:val="auto"/>
                      <w:sz w:val="21"/>
                      <w:szCs w:val="21"/>
                      <w:vertAlign w:val="baseline"/>
                      <w:lang w:val="en-US" w:eastAsia="zh-CN"/>
                    </w:rPr>
                    <w:t>1</w:t>
                  </w:r>
                </w:p>
              </w:tc>
              <w:tc>
                <w:tcPr>
                  <w:tcW w:w="951" w:type="pct"/>
                  <w:noWrap w:val="0"/>
                  <w:vAlign w:val="center"/>
                </w:tcPr>
                <w:p w14:paraId="34FA52D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w:t>
                  </w:r>
                </w:p>
              </w:tc>
              <w:tc>
                <w:tcPr>
                  <w:tcW w:w="1001" w:type="pct"/>
                  <w:noWrap w:val="0"/>
                  <w:vAlign w:val="center"/>
                </w:tcPr>
                <w:p w14:paraId="2B7AA0D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2</w:t>
                  </w:r>
                </w:p>
              </w:tc>
              <w:tc>
                <w:tcPr>
                  <w:tcW w:w="838" w:type="pct"/>
                  <w:vMerge w:val="continue"/>
                  <w:noWrap w:val="0"/>
                  <w:vAlign w:val="center"/>
                </w:tcPr>
                <w:p w14:paraId="4112BD4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color w:val="auto"/>
                      <w:sz w:val="21"/>
                      <w:szCs w:val="21"/>
                      <w:vertAlign w:val="baseline"/>
                      <w:lang w:val="en-US" w:eastAsia="zh-CN"/>
                    </w:rPr>
                  </w:pPr>
                </w:p>
              </w:tc>
              <w:tc>
                <w:tcPr>
                  <w:tcW w:w="1066" w:type="pct"/>
                  <w:noWrap w:val="0"/>
                  <w:vAlign w:val="center"/>
                </w:tcPr>
                <w:p w14:paraId="4C0880A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48</w:t>
                  </w:r>
                </w:p>
              </w:tc>
            </w:tr>
            <w:tr w14:paraId="7DB01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42" w:type="pct"/>
                  <w:noWrap w:val="0"/>
                  <w:vAlign w:val="center"/>
                </w:tcPr>
                <w:p w14:paraId="2D9F82E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除杂机出渣螺旋</w:t>
                  </w:r>
                  <w:r>
                    <w:rPr>
                      <w:rFonts w:hint="eastAsia" w:ascii="宋体" w:hAnsi="宋体" w:cs="宋体"/>
                      <w:color w:val="auto"/>
                      <w:sz w:val="21"/>
                      <w:szCs w:val="21"/>
                      <w:vertAlign w:val="baseline"/>
                      <w:lang w:val="en-US" w:eastAsia="zh-CN"/>
                    </w:rPr>
                    <w:t>2</w:t>
                  </w:r>
                </w:p>
              </w:tc>
              <w:tc>
                <w:tcPr>
                  <w:tcW w:w="951" w:type="pct"/>
                  <w:noWrap w:val="0"/>
                  <w:vAlign w:val="center"/>
                </w:tcPr>
                <w:p w14:paraId="47A403D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w:t>
                  </w:r>
                </w:p>
              </w:tc>
              <w:tc>
                <w:tcPr>
                  <w:tcW w:w="1001" w:type="pct"/>
                  <w:noWrap w:val="0"/>
                  <w:vAlign w:val="center"/>
                </w:tcPr>
                <w:p w14:paraId="23CEE76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w:t>
                  </w:r>
                </w:p>
              </w:tc>
              <w:tc>
                <w:tcPr>
                  <w:tcW w:w="838" w:type="pct"/>
                  <w:vMerge w:val="continue"/>
                  <w:noWrap w:val="0"/>
                  <w:vAlign w:val="center"/>
                </w:tcPr>
                <w:p w14:paraId="206E9A8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vertAlign w:val="baseline"/>
                      <w:lang w:val="en-US" w:eastAsia="zh-CN"/>
                    </w:rPr>
                  </w:pPr>
                </w:p>
              </w:tc>
              <w:tc>
                <w:tcPr>
                  <w:tcW w:w="1066" w:type="pct"/>
                  <w:noWrap w:val="0"/>
                  <w:vAlign w:val="center"/>
                </w:tcPr>
                <w:p w14:paraId="0F8A090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14</w:t>
                  </w:r>
                </w:p>
              </w:tc>
            </w:tr>
            <w:tr w14:paraId="03134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42" w:type="pct"/>
                  <w:vMerge w:val="restart"/>
                  <w:shd w:val="clear" w:color="auto" w:fill="auto"/>
                  <w:noWrap w:val="0"/>
                  <w:vAlign w:val="center"/>
                </w:tcPr>
                <w:p w14:paraId="22E1A89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sz w:val="21"/>
                      <w:szCs w:val="21"/>
                      <w:vertAlign w:val="baseline"/>
                      <w:lang w:val="en-US" w:eastAsia="zh-CN"/>
                    </w:rPr>
                    <w:t>三相离心机出渣螺旋</w:t>
                  </w:r>
                </w:p>
              </w:tc>
              <w:tc>
                <w:tcPr>
                  <w:tcW w:w="951" w:type="pct"/>
                  <w:noWrap w:val="0"/>
                  <w:vAlign w:val="center"/>
                </w:tcPr>
                <w:p w14:paraId="5E4A047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0.64</w:t>
                  </w:r>
                </w:p>
              </w:tc>
              <w:tc>
                <w:tcPr>
                  <w:tcW w:w="1001" w:type="pct"/>
                  <w:noWrap w:val="0"/>
                  <w:vAlign w:val="center"/>
                </w:tcPr>
                <w:p w14:paraId="0B3F1CE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w:t>
                  </w:r>
                </w:p>
              </w:tc>
              <w:tc>
                <w:tcPr>
                  <w:tcW w:w="838" w:type="pct"/>
                  <w:vMerge w:val="continue"/>
                  <w:noWrap w:val="0"/>
                  <w:vAlign w:val="center"/>
                </w:tcPr>
                <w:p w14:paraId="5575816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vertAlign w:val="baseline"/>
                      <w:lang w:val="en-US" w:eastAsia="zh-CN"/>
                    </w:rPr>
                  </w:pPr>
                </w:p>
              </w:tc>
              <w:tc>
                <w:tcPr>
                  <w:tcW w:w="1066" w:type="pct"/>
                  <w:noWrap w:val="0"/>
                  <w:vAlign w:val="center"/>
                </w:tcPr>
                <w:p w14:paraId="349F15F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7.68</w:t>
                  </w:r>
                </w:p>
              </w:tc>
            </w:tr>
            <w:tr w14:paraId="18DF1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42" w:type="pct"/>
                  <w:vMerge w:val="continue"/>
                  <w:shd w:val="clear" w:color="auto" w:fill="auto"/>
                  <w:noWrap w:val="0"/>
                  <w:vAlign w:val="center"/>
                </w:tcPr>
                <w:p w14:paraId="57DF5AA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vertAlign w:val="baseline"/>
                      <w:lang w:val="en-US" w:eastAsia="zh-CN"/>
                    </w:rPr>
                  </w:pPr>
                </w:p>
              </w:tc>
              <w:tc>
                <w:tcPr>
                  <w:tcW w:w="951" w:type="pct"/>
                  <w:noWrap w:val="0"/>
                  <w:vAlign w:val="center"/>
                </w:tcPr>
                <w:p w14:paraId="0741C1C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1.13</w:t>
                  </w:r>
                </w:p>
              </w:tc>
              <w:tc>
                <w:tcPr>
                  <w:tcW w:w="1001" w:type="pct"/>
                  <w:noWrap w:val="0"/>
                  <w:vAlign w:val="center"/>
                </w:tcPr>
                <w:p w14:paraId="12DD749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w:t>
                  </w:r>
                </w:p>
              </w:tc>
              <w:tc>
                <w:tcPr>
                  <w:tcW w:w="838" w:type="pct"/>
                  <w:vMerge w:val="continue"/>
                  <w:noWrap w:val="0"/>
                  <w:vAlign w:val="center"/>
                </w:tcPr>
                <w:p w14:paraId="5D2692C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vertAlign w:val="baseline"/>
                      <w:lang w:val="en-US" w:eastAsia="zh-CN"/>
                    </w:rPr>
                  </w:pPr>
                </w:p>
              </w:tc>
              <w:tc>
                <w:tcPr>
                  <w:tcW w:w="1066" w:type="pct"/>
                  <w:noWrap w:val="0"/>
                  <w:vAlign w:val="center"/>
                </w:tcPr>
                <w:p w14:paraId="4BA766E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13.56</w:t>
                  </w:r>
                </w:p>
              </w:tc>
            </w:tr>
            <w:tr w14:paraId="54DB9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42" w:type="pct"/>
                  <w:shd w:val="clear" w:color="auto" w:fill="auto"/>
                  <w:noWrap w:val="0"/>
                  <w:vAlign w:val="center"/>
                </w:tcPr>
                <w:p w14:paraId="7FE05534">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highlight w:val="none"/>
                      <w:lang w:val="en-US" w:eastAsia="zh-CN"/>
                    </w:rPr>
                    <w:t>撕碎机进料螺旋输送机</w:t>
                  </w:r>
                </w:p>
              </w:tc>
              <w:tc>
                <w:tcPr>
                  <w:tcW w:w="951" w:type="pct"/>
                  <w:noWrap w:val="0"/>
                  <w:vAlign w:val="center"/>
                </w:tcPr>
                <w:p w14:paraId="3C49196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1.77</w:t>
                  </w:r>
                </w:p>
              </w:tc>
              <w:tc>
                <w:tcPr>
                  <w:tcW w:w="1001" w:type="pct"/>
                  <w:noWrap w:val="0"/>
                  <w:vAlign w:val="center"/>
                </w:tcPr>
                <w:p w14:paraId="5F76737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w:t>
                  </w:r>
                </w:p>
              </w:tc>
              <w:tc>
                <w:tcPr>
                  <w:tcW w:w="838" w:type="pct"/>
                  <w:vMerge w:val="continue"/>
                  <w:noWrap w:val="0"/>
                  <w:vAlign w:val="center"/>
                </w:tcPr>
                <w:p w14:paraId="0E4D5C3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vertAlign w:val="baseline"/>
                      <w:lang w:val="en-US" w:eastAsia="zh-CN"/>
                    </w:rPr>
                  </w:pPr>
                </w:p>
              </w:tc>
              <w:tc>
                <w:tcPr>
                  <w:tcW w:w="1066" w:type="pct"/>
                  <w:noWrap w:val="0"/>
                  <w:vAlign w:val="center"/>
                </w:tcPr>
                <w:p w14:paraId="2083D2F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42.48</w:t>
                  </w:r>
                </w:p>
              </w:tc>
            </w:tr>
            <w:tr w14:paraId="30A0B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42" w:type="pct"/>
                  <w:shd w:val="clear" w:color="auto" w:fill="auto"/>
                  <w:noWrap w:val="0"/>
                  <w:vAlign w:val="center"/>
                </w:tcPr>
                <w:p w14:paraId="456977AC">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挤压机进料螺旋</w:t>
                  </w:r>
                </w:p>
              </w:tc>
              <w:tc>
                <w:tcPr>
                  <w:tcW w:w="951" w:type="pct"/>
                  <w:noWrap w:val="0"/>
                  <w:vAlign w:val="center"/>
                </w:tcPr>
                <w:p w14:paraId="04EF484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0.88</w:t>
                  </w:r>
                </w:p>
              </w:tc>
              <w:tc>
                <w:tcPr>
                  <w:tcW w:w="1001" w:type="pct"/>
                  <w:noWrap w:val="0"/>
                  <w:vAlign w:val="center"/>
                </w:tcPr>
                <w:p w14:paraId="28B26D0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w:t>
                  </w:r>
                </w:p>
              </w:tc>
              <w:tc>
                <w:tcPr>
                  <w:tcW w:w="838" w:type="pct"/>
                  <w:vMerge w:val="continue"/>
                  <w:noWrap w:val="0"/>
                  <w:vAlign w:val="center"/>
                </w:tcPr>
                <w:p w14:paraId="334820A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vertAlign w:val="baseline"/>
                      <w:lang w:val="en-US" w:eastAsia="zh-CN"/>
                    </w:rPr>
                  </w:pPr>
                </w:p>
              </w:tc>
              <w:tc>
                <w:tcPr>
                  <w:tcW w:w="1066" w:type="pct"/>
                  <w:noWrap w:val="0"/>
                  <w:vAlign w:val="center"/>
                </w:tcPr>
                <w:p w14:paraId="29BEBEE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10.56</w:t>
                  </w:r>
                </w:p>
              </w:tc>
            </w:tr>
            <w:tr w14:paraId="61192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42" w:type="pct"/>
                  <w:shd w:val="clear" w:color="auto" w:fill="auto"/>
                  <w:noWrap w:val="0"/>
                  <w:vAlign w:val="center"/>
                </w:tcPr>
                <w:p w14:paraId="6DCC3DA5">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挤压机出渣螺旋</w:t>
                  </w:r>
                </w:p>
              </w:tc>
              <w:tc>
                <w:tcPr>
                  <w:tcW w:w="951" w:type="pct"/>
                  <w:noWrap w:val="0"/>
                  <w:vAlign w:val="center"/>
                </w:tcPr>
                <w:p w14:paraId="77D1168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0.92</w:t>
                  </w:r>
                </w:p>
              </w:tc>
              <w:tc>
                <w:tcPr>
                  <w:tcW w:w="1001" w:type="pct"/>
                  <w:noWrap w:val="0"/>
                  <w:vAlign w:val="center"/>
                </w:tcPr>
                <w:p w14:paraId="3AD7070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w:t>
                  </w:r>
                </w:p>
              </w:tc>
              <w:tc>
                <w:tcPr>
                  <w:tcW w:w="838" w:type="pct"/>
                  <w:vMerge w:val="continue"/>
                  <w:noWrap w:val="0"/>
                  <w:vAlign w:val="center"/>
                </w:tcPr>
                <w:p w14:paraId="443E183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vertAlign w:val="baseline"/>
                      <w:lang w:val="en-US" w:eastAsia="zh-CN"/>
                    </w:rPr>
                  </w:pPr>
                </w:p>
              </w:tc>
              <w:tc>
                <w:tcPr>
                  <w:tcW w:w="1066" w:type="pct"/>
                  <w:noWrap w:val="0"/>
                  <w:vAlign w:val="center"/>
                </w:tcPr>
                <w:p w14:paraId="18B50B3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11.04</w:t>
                  </w:r>
                </w:p>
              </w:tc>
            </w:tr>
            <w:tr w14:paraId="2BA6C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42" w:type="pct"/>
                  <w:noWrap w:val="0"/>
                  <w:vAlign w:val="center"/>
                </w:tcPr>
                <w:p w14:paraId="1880D1E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合计</w:t>
                  </w:r>
                </w:p>
              </w:tc>
              <w:tc>
                <w:tcPr>
                  <w:tcW w:w="951" w:type="pct"/>
                  <w:noWrap w:val="0"/>
                  <w:vAlign w:val="center"/>
                </w:tcPr>
                <w:p w14:paraId="2FED7BE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vertAlign w:val="baseline"/>
                      <w:lang w:val="en-US" w:eastAsia="zh-CN"/>
                    </w:rPr>
                  </w:pPr>
                </w:p>
              </w:tc>
              <w:tc>
                <w:tcPr>
                  <w:tcW w:w="1001" w:type="pct"/>
                  <w:noWrap w:val="0"/>
                  <w:vAlign w:val="center"/>
                </w:tcPr>
                <w:p w14:paraId="6FA76D7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p>
              </w:tc>
              <w:tc>
                <w:tcPr>
                  <w:tcW w:w="838" w:type="pct"/>
                  <w:noWrap w:val="0"/>
                  <w:vAlign w:val="center"/>
                </w:tcPr>
                <w:p w14:paraId="18C5083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vertAlign w:val="baseline"/>
                      <w:lang w:val="en-US" w:eastAsia="zh-CN"/>
                    </w:rPr>
                  </w:pPr>
                </w:p>
              </w:tc>
              <w:tc>
                <w:tcPr>
                  <w:tcW w:w="1066" w:type="pct"/>
                  <w:noWrap w:val="0"/>
                  <w:vAlign w:val="center"/>
                </w:tcPr>
                <w:p w14:paraId="2420FD9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255.32</w:t>
                  </w:r>
                </w:p>
              </w:tc>
            </w:tr>
            <w:tr w14:paraId="76FD7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78236A2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名称</w:t>
                  </w:r>
                </w:p>
              </w:tc>
              <w:tc>
                <w:tcPr>
                  <w:tcW w:w="951" w:type="pct"/>
                  <w:shd w:val="clear" w:color="auto" w:fill="auto"/>
                  <w:noWrap w:val="0"/>
                  <w:vAlign w:val="center"/>
                </w:tcPr>
                <w:p w14:paraId="64E8BE8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管道风速m/s</w:t>
                  </w:r>
                </w:p>
              </w:tc>
              <w:tc>
                <w:tcPr>
                  <w:tcW w:w="1001" w:type="pct"/>
                  <w:shd w:val="clear" w:color="auto" w:fill="auto"/>
                  <w:noWrap w:val="0"/>
                  <w:vAlign w:val="center"/>
                </w:tcPr>
                <w:p w14:paraId="7A76AA3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数量</w:t>
                  </w:r>
                </w:p>
              </w:tc>
              <w:tc>
                <w:tcPr>
                  <w:tcW w:w="838" w:type="pct"/>
                  <w:noWrap w:val="0"/>
                  <w:vAlign w:val="center"/>
                </w:tcPr>
                <w:p w14:paraId="7D701B9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管径mm</w:t>
                  </w:r>
                </w:p>
              </w:tc>
              <w:tc>
                <w:tcPr>
                  <w:tcW w:w="1066" w:type="pct"/>
                  <w:noWrap w:val="0"/>
                  <w:vAlign w:val="center"/>
                </w:tcPr>
                <w:p w14:paraId="1AD8F27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风量</w:t>
                  </w:r>
                </w:p>
              </w:tc>
            </w:tr>
            <w:tr w14:paraId="5F82A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04F765E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餐厨废弃油脂接料斗</w:t>
                  </w:r>
                </w:p>
              </w:tc>
              <w:tc>
                <w:tcPr>
                  <w:tcW w:w="951" w:type="pct"/>
                  <w:shd w:val="clear" w:color="auto" w:fill="auto"/>
                  <w:noWrap w:val="0"/>
                  <w:vAlign w:val="center"/>
                </w:tcPr>
                <w:p w14:paraId="24DB45F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390FD18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2</w:t>
                  </w:r>
                </w:p>
              </w:tc>
              <w:tc>
                <w:tcPr>
                  <w:tcW w:w="838" w:type="pct"/>
                  <w:noWrap w:val="0"/>
                  <w:vAlign w:val="center"/>
                </w:tcPr>
                <w:p w14:paraId="7BC63D0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80（0.005m</w:t>
                  </w:r>
                  <w:r>
                    <w:rPr>
                      <w:rFonts w:hint="eastAsia" w:ascii="宋体" w:hAnsi="宋体" w:cs="宋体"/>
                      <w:color w:val="auto"/>
                      <w:sz w:val="21"/>
                      <w:szCs w:val="21"/>
                      <w:vertAlign w:val="superscript"/>
                      <w:lang w:val="en-US" w:eastAsia="zh-CN"/>
                    </w:rPr>
                    <w:t>2</w:t>
                  </w:r>
                  <w:r>
                    <w:rPr>
                      <w:rFonts w:hint="eastAsia" w:ascii="宋体" w:hAnsi="宋体" w:cs="宋体"/>
                      <w:color w:val="auto"/>
                      <w:sz w:val="21"/>
                      <w:szCs w:val="21"/>
                      <w:vertAlign w:val="baseline"/>
                      <w:lang w:val="en-US" w:eastAsia="zh-CN"/>
                    </w:rPr>
                    <w:t>）</w:t>
                  </w:r>
                </w:p>
              </w:tc>
              <w:tc>
                <w:tcPr>
                  <w:tcW w:w="1066" w:type="pct"/>
                  <w:noWrap w:val="0"/>
                  <w:vAlign w:val="center"/>
                </w:tcPr>
                <w:p w14:paraId="093CE48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252</w:t>
                  </w:r>
                </w:p>
              </w:tc>
            </w:tr>
            <w:tr w14:paraId="78D7F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66BFA59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餐厨垃圾接料斗</w:t>
                  </w:r>
                </w:p>
              </w:tc>
              <w:tc>
                <w:tcPr>
                  <w:tcW w:w="951" w:type="pct"/>
                  <w:shd w:val="clear" w:color="auto" w:fill="auto"/>
                  <w:noWrap w:val="0"/>
                  <w:vAlign w:val="center"/>
                </w:tcPr>
                <w:p w14:paraId="4C8A46A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01B4C81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w:t>
                  </w:r>
                </w:p>
              </w:tc>
              <w:tc>
                <w:tcPr>
                  <w:tcW w:w="838" w:type="pct"/>
                  <w:noWrap w:val="0"/>
                  <w:vAlign w:val="center"/>
                </w:tcPr>
                <w:p w14:paraId="2FA4445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80</w:t>
                  </w:r>
                </w:p>
              </w:tc>
              <w:tc>
                <w:tcPr>
                  <w:tcW w:w="1066" w:type="pct"/>
                  <w:noWrap w:val="0"/>
                  <w:vAlign w:val="center"/>
                </w:tcPr>
                <w:p w14:paraId="224F8B3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126</w:t>
                  </w:r>
                </w:p>
              </w:tc>
            </w:tr>
            <w:tr w14:paraId="70C80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42" w:type="pct"/>
                  <w:shd w:val="clear" w:color="auto" w:fill="auto"/>
                  <w:noWrap w:val="0"/>
                  <w:vAlign w:val="center"/>
                </w:tcPr>
                <w:p w14:paraId="2D27582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烘箱A-B</w:t>
                  </w:r>
                </w:p>
              </w:tc>
              <w:tc>
                <w:tcPr>
                  <w:tcW w:w="951" w:type="pct"/>
                  <w:shd w:val="clear" w:color="auto" w:fill="auto"/>
                  <w:noWrap w:val="0"/>
                  <w:vAlign w:val="center"/>
                </w:tcPr>
                <w:p w14:paraId="1024169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522A642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2</w:t>
                  </w:r>
                </w:p>
              </w:tc>
              <w:tc>
                <w:tcPr>
                  <w:tcW w:w="838" w:type="pct"/>
                  <w:noWrap w:val="0"/>
                  <w:vAlign w:val="center"/>
                </w:tcPr>
                <w:p w14:paraId="4459688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80</w:t>
                  </w:r>
                </w:p>
              </w:tc>
              <w:tc>
                <w:tcPr>
                  <w:tcW w:w="1066" w:type="pct"/>
                  <w:noWrap w:val="0"/>
                  <w:vAlign w:val="center"/>
                </w:tcPr>
                <w:p w14:paraId="374879D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252</w:t>
                  </w:r>
                </w:p>
              </w:tc>
            </w:tr>
            <w:tr w14:paraId="7CBA2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5FED3B2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除杂机</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A-</w:t>
                  </w:r>
                  <w:r>
                    <w:rPr>
                      <w:rFonts w:hint="eastAsia" w:ascii="宋体" w:hAnsi="宋体" w:cs="宋体"/>
                      <w:color w:val="auto"/>
                      <w:sz w:val="21"/>
                      <w:szCs w:val="21"/>
                      <w:lang w:val="en-US" w:eastAsia="zh-CN"/>
                    </w:rPr>
                    <w:t>B</w:t>
                  </w:r>
                </w:p>
              </w:tc>
              <w:tc>
                <w:tcPr>
                  <w:tcW w:w="951" w:type="pct"/>
                  <w:shd w:val="clear" w:color="auto" w:fill="auto"/>
                  <w:noWrap w:val="0"/>
                  <w:vAlign w:val="center"/>
                </w:tcPr>
                <w:p w14:paraId="05E4915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5178648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2</w:t>
                  </w:r>
                </w:p>
              </w:tc>
              <w:tc>
                <w:tcPr>
                  <w:tcW w:w="838" w:type="pct"/>
                  <w:shd w:val="clear" w:color="auto" w:fill="auto"/>
                  <w:noWrap w:val="0"/>
                  <w:vAlign w:val="center"/>
                </w:tcPr>
                <w:p w14:paraId="42E7A25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80</w:t>
                  </w:r>
                </w:p>
              </w:tc>
              <w:tc>
                <w:tcPr>
                  <w:tcW w:w="1066" w:type="pct"/>
                  <w:shd w:val="clear" w:color="auto" w:fill="auto"/>
                  <w:noWrap w:val="0"/>
                  <w:vAlign w:val="center"/>
                </w:tcPr>
                <w:p w14:paraId="2F6D130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252</w:t>
                  </w:r>
                </w:p>
              </w:tc>
            </w:tr>
            <w:tr w14:paraId="57100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42" w:type="pct"/>
                  <w:shd w:val="clear" w:color="auto" w:fill="auto"/>
                  <w:noWrap w:val="0"/>
                  <w:vAlign w:val="center"/>
                </w:tcPr>
                <w:p w14:paraId="648C17D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集油箱</w:t>
                  </w:r>
                  <w:r>
                    <w:rPr>
                      <w:rFonts w:hint="eastAsia" w:ascii="宋体" w:hAnsi="宋体" w:cs="宋体"/>
                      <w:color w:val="auto"/>
                      <w:sz w:val="21"/>
                      <w:szCs w:val="21"/>
                      <w:lang w:val="en-US" w:eastAsia="zh-CN"/>
                    </w:rPr>
                    <w:t>A-B</w:t>
                  </w:r>
                </w:p>
              </w:tc>
              <w:tc>
                <w:tcPr>
                  <w:tcW w:w="951" w:type="pct"/>
                  <w:shd w:val="clear" w:color="auto" w:fill="auto"/>
                  <w:noWrap w:val="0"/>
                  <w:vAlign w:val="center"/>
                </w:tcPr>
                <w:p w14:paraId="4D8BF32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7FACBE6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2</w:t>
                  </w:r>
                </w:p>
              </w:tc>
              <w:tc>
                <w:tcPr>
                  <w:tcW w:w="838" w:type="pct"/>
                  <w:noWrap w:val="0"/>
                  <w:vAlign w:val="center"/>
                </w:tcPr>
                <w:p w14:paraId="412DE96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80</w:t>
                  </w:r>
                </w:p>
              </w:tc>
              <w:tc>
                <w:tcPr>
                  <w:tcW w:w="1066" w:type="pct"/>
                  <w:noWrap w:val="0"/>
                  <w:vAlign w:val="center"/>
                </w:tcPr>
                <w:p w14:paraId="6598B35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252</w:t>
                  </w:r>
                </w:p>
              </w:tc>
            </w:tr>
            <w:tr w14:paraId="5FFDB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5F665D0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加热罐/加热沉降釜</w:t>
                  </w:r>
                </w:p>
              </w:tc>
              <w:tc>
                <w:tcPr>
                  <w:tcW w:w="951" w:type="pct"/>
                  <w:shd w:val="clear" w:color="auto" w:fill="auto"/>
                  <w:noWrap w:val="0"/>
                  <w:vAlign w:val="center"/>
                </w:tcPr>
                <w:p w14:paraId="62964CD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06E2D18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w:t>
                  </w:r>
                </w:p>
              </w:tc>
              <w:tc>
                <w:tcPr>
                  <w:tcW w:w="838" w:type="pct"/>
                  <w:noWrap w:val="0"/>
                  <w:vAlign w:val="center"/>
                </w:tcPr>
                <w:p w14:paraId="0807767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80</w:t>
                  </w:r>
                </w:p>
              </w:tc>
              <w:tc>
                <w:tcPr>
                  <w:tcW w:w="1066" w:type="pct"/>
                  <w:noWrap w:val="0"/>
                  <w:vAlign w:val="center"/>
                </w:tcPr>
                <w:p w14:paraId="5A3B633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1008</w:t>
                  </w:r>
                </w:p>
              </w:tc>
            </w:tr>
            <w:tr w14:paraId="742CD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29A72AD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排水罐</w:t>
                  </w:r>
                </w:p>
              </w:tc>
              <w:tc>
                <w:tcPr>
                  <w:tcW w:w="951" w:type="pct"/>
                  <w:noWrap w:val="0"/>
                  <w:vAlign w:val="center"/>
                </w:tcPr>
                <w:p w14:paraId="4C3A470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w:t>
                  </w:r>
                </w:p>
              </w:tc>
              <w:tc>
                <w:tcPr>
                  <w:tcW w:w="1001" w:type="pct"/>
                  <w:noWrap w:val="0"/>
                  <w:vAlign w:val="center"/>
                </w:tcPr>
                <w:p w14:paraId="6956475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w:t>
                  </w:r>
                </w:p>
              </w:tc>
              <w:tc>
                <w:tcPr>
                  <w:tcW w:w="838" w:type="pct"/>
                  <w:noWrap w:val="0"/>
                  <w:vAlign w:val="center"/>
                </w:tcPr>
                <w:p w14:paraId="2D7371C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80</w:t>
                  </w:r>
                </w:p>
              </w:tc>
              <w:tc>
                <w:tcPr>
                  <w:tcW w:w="1066" w:type="pct"/>
                  <w:noWrap w:val="0"/>
                  <w:vAlign w:val="center"/>
                </w:tcPr>
                <w:p w14:paraId="29E521C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126</w:t>
                  </w:r>
                </w:p>
              </w:tc>
            </w:tr>
            <w:tr w14:paraId="0A6A1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77428CA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三相分离机</w:t>
                  </w:r>
                </w:p>
              </w:tc>
              <w:tc>
                <w:tcPr>
                  <w:tcW w:w="951" w:type="pct"/>
                  <w:shd w:val="clear" w:color="auto" w:fill="auto"/>
                  <w:noWrap w:val="0"/>
                  <w:vAlign w:val="center"/>
                </w:tcPr>
                <w:p w14:paraId="5E5F170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337D4D7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3</w:t>
                  </w:r>
                </w:p>
              </w:tc>
              <w:tc>
                <w:tcPr>
                  <w:tcW w:w="838" w:type="pct"/>
                  <w:shd w:val="clear" w:color="auto" w:fill="auto"/>
                  <w:noWrap w:val="0"/>
                  <w:vAlign w:val="center"/>
                </w:tcPr>
                <w:p w14:paraId="2BA2626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80</w:t>
                  </w:r>
                </w:p>
              </w:tc>
              <w:tc>
                <w:tcPr>
                  <w:tcW w:w="1066" w:type="pct"/>
                  <w:noWrap w:val="0"/>
                  <w:vAlign w:val="center"/>
                </w:tcPr>
                <w:p w14:paraId="271246D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378</w:t>
                  </w:r>
                </w:p>
              </w:tc>
            </w:tr>
            <w:tr w14:paraId="53D56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264F99A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计量罐</w:t>
                  </w:r>
                </w:p>
              </w:tc>
              <w:tc>
                <w:tcPr>
                  <w:tcW w:w="951" w:type="pct"/>
                  <w:shd w:val="clear" w:color="auto" w:fill="auto"/>
                  <w:noWrap w:val="0"/>
                  <w:vAlign w:val="center"/>
                </w:tcPr>
                <w:p w14:paraId="01F2696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442F0A1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2</w:t>
                  </w:r>
                </w:p>
              </w:tc>
              <w:tc>
                <w:tcPr>
                  <w:tcW w:w="838" w:type="pct"/>
                  <w:shd w:val="clear" w:color="auto" w:fill="auto"/>
                  <w:noWrap w:val="0"/>
                  <w:vAlign w:val="center"/>
                </w:tcPr>
                <w:p w14:paraId="714CF2B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80</w:t>
                  </w:r>
                </w:p>
              </w:tc>
              <w:tc>
                <w:tcPr>
                  <w:tcW w:w="1066" w:type="pct"/>
                  <w:noWrap w:val="0"/>
                  <w:vAlign w:val="center"/>
                </w:tcPr>
                <w:p w14:paraId="1FF0255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252</w:t>
                  </w:r>
                </w:p>
              </w:tc>
            </w:tr>
            <w:tr w14:paraId="7ECB2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29A5105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过滤桶</w:t>
                  </w:r>
                </w:p>
              </w:tc>
              <w:tc>
                <w:tcPr>
                  <w:tcW w:w="951" w:type="pct"/>
                  <w:shd w:val="clear" w:color="auto" w:fill="auto"/>
                  <w:noWrap w:val="0"/>
                  <w:vAlign w:val="center"/>
                </w:tcPr>
                <w:p w14:paraId="778F280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502998E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sz w:val="21"/>
                      <w:szCs w:val="21"/>
                      <w:vertAlign w:val="baseline"/>
                      <w:lang w:val="en-US" w:eastAsia="zh-CN"/>
                    </w:rPr>
                    <w:t>2</w:t>
                  </w:r>
                </w:p>
              </w:tc>
              <w:tc>
                <w:tcPr>
                  <w:tcW w:w="838" w:type="pct"/>
                  <w:shd w:val="clear" w:color="auto" w:fill="auto"/>
                  <w:noWrap w:val="0"/>
                  <w:vAlign w:val="center"/>
                </w:tcPr>
                <w:p w14:paraId="74FAD2F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sz w:val="21"/>
                      <w:szCs w:val="21"/>
                      <w:vertAlign w:val="baseline"/>
                      <w:lang w:val="en-US" w:eastAsia="zh-CN"/>
                    </w:rPr>
                    <w:t>80</w:t>
                  </w:r>
                </w:p>
              </w:tc>
              <w:tc>
                <w:tcPr>
                  <w:tcW w:w="1066" w:type="pct"/>
                  <w:shd w:val="clear" w:color="auto" w:fill="auto"/>
                  <w:noWrap w:val="0"/>
                  <w:vAlign w:val="center"/>
                </w:tcPr>
                <w:p w14:paraId="25533A7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sz w:val="21"/>
                      <w:szCs w:val="21"/>
                      <w:vertAlign w:val="baseline"/>
                      <w:lang w:val="en-US" w:eastAsia="zh-CN"/>
                    </w:rPr>
                    <w:t>252</w:t>
                  </w:r>
                </w:p>
              </w:tc>
            </w:tr>
            <w:tr w14:paraId="05C6F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2A6A98B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中间沉降罐</w:t>
                  </w:r>
                </w:p>
              </w:tc>
              <w:tc>
                <w:tcPr>
                  <w:tcW w:w="951" w:type="pct"/>
                  <w:shd w:val="clear" w:color="auto" w:fill="auto"/>
                  <w:noWrap w:val="0"/>
                  <w:vAlign w:val="center"/>
                </w:tcPr>
                <w:p w14:paraId="3C8F73B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41EEE51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6</w:t>
                  </w:r>
                </w:p>
              </w:tc>
              <w:tc>
                <w:tcPr>
                  <w:tcW w:w="838" w:type="pct"/>
                  <w:shd w:val="clear" w:color="auto" w:fill="auto"/>
                  <w:noWrap w:val="0"/>
                  <w:vAlign w:val="center"/>
                </w:tcPr>
                <w:p w14:paraId="684DDF3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80</w:t>
                  </w:r>
                </w:p>
              </w:tc>
              <w:tc>
                <w:tcPr>
                  <w:tcW w:w="1066" w:type="pct"/>
                  <w:noWrap w:val="0"/>
                  <w:vAlign w:val="center"/>
                </w:tcPr>
                <w:p w14:paraId="322AC53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756</w:t>
                  </w:r>
                </w:p>
              </w:tc>
            </w:tr>
            <w:tr w14:paraId="73CA2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2358EAF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油缓存罐</w:t>
                  </w:r>
                </w:p>
              </w:tc>
              <w:tc>
                <w:tcPr>
                  <w:tcW w:w="951" w:type="pct"/>
                  <w:shd w:val="clear" w:color="auto" w:fill="auto"/>
                  <w:noWrap w:val="0"/>
                  <w:vAlign w:val="center"/>
                </w:tcPr>
                <w:p w14:paraId="416DA7D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126D65D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w:t>
                  </w:r>
                </w:p>
              </w:tc>
              <w:tc>
                <w:tcPr>
                  <w:tcW w:w="838" w:type="pct"/>
                  <w:shd w:val="clear" w:color="auto" w:fill="auto"/>
                  <w:noWrap w:val="0"/>
                  <w:vAlign w:val="center"/>
                </w:tcPr>
                <w:p w14:paraId="01239C1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80</w:t>
                  </w:r>
                </w:p>
              </w:tc>
              <w:tc>
                <w:tcPr>
                  <w:tcW w:w="1066" w:type="pct"/>
                  <w:noWrap w:val="0"/>
                  <w:vAlign w:val="center"/>
                </w:tcPr>
                <w:p w14:paraId="04D285B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126</w:t>
                  </w:r>
                </w:p>
              </w:tc>
            </w:tr>
            <w:tr w14:paraId="3E660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11AED79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水缓存罐</w:t>
                  </w:r>
                </w:p>
              </w:tc>
              <w:tc>
                <w:tcPr>
                  <w:tcW w:w="951" w:type="pct"/>
                  <w:shd w:val="clear" w:color="auto" w:fill="auto"/>
                  <w:noWrap w:val="0"/>
                  <w:vAlign w:val="center"/>
                </w:tcPr>
                <w:p w14:paraId="111723A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65D0AA8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w:t>
                  </w:r>
                </w:p>
              </w:tc>
              <w:tc>
                <w:tcPr>
                  <w:tcW w:w="838" w:type="pct"/>
                  <w:shd w:val="clear" w:color="auto" w:fill="auto"/>
                  <w:noWrap w:val="0"/>
                  <w:vAlign w:val="center"/>
                </w:tcPr>
                <w:p w14:paraId="7A47872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80</w:t>
                  </w:r>
                </w:p>
              </w:tc>
              <w:tc>
                <w:tcPr>
                  <w:tcW w:w="1066" w:type="pct"/>
                  <w:noWrap w:val="0"/>
                  <w:vAlign w:val="center"/>
                </w:tcPr>
                <w:p w14:paraId="25397D1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126</w:t>
                  </w:r>
                </w:p>
              </w:tc>
            </w:tr>
            <w:tr w14:paraId="39FC4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51286DE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撕碎机</w:t>
                  </w:r>
                </w:p>
              </w:tc>
              <w:tc>
                <w:tcPr>
                  <w:tcW w:w="951" w:type="pct"/>
                  <w:shd w:val="clear" w:color="auto" w:fill="auto"/>
                  <w:noWrap w:val="0"/>
                  <w:vAlign w:val="center"/>
                </w:tcPr>
                <w:p w14:paraId="2CE06BD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19F50EE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w:t>
                  </w:r>
                </w:p>
              </w:tc>
              <w:tc>
                <w:tcPr>
                  <w:tcW w:w="838" w:type="pct"/>
                  <w:shd w:val="clear" w:color="auto" w:fill="auto"/>
                  <w:noWrap w:val="0"/>
                  <w:vAlign w:val="center"/>
                </w:tcPr>
                <w:p w14:paraId="642FBD5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80</w:t>
                  </w:r>
                </w:p>
              </w:tc>
              <w:tc>
                <w:tcPr>
                  <w:tcW w:w="1066" w:type="pct"/>
                  <w:noWrap w:val="0"/>
                  <w:vAlign w:val="center"/>
                </w:tcPr>
                <w:p w14:paraId="0CF6939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126</w:t>
                  </w:r>
                </w:p>
              </w:tc>
            </w:tr>
            <w:tr w14:paraId="56945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21EF3E5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挤压机</w:t>
                  </w:r>
                </w:p>
              </w:tc>
              <w:tc>
                <w:tcPr>
                  <w:tcW w:w="951" w:type="pct"/>
                  <w:shd w:val="clear" w:color="auto" w:fill="auto"/>
                  <w:noWrap w:val="0"/>
                  <w:vAlign w:val="center"/>
                </w:tcPr>
                <w:p w14:paraId="476BF96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10391B62">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sz w:val="21"/>
                      <w:szCs w:val="21"/>
                      <w:vertAlign w:val="baseline"/>
                      <w:lang w:val="en-US" w:eastAsia="zh-CN"/>
                    </w:rPr>
                    <w:t>1</w:t>
                  </w:r>
                </w:p>
              </w:tc>
              <w:tc>
                <w:tcPr>
                  <w:tcW w:w="838" w:type="pct"/>
                  <w:shd w:val="clear" w:color="auto" w:fill="auto"/>
                  <w:noWrap w:val="0"/>
                  <w:vAlign w:val="center"/>
                </w:tcPr>
                <w:p w14:paraId="5C4355D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sz w:val="21"/>
                      <w:szCs w:val="21"/>
                      <w:vertAlign w:val="baseline"/>
                      <w:lang w:val="en-US" w:eastAsia="zh-CN"/>
                    </w:rPr>
                    <w:t>80</w:t>
                  </w:r>
                </w:p>
              </w:tc>
              <w:tc>
                <w:tcPr>
                  <w:tcW w:w="1066" w:type="pct"/>
                  <w:shd w:val="clear" w:color="auto" w:fill="auto"/>
                  <w:noWrap w:val="0"/>
                  <w:vAlign w:val="center"/>
                </w:tcPr>
                <w:p w14:paraId="1F3D5DC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sz w:val="21"/>
                      <w:szCs w:val="21"/>
                      <w:vertAlign w:val="baseline"/>
                      <w:lang w:val="en-US" w:eastAsia="zh-CN"/>
                    </w:rPr>
                    <w:t>126</w:t>
                  </w:r>
                </w:p>
              </w:tc>
            </w:tr>
            <w:tr w14:paraId="1356F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718DED19">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沥液池</w:t>
                  </w:r>
                </w:p>
              </w:tc>
              <w:tc>
                <w:tcPr>
                  <w:tcW w:w="951" w:type="pct"/>
                  <w:shd w:val="clear" w:color="auto" w:fill="auto"/>
                  <w:noWrap w:val="0"/>
                  <w:vAlign w:val="center"/>
                </w:tcPr>
                <w:p w14:paraId="35A0669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7718828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w:t>
                  </w:r>
                </w:p>
              </w:tc>
              <w:tc>
                <w:tcPr>
                  <w:tcW w:w="838" w:type="pct"/>
                  <w:shd w:val="clear" w:color="auto" w:fill="auto"/>
                  <w:noWrap w:val="0"/>
                  <w:vAlign w:val="center"/>
                </w:tcPr>
                <w:p w14:paraId="6C8B741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80</w:t>
                  </w:r>
                </w:p>
              </w:tc>
              <w:tc>
                <w:tcPr>
                  <w:tcW w:w="1066" w:type="pct"/>
                  <w:noWrap w:val="0"/>
                  <w:vAlign w:val="center"/>
                </w:tcPr>
                <w:p w14:paraId="2E15051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126</w:t>
                  </w:r>
                </w:p>
              </w:tc>
            </w:tr>
            <w:tr w14:paraId="5754B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3D1B0A3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浆液收集箱</w:t>
                  </w:r>
                </w:p>
              </w:tc>
              <w:tc>
                <w:tcPr>
                  <w:tcW w:w="951" w:type="pct"/>
                  <w:shd w:val="clear" w:color="auto" w:fill="auto"/>
                  <w:noWrap w:val="0"/>
                  <w:vAlign w:val="center"/>
                </w:tcPr>
                <w:p w14:paraId="714D9E8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6EE0B25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w:t>
                  </w:r>
                </w:p>
              </w:tc>
              <w:tc>
                <w:tcPr>
                  <w:tcW w:w="838" w:type="pct"/>
                  <w:shd w:val="clear" w:color="auto" w:fill="auto"/>
                  <w:noWrap w:val="0"/>
                  <w:vAlign w:val="center"/>
                </w:tcPr>
                <w:p w14:paraId="386F6ACD">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80</w:t>
                  </w:r>
                </w:p>
              </w:tc>
              <w:tc>
                <w:tcPr>
                  <w:tcW w:w="1066" w:type="pct"/>
                  <w:noWrap w:val="0"/>
                  <w:vAlign w:val="center"/>
                </w:tcPr>
                <w:p w14:paraId="7E4F82BC">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126</w:t>
                  </w:r>
                </w:p>
              </w:tc>
            </w:tr>
            <w:tr w14:paraId="0474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37BAEF9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移动式出渣箱</w:t>
                  </w:r>
                </w:p>
              </w:tc>
              <w:tc>
                <w:tcPr>
                  <w:tcW w:w="951" w:type="pct"/>
                  <w:shd w:val="clear" w:color="auto" w:fill="auto"/>
                  <w:noWrap w:val="0"/>
                  <w:vAlign w:val="center"/>
                </w:tcPr>
                <w:p w14:paraId="69A692E8">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6213F9A5">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sz w:val="21"/>
                      <w:szCs w:val="21"/>
                      <w:vertAlign w:val="baseline"/>
                      <w:lang w:val="en-US" w:eastAsia="zh-CN"/>
                    </w:rPr>
                    <w:t>1</w:t>
                  </w:r>
                </w:p>
              </w:tc>
              <w:tc>
                <w:tcPr>
                  <w:tcW w:w="838" w:type="pct"/>
                  <w:shd w:val="clear" w:color="auto" w:fill="auto"/>
                  <w:noWrap w:val="0"/>
                  <w:vAlign w:val="center"/>
                </w:tcPr>
                <w:p w14:paraId="273B483E">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sz w:val="21"/>
                      <w:szCs w:val="21"/>
                      <w:vertAlign w:val="baseline"/>
                      <w:lang w:val="en-US" w:eastAsia="zh-CN"/>
                    </w:rPr>
                    <w:t>80</w:t>
                  </w:r>
                </w:p>
              </w:tc>
              <w:tc>
                <w:tcPr>
                  <w:tcW w:w="1066" w:type="pct"/>
                  <w:shd w:val="clear" w:color="auto" w:fill="auto"/>
                  <w:noWrap w:val="0"/>
                  <w:vAlign w:val="center"/>
                </w:tcPr>
                <w:p w14:paraId="207693D7">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color w:val="auto"/>
                      <w:kern w:val="2"/>
                      <w:sz w:val="21"/>
                      <w:szCs w:val="21"/>
                      <w:vertAlign w:val="baseline"/>
                      <w:lang w:val="en-US" w:eastAsia="zh-CN" w:bidi="ar-SA"/>
                    </w:rPr>
                  </w:pPr>
                  <w:r>
                    <w:rPr>
                      <w:rFonts w:hint="eastAsia" w:ascii="宋体" w:hAnsi="宋体" w:cs="宋体"/>
                      <w:color w:val="auto"/>
                      <w:sz w:val="21"/>
                      <w:szCs w:val="21"/>
                      <w:vertAlign w:val="baseline"/>
                      <w:lang w:val="en-US" w:eastAsia="zh-CN"/>
                    </w:rPr>
                    <w:t>126</w:t>
                  </w:r>
                </w:p>
              </w:tc>
            </w:tr>
            <w:tr w14:paraId="1E16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shd w:val="clear" w:color="auto" w:fill="auto"/>
                  <w:noWrap w:val="0"/>
                  <w:vAlign w:val="center"/>
                </w:tcPr>
                <w:p w14:paraId="5490EAD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储罐</w:t>
                  </w:r>
                </w:p>
              </w:tc>
              <w:tc>
                <w:tcPr>
                  <w:tcW w:w="951" w:type="pct"/>
                  <w:shd w:val="clear" w:color="auto" w:fill="auto"/>
                  <w:noWrap w:val="0"/>
                  <w:vAlign w:val="center"/>
                </w:tcPr>
                <w:p w14:paraId="1D0B4E40">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7</w:t>
                  </w:r>
                </w:p>
              </w:tc>
              <w:tc>
                <w:tcPr>
                  <w:tcW w:w="1001" w:type="pct"/>
                  <w:shd w:val="clear" w:color="auto" w:fill="auto"/>
                  <w:noWrap w:val="0"/>
                  <w:vAlign w:val="center"/>
                </w:tcPr>
                <w:p w14:paraId="720C8AC4">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w:t>
                  </w:r>
                </w:p>
              </w:tc>
              <w:tc>
                <w:tcPr>
                  <w:tcW w:w="838" w:type="pct"/>
                  <w:noWrap w:val="0"/>
                  <w:vAlign w:val="center"/>
                </w:tcPr>
                <w:p w14:paraId="722F254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80</w:t>
                  </w:r>
                </w:p>
              </w:tc>
              <w:tc>
                <w:tcPr>
                  <w:tcW w:w="1066" w:type="pct"/>
                  <w:noWrap w:val="0"/>
                  <w:vAlign w:val="center"/>
                </w:tcPr>
                <w:p w14:paraId="4447427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1008</w:t>
                  </w:r>
                </w:p>
              </w:tc>
            </w:tr>
            <w:tr w14:paraId="0A559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2" w:type="pct"/>
                  <w:noWrap w:val="0"/>
                  <w:vAlign w:val="center"/>
                </w:tcPr>
                <w:p w14:paraId="37F71B2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合计</w:t>
                  </w:r>
                </w:p>
              </w:tc>
              <w:tc>
                <w:tcPr>
                  <w:tcW w:w="951" w:type="pct"/>
                  <w:noWrap w:val="0"/>
                  <w:vAlign w:val="center"/>
                </w:tcPr>
                <w:p w14:paraId="3E953C8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w:t>
                  </w:r>
                </w:p>
              </w:tc>
              <w:tc>
                <w:tcPr>
                  <w:tcW w:w="1001" w:type="pct"/>
                  <w:noWrap w:val="0"/>
                  <w:vAlign w:val="center"/>
                </w:tcPr>
                <w:p w14:paraId="36BC506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w:t>
                  </w:r>
                </w:p>
              </w:tc>
              <w:tc>
                <w:tcPr>
                  <w:tcW w:w="838" w:type="pct"/>
                  <w:noWrap w:val="0"/>
                  <w:vAlign w:val="center"/>
                </w:tcPr>
                <w:p w14:paraId="57EB2F21">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w:t>
                  </w:r>
                </w:p>
              </w:tc>
              <w:tc>
                <w:tcPr>
                  <w:tcW w:w="1066" w:type="pct"/>
                  <w:shd w:val="clear" w:color="auto" w:fill="auto"/>
                  <w:noWrap w:val="0"/>
                  <w:vAlign w:val="center"/>
                </w:tcPr>
                <w:p w14:paraId="0FE3B806">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5796</w:t>
                  </w:r>
                </w:p>
              </w:tc>
            </w:tr>
            <w:tr w14:paraId="7930D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5000" w:type="pct"/>
                  <w:gridSpan w:val="5"/>
                  <w:shd w:val="clear" w:color="auto" w:fill="auto"/>
                  <w:noWrap w:val="0"/>
                  <w:vAlign w:val="center"/>
                </w:tcPr>
                <w:p w14:paraId="196D6ED3">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right"/>
                    <w:textAlignment w:val="center"/>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6051.32</w:t>
                  </w:r>
                </w:p>
              </w:tc>
            </w:tr>
            <w:tr w14:paraId="0C016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14:paraId="6CD050A8">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车间</w:t>
                  </w:r>
                </w:p>
              </w:tc>
            </w:tr>
            <w:tr w14:paraId="5452F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rPr>
              <w:tc>
                <w:tcPr>
                  <w:tcW w:w="1142" w:type="pct"/>
                  <w:noWrap w:val="0"/>
                  <w:vAlign w:val="center"/>
                </w:tcPr>
                <w:p w14:paraId="26BA93CF">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iCs w:val="0"/>
                      <w:color w:val="auto"/>
                      <w:spacing w:val="-2"/>
                      <w:kern w:val="0"/>
                      <w:sz w:val="21"/>
                      <w:szCs w:val="21"/>
                      <w:u w:val="none"/>
                      <w:lang w:val="en-US" w:eastAsia="zh-CN" w:bidi="ar"/>
                    </w:rPr>
                  </w:pPr>
                  <w:r>
                    <w:rPr>
                      <w:rFonts w:hint="eastAsia" w:ascii="宋体" w:hAnsi="宋体" w:cs="宋体"/>
                      <w:i w:val="0"/>
                      <w:iCs w:val="0"/>
                      <w:color w:val="auto"/>
                      <w:spacing w:val="-2"/>
                      <w:kern w:val="0"/>
                      <w:sz w:val="21"/>
                      <w:szCs w:val="21"/>
                      <w:u w:val="none"/>
                      <w:lang w:val="en-US" w:eastAsia="zh-CN" w:bidi="ar"/>
                    </w:rPr>
                    <w:t>大</w:t>
                  </w:r>
                  <w:r>
                    <w:rPr>
                      <w:rFonts w:hint="eastAsia" w:ascii="宋体" w:hAnsi="宋体" w:eastAsia="宋体" w:cs="宋体"/>
                      <w:i w:val="0"/>
                      <w:iCs w:val="0"/>
                      <w:color w:val="auto"/>
                      <w:spacing w:val="-2"/>
                      <w:kern w:val="0"/>
                      <w:sz w:val="21"/>
                      <w:szCs w:val="21"/>
                      <w:u w:val="none"/>
                      <w:lang w:val="en-US" w:eastAsia="zh-CN" w:bidi="ar"/>
                    </w:rPr>
                    <w:t>卸料间</w:t>
                  </w:r>
                </w:p>
              </w:tc>
              <w:tc>
                <w:tcPr>
                  <w:tcW w:w="951" w:type="pct"/>
                  <w:noWrap w:val="0"/>
                  <w:vAlign w:val="center"/>
                </w:tcPr>
                <w:p w14:paraId="477D8D08">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340*3=1260</w:t>
                  </w:r>
                </w:p>
              </w:tc>
              <w:tc>
                <w:tcPr>
                  <w:tcW w:w="1001" w:type="pct"/>
                  <w:noWrap w:val="0"/>
                  <w:vAlign w:val="center"/>
                </w:tcPr>
                <w:p w14:paraId="3953A64B">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w:t>
                  </w:r>
                </w:p>
              </w:tc>
              <w:tc>
                <w:tcPr>
                  <w:tcW w:w="838" w:type="pct"/>
                  <w:vMerge w:val="restart"/>
                  <w:noWrap w:val="0"/>
                  <w:vAlign w:val="center"/>
                </w:tcPr>
                <w:p w14:paraId="2367282D">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w:t>
                  </w:r>
                </w:p>
              </w:tc>
              <w:tc>
                <w:tcPr>
                  <w:tcW w:w="1066" w:type="pct"/>
                  <w:noWrap w:val="0"/>
                  <w:vAlign w:val="center"/>
                </w:tcPr>
                <w:p w14:paraId="1D46FC71">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3780</w:t>
                  </w:r>
                </w:p>
              </w:tc>
            </w:tr>
            <w:tr w14:paraId="6A651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42" w:type="pct"/>
                  <w:noWrap w:val="0"/>
                  <w:vAlign w:val="center"/>
                </w:tcPr>
                <w:p w14:paraId="63897C9A">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宋体"/>
                      <w:i w:val="0"/>
                      <w:iCs w:val="0"/>
                      <w:color w:val="auto"/>
                      <w:spacing w:val="-2"/>
                      <w:kern w:val="0"/>
                      <w:sz w:val="21"/>
                      <w:szCs w:val="21"/>
                      <w:u w:val="none"/>
                      <w:lang w:val="en-US" w:eastAsia="zh-CN" w:bidi="ar"/>
                    </w:rPr>
                  </w:pPr>
                  <w:r>
                    <w:rPr>
                      <w:rFonts w:hint="eastAsia" w:ascii="宋体" w:hAnsi="宋体" w:cs="宋体"/>
                      <w:i w:val="0"/>
                      <w:iCs w:val="0"/>
                      <w:color w:val="auto"/>
                      <w:spacing w:val="-2"/>
                      <w:kern w:val="0"/>
                      <w:sz w:val="21"/>
                      <w:szCs w:val="21"/>
                      <w:u w:val="none"/>
                      <w:lang w:val="en-US" w:eastAsia="zh-CN" w:bidi="ar"/>
                    </w:rPr>
                    <w:t>厂房一生产区</w:t>
                  </w:r>
                </w:p>
              </w:tc>
              <w:tc>
                <w:tcPr>
                  <w:tcW w:w="951" w:type="pct"/>
                  <w:noWrap w:val="0"/>
                  <w:vAlign w:val="center"/>
                </w:tcPr>
                <w:p w14:paraId="7F657ADB">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color w:val="auto"/>
                      <w:spacing w:val="-2"/>
                      <w:sz w:val="21"/>
                      <w:szCs w:val="21"/>
                      <w:vertAlign w:val="baseline"/>
                      <w:lang w:val="en-US" w:eastAsia="zh-CN" w:bidi="ar-SA"/>
                    </w:rPr>
                  </w:pPr>
                  <w:r>
                    <w:rPr>
                      <w:rFonts w:hint="eastAsia" w:ascii="宋体" w:hAnsi="宋体" w:cs="宋体"/>
                      <w:color w:val="auto"/>
                      <w:spacing w:val="-2"/>
                      <w:sz w:val="21"/>
                      <w:szCs w:val="21"/>
                      <w:vertAlign w:val="baseline"/>
                      <w:lang w:val="en-US" w:eastAsia="zh-CN" w:bidi="ar-SA"/>
                    </w:rPr>
                    <w:t>1120*3=3360</w:t>
                  </w:r>
                </w:p>
              </w:tc>
              <w:tc>
                <w:tcPr>
                  <w:tcW w:w="1001" w:type="pct"/>
                  <w:noWrap w:val="0"/>
                  <w:vAlign w:val="center"/>
                </w:tcPr>
                <w:p w14:paraId="01E98DE3">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w:t>
                  </w:r>
                </w:p>
              </w:tc>
              <w:tc>
                <w:tcPr>
                  <w:tcW w:w="838" w:type="pct"/>
                  <w:vMerge w:val="continue"/>
                  <w:noWrap w:val="0"/>
                  <w:vAlign w:val="center"/>
                </w:tcPr>
                <w:p w14:paraId="690398D0">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宋体" w:hAnsi="宋体" w:eastAsia="宋体" w:cs="宋体"/>
                      <w:color w:val="auto"/>
                      <w:sz w:val="21"/>
                      <w:szCs w:val="21"/>
                      <w:vertAlign w:val="baseline"/>
                      <w:lang w:val="en-US" w:eastAsia="zh-CN"/>
                    </w:rPr>
                  </w:pPr>
                </w:p>
              </w:tc>
              <w:tc>
                <w:tcPr>
                  <w:tcW w:w="1066" w:type="pct"/>
                  <w:noWrap w:val="0"/>
                  <w:vAlign w:val="center"/>
                </w:tcPr>
                <w:p w14:paraId="7B2A5EF9">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宋体" w:hAnsi="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10080</w:t>
                  </w:r>
                </w:p>
              </w:tc>
            </w:tr>
            <w:tr w14:paraId="14810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14:paraId="7D0C1A64">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right"/>
                    <w:textAlignment w:val="auto"/>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13860</w:t>
                  </w:r>
                </w:p>
              </w:tc>
            </w:tr>
            <w:tr w14:paraId="365D6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5"/>
                  <w:noWrap w:val="0"/>
                  <w:vAlign w:val="center"/>
                </w:tcPr>
                <w:p w14:paraId="490773AF">
                  <w:pPr>
                    <w:pStyle w:val="17"/>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right"/>
                    <w:textAlignment w:val="auto"/>
                    <w:rPr>
                      <w:rFonts w:hint="default"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19911.32</w:t>
                  </w:r>
                </w:p>
              </w:tc>
            </w:tr>
          </w:tbl>
          <w:p w14:paraId="429EB2B8">
            <w:pPr>
              <w:pStyle w:val="17"/>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80" w:firstLineChars="200"/>
              <w:textAlignment w:val="auto"/>
              <w:rPr>
                <w:rFonts w:hint="default"/>
                <w:color w:val="auto"/>
                <w:sz w:val="24"/>
                <w:szCs w:val="22"/>
                <w:lang w:val="en-US" w:eastAsia="zh-CN"/>
              </w:rPr>
            </w:pPr>
            <w:r>
              <w:rPr>
                <w:rFonts w:hint="eastAsia"/>
                <w:color w:val="auto"/>
                <w:sz w:val="24"/>
                <w:szCs w:val="22"/>
                <w:lang w:eastAsia="zh-CN"/>
              </w:rPr>
              <w:t>根据上表，本项目车间的换风次数满足《餐厨垃圾处理技术规范》（CJJ184-2012）中的“全面通风换气次数不宜小于3次/h”的要求。正常负压状态下车间废气收集效率可达95%。</w:t>
            </w:r>
          </w:p>
          <w:p w14:paraId="41C3BB07">
            <w:pPr>
              <w:pStyle w:val="17"/>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80" w:firstLineChars="200"/>
              <w:textAlignment w:val="auto"/>
              <w:rPr>
                <w:rFonts w:hint="default" w:ascii="Times New Roman" w:hAnsi="Times New Roman" w:eastAsia="宋体" w:cs="宋体"/>
                <w:color w:val="auto"/>
                <w:sz w:val="24"/>
                <w:szCs w:val="22"/>
                <w:lang w:val="en-US" w:eastAsia="zh-CN"/>
              </w:rPr>
            </w:pPr>
            <w:r>
              <w:rPr>
                <w:rFonts w:hint="eastAsia" w:ascii="Times New Roman" w:hAnsi="Times New Roman" w:eastAsia="宋体" w:cs="宋体"/>
                <w:color w:val="auto"/>
                <w:sz w:val="24"/>
                <w:szCs w:val="22"/>
                <w:lang w:val="en-US" w:eastAsia="zh-CN"/>
              </w:rPr>
              <w:t>由上述分析本项目计算的风机风量为</w:t>
            </w:r>
            <w:r>
              <w:rPr>
                <w:rFonts w:hint="eastAsia" w:cs="宋体"/>
                <w:color w:val="auto"/>
                <w:sz w:val="24"/>
                <w:szCs w:val="22"/>
                <w:lang w:val="en-US" w:eastAsia="zh-CN"/>
              </w:rPr>
              <w:t>19911.32</w:t>
            </w:r>
            <w:r>
              <w:rPr>
                <w:rFonts w:hint="eastAsia" w:ascii="Times New Roman" w:hAnsi="Times New Roman" w:eastAsia="宋体" w:cs="宋体"/>
                <w:color w:val="auto"/>
                <w:sz w:val="24"/>
                <w:szCs w:val="22"/>
                <w:lang w:val="en-US" w:eastAsia="zh-CN"/>
              </w:rPr>
              <w:t>m³/h，则设计风机风量为</w:t>
            </w:r>
            <w:r>
              <w:rPr>
                <w:rFonts w:hint="eastAsia" w:cs="宋体"/>
                <w:color w:val="auto"/>
                <w:sz w:val="24"/>
                <w:szCs w:val="22"/>
                <w:lang w:val="en-US" w:eastAsia="zh-CN"/>
              </w:rPr>
              <w:t>20000</w:t>
            </w:r>
            <w:r>
              <w:rPr>
                <w:rFonts w:hint="eastAsia" w:ascii="Times New Roman" w:hAnsi="Times New Roman" w:eastAsia="宋体" w:cs="宋体"/>
                <w:color w:val="auto"/>
                <w:sz w:val="24"/>
                <w:szCs w:val="22"/>
                <w:lang w:val="en-US" w:eastAsia="zh-CN"/>
              </w:rPr>
              <w:t>m³/h。</w:t>
            </w:r>
          </w:p>
          <w:p w14:paraId="4CAD6055">
            <w:pPr>
              <w:pStyle w:val="17"/>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80" w:firstLineChars="200"/>
              <w:textAlignment w:val="auto"/>
              <w:rPr>
                <w:rFonts w:hint="eastAsia" w:ascii="Times New Roman" w:hAnsi="Times New Roman" w:eastAsia="宋体" w:cs="宋体"/>
                <w:color w:val="auto"/>
                <w:sz w:val="24"/>
                <w:szCs w:val="22"/>
                <w:lang w:val="en-US" w:eastAsia="zh-CN"/>
              </w:rPr>
            </w:pPr>
            <w:r>
              <w:rPr>
                <w:rFonts w:hint="eastAsia" w:ascii="Times New Roman" w:hAnsi="Times New Roman" w:eastAsia="宋体" w:cs="宋体"/>
                <w:color w:val="auto"/>
                <w:sz w:val="24"/>
                <w:szCs w:val="22"/>
                <w:lang w:val="en-US" w:eastAsia="zh-CN"/>
              </w:rPr>
              <w:t>根据表4-6</w:t>
            </w:r>
            <w:r>
              <w:rPr>
                <w:rFonts w:hint="default" w:ascii="Times New Roman" w:hAnsi="Times New Roman" w:eastAsia="宋体" w:cs="宋体"/>
                <w:color w:val="auto"/>
                <w:sz w:val="24"/>
                <w:szCs w:val="22"/>
                <w:lang w:val="en-US" w:eastAsia="zh-CN"/>
              </w:rPr>
              <w:t>，本项目有组织恶臭气体中主要污染物氨气</w:t>
            </w:r>
            <w:r>
              <w:rPr>
                <w:rFonts w:hint="eastAsia" w:ascii="Times New Roman" w:hAnsi="Times New Roman" w:eastAsia="宋体" w:cs="宋体"/>
                <w:color w:val="auto"/>
                <w:sz w:val="24"/>
                <w:szCs w:val="22"/>
                <w:lang w:val="en-US" w:eastAsia="zh-CN"/>
              </w:rPr>
              <w:t>有组织</w:t>
            </w:r>
            <w:r>
              <w:rPr>
                <w:rFonts w:hint="default" w:ascii="Times New Roman" w:hAnsi="Times New Roman" w:eastAsia="宋体" w:cs="宋体"/>
                <w:color w:val="auto"/>
                <w:sz w:val="24"/>
                <w:szCs w:val="22"/>
                <w:lang w:val="en-US" w:eastAsia="zh-CN"/>
              </w:rPr>
              <w:t>产生</w:t>
            </w:r>
            <w:r>
              <w:rPr>
                <w:rFonts w:hint="eastAsia" w:ascii="Times New Roman" w:hAnsi="Times New Roman" w:eastAsia="宋体" w:cs="宋体"/>
                <w:color w:val="auto"/>
                <w:sz w:val="24"/>
                <w:szCs w:val="22"/>
                <w:lang w:val="en-US" w:eastAsia="zh-CN"/>
              </w:rPr>
              <w:t>及排放</w:t>
            </w:r>
            <w:r>
              <w:rPr>
                <w:rFonts w:hint="default" w:ascii="Times New Roman" w:hAnsi="Times New Roman" w:eastAsia="宋体" w:cs="宋体"/>
                <w:color w:val="auto"/>
                <w:sz w:val="24"/>
                <w:szCs w:val="22"/>
                <w:lang w:val="en-US" w:eastAsia="zh-CN"/>
              </w:rPr>
              <w:t>量约为</w:t>
            </w:r>
            <w:r>
              <w:rPr>
                <w:rFonts w:hint="eastAsia" w:cs="宋体"/>
                <w:color w:val="auto"/>
                <w:sz w:val="24"/>
                <w:szCs w:val="22"/>
                <w:lang w:val="en-US" w:eastAsia="zh-CN"/>
              </w:rPr>
              <w:t>0.465</w:t>
            </w:r>
            <w:r>
              <w:rPr>
                <w:rFonts w:hint="eastAsia" w:ascii="Times New Roman" w:hAnsi="Times New Roman" w:eastAsia="宋体" w:cs="宋体"/>
                <w:color w:val="auto"/>
                <w:sz w:val="24"/>
                <w:szCs w:val="22"/>
                <w:lang w:val="en-US" w:eastAsia="zh-CN"/>
              </w:rPr>
              <w:t>*0.95=</w:t>
            </w:r>
            <w:r>
              <w:rPr>
                <w:rFonts w:hint="eastAsia" w:cs="宋体"/>
                <w:color w:val="auto"/>
                <w:sz w:val="24"/>
                <w:szCs w:val="22"/>
                <w:lang w:val="en-US" w:eastAsia="zh-CN"/>
              </w:rPr>
              <w:t>0.420</w:t>
            </w:r>
            <w:r>
              <w:rPr>
                <w:rFonts w:hint="default" w:ascii="Times New Roman" w:hAnsi="Times New Roman" w:eastAsia="宋体" w:cs="宋体"/>
                <w:color w:val="auto"/>
                <w:sz w:val="24"/>
                <w:szCs w:val="22"/>
                <w:lang w:val="en-US" w:eastAsia="zh-CN"/>
              </w:rPr>
              <w:t>t/a，产生速率约为</w:t>
            </w:r>
            <w:r>
              <w:rPr>
                <w:rFonts w:hint="eastAsia" w:ascii="Times New Roman" w:hAnsi="Times New Roman" w:eastAsia="宋体" w:cs="宋体"/>
                <w:color w:val="auto"/>
                <w:sz w:val="24"/>
                <w:szCs w:val="22"/>
                <w:lang w:val="en-US" w:eastAsia="zh-CN"/>
              </w:rPr>
              <w:t>0.</w:t>
            </w:r>
            <w:r>
              <w:rPr>
                <w:rFonts w:hint="eastAsia" w:cs="宋体"/>
                <w:color w:val="auto"/>
                <w:sz w:val="24"/>
                <w:szCs w:val="22"/>
                <w:lang w:val="en-US" w:eastAsia="zh-CN"/>
              </w:rPr>
              <w:t>159</w:t>
            </w:r>
            <w:r>
              <w:rPr>
                <w:rFonts w:hint="default" w:ascii="Times New Roman" w:hAnsi="Times New Roman" w:eastAsia="宋体" w:cs="宋体"/>
                <w:color w:val="auto"/>
                <w:sz w:val="24"/>
                <w:szCs w:val="22"/>
                <w:lang w:val="en-US" w:eastAsia="zh-CN"/>
              </w:rPr>
              <w:t>kg/h</w:t>
            </w:r>
            <w:r>
              <w:rPr>
                <w:rFonts w:hint="eastAsia" w:cs="宋体"/>
                <w:color w:val="auto"/>
                <w:sz w:val="24"/>
                <w:szCs w:val="22"/>
                <w:lang w:val="en-US" w:eastAsia="zh-CN"/>
              </w:rPr>
              <w:t>（设备最大运行时间8h/d，330d/a）</w:t>
            </w:r>
            <w:r>
              <w:rPr>
                <w:rFonts w:hint="default" w:ascii="Times New Roman" w:hAnsi="Times New Roman" w:eastAsia="宋体" w:cs="宋体"/>
                <w:color w:val="auto"/>
                <w:sz w:val="24"/>
                <w:szCs w:val="22"/>
                <w:lang w:val="en-US" w:eastAsia="zh-CN"/>
              </w:rPr>
              <w:t>，产生浓度约为</w:t>
            </w:r>
            <w:r>
              <w:rPr>
                <w:rFonts w:hint="eastAsia" w:cs="宋体"/>
                <w:color w:val="auto"/>
                <w:sz w:val="24"/>
                <w:szCs w:val="22"/>
                <w:lang w:val="en-US" w:eastAsia="zh-CN"/>
              </w:rPr>
              <w:t>7.95</w:t>
            </w:r>
            <w:r>
              <w:rPr>
                <w:rFonts w:hint="default" w:ascii="Times New Roman" w:hAnsi="Times New Roman" w:eastAsia="宋体" w:cs="宋体"/>
                <w:color w:val="auto"/>
                <w:sz w:val="24"/>
                <w:szCs w:val="22"/>
                <w:lang w:val="en-US" w:eastAsia="zh-CN"/>
              </w:rPr>
              <w:t>mg/m</w:t>
            </w:r>
            <w:r>
              <w:rPr>
                <w:rFonts w:hint="default" w:ascii="Times New Roman" w:hAnsi="Times New Roman" w:eastAsia="宋体" w:cs="宋体"/>
                <w:color w:val="auto"/>
                <w:sz w:val="24"/>
                <w:szCs w:val="22"/>
                <w:vertAlign w:val="superscript"/>
                <w:lang w:val="en-US" w:eastAsia="zh-CN"/>
              </w:rPr>
              <w:t>3</w:t>
            </w:r>
            <w:r>
              <w:rPr>
                <w:rFonts w:hint="default" w:ascii="Times New Roman" w:hAnsi="Times New Roman" w:eastAsia="宋体" w:cs="宋体"/>
                <w:color w:val="auto"/>
                <w:sz w:val="24"/>
                <w:szCs w:val="22"/>
                <w:lang w:val="en-US" w:eastAsia="zh-CN"/>
              </w:rPr>
              <w:t>；硫化氢</w:t>
            </w:r>
            <w:r>
              <w:rPr>
                <w:rFonts w:hint="eastAsia" w:ascii="Times New Roman" w:hAnsi="Times New Roman" w:eastAsia="宋体" w:cs="宋体"/>
                <w:color w:val="auto"/>
                <w:sz w:val="24"/>
                <w:szCs w:val="22"/>
                <w:lang w:val="en-US" w:eastAsia="zh-CN"/>
              </w:rPr>
              <w:t>有组织</w:t>
            </w:r>
            <w:r>
              <w:rPr>
                <w:rFonts w:hint="default" w:ascii="Times New Roman" w:hAnsi="Times New Roman" w:eastAsia="宋体" w:cs="宋体"/>
                <w:color w:val="auto"/>
                <w:sz w:val="24"/>
                <w:szCs w:val="22"/>
                <w:lang w:val="en-US" w:eastAsia="zh-CN"/>
              </w:rPr>
              <w:t>产生量约为</w:t>
            </w:r>
            <w:r>
              <w:rPr>
                <w:rFonts w:hint="eastAsia" w:ascii="Times New Roman" w:hAnsi="Times New Roman" w:eastAsia="宋体" w:cs="宋体"/>
                <w:color w:val="auto"/>
                <w:sz w:val="24"/>
                <w:szCs w:val="22"/>
                <w:lang w:val="en-US" w:eastAsia="zh-CN"/>
              </w:rPr>
              <w:t>0.</w:t>
            </w:r>
            <w:r>
              <w:rPr>
                <w:rFonts w:hint="eastAsia" w:cs="宋体"/>
                <w:color w:val="auto"/>
                <w:sz w:val="24"/>
                <w:szCs w:val="22"/>
                <w:lang w:val="en-US" w:eastAsia="zh-CN"/>
              </w:rPr>
              <w:t>020</w:t>
            </w:r>
            <w:r>
              <w:rPr>
                <w:rFonts w:hint="eastAsia" w:ascii="Times New Roman" w:hAnsi="Times New Roman" w:eastAsia="宋体" w:cs="宋体"/>
                <w:color w:val="auto"/>
                <w:sz w:val="24"/>
                <w:szCs w:val="22"/>
                <w:lang w:val="en-US" w:eastAsia="zh-CN"/>
              </w:rPr>
              <w:t>*0.95=0.</w:t>
            </w:r>
            <w:r>
              <w:rPr>
                <w:rFonts w:hint="eastAsia" w:cs="宋体"/>
                <w:color w:val="auto"/>
                <w:sz w:val="24"/>
                <w:szCs w:val="22"/>
                <w:lang w:val="en-US" w:eastAsia="zh-CN"/>
              </w:rPr>
              <w:t>019</w:t>
            </w:r>
            <w:r>
              <w:rPr>
                <w:rFonts w:hint="default" w:ascii="Times New Roman" w:hAnsi="Times New Roman" w:eastAsia="宋体" w:cs="宋体"/>
                <w:color w:val="auto"/>
                <w:sz w:val="24"/>
                <w:szCs w:val="22"/>
                <w:lang w:val="en-US" w:eastAsia="zh-CN"/>
              </w:rPr>
              <w:t>t/a，产生速率约为 0.0</w:t>
            </w:r>
            <w:r>
              <w:rPr>
                <w:rFonts w:hint="eastAsia" w:cs="宋体"/>
                <w:color w:val="auto"/>
                <w:sz w:val="24"/>
                <w:szCs w:val="22"/>
                <w:lang w:val="en-US" w:eastAsia="zh-CN"/>
              </w:rPr>
              <w:t>07</w:t>
            </w:r>
            <w:r>
              <w:rPr>
                <w:rFonts w:hint="default" w:ascii="Times New Roman" w:hAnsi="Times New Roman" w:eastAsia="宋体" w:cs="宋体"/>
                <w:color w:val="auto"/>
                <w:sz w:val="24"/>
                <w:szCs w:val="22"/>
                <w:lang w:val="en-US" w:eastAsia="zh-CN"/>
              </w:rPr>
              <w:t>kg/h，产生浓度约为</w:t>
            </w:r>
            <w:r>
              <w:rPr>
                <w:rFonts w:hint="eastAsia" w:cs="宋体"/>
                <w:color w:val="auto"/>
                <w:sz w:val="24"/>
                <w:szCs w:val="22"/>
                <w:lang w:val="en-US" w:eastAsia="zh-CN"/>
              </w:rPr>
              <w:t>0.360</w:t>
            </w:r>
            <w:r>
              <w:rPr>
                <w:rFonts w:hint="default" w:ascii="Times New Roman" w:hAnsi="Times New Roman" w:eastAsia="宋体" w:cs="宋体"/>
                <w:color w:val="auto"/>
                <w:sz w:val="24"/>
                <w:szCs w:val="22"/>
                <w:lang w:val="en-US" w:eastAsia="zh-CN"/>
              </w:rPr>
              <w:t>mg/m</w:t>
            </w:r>
            <w:r>
              <w:rPr>
                <w:rFonts w:hint="default" w:ascii="Times New Roman" w:hAnsi="Times New Roman" w:eastAsia="宋体" w:cs="宋体"/>
                <w:color w:val="auto"/>
                <w:sz w:val="24"/>
                <w:szCs w:val="22"/>
                <w:vertAlign w:val="superscript"/>
                <w:lang w:val="en-US" w:eastAsia="zh-CN"/>
              </w:rPr>
              <w:t>3</w:t>
            </w:r>
            <w:r>
              <w:rPr>
                <w:rFonts w:hint="default" w:ascii="Times New Roman" w:hAnsi="Times New Roman" w:eastAsia="宋体" w:cs="宋体"/>
                <w:color w:val="auto"/>
                <w:sz w:val="24"/>
                <w:szCs w:val="22"/>
                <w:lang w:val="en-US" w:eastAsia="zh-CN"/>
              </w:rPr>
              <w:t>。</w:t>
            </w:r>
            <w:r>
              <w:rPr>
                <w:rFonts w:hint="eastAsia" w:ascii="Times New Roman" w:hAnsi="Times New Roman" w:eastAsia="宋体" w:cs="宋体"/>
                <w:color w:val="auto"/>
                <w:sz w:val="24"/>
                <w:szCs w:val="22"/>
                <w:lang w:val="en-US" w:eastAsia="zh-CN"/>
              </w:rPr>
              <w:t>非甲烷总烃有组织产生量为7.5t/a*0.95=7.125t/a，有组织产生速率为</w:t>
            </w:r>
            <w:r>
              <w:rPr>
                <w:rFonts w:hint="eastAsia" w:cs="宋体"/>
                <w:color w:val="auto"/>
                <w:sz w:val="24"/>
                <w:szCs w:val="22"/>
                <w:lang w:val="en-US" w:eastAsia="zh-CN"/>
              </w:rPr>
              <w:t>2.699</w:t>
            </w:r>
            <w:r>
              <w:rPr>
                <w:rFonts w:hint="eastAsia" w:ascii="Times New Roman" w:hAnsi="Times New Roman" w:eastAsia="宋体" w:cs="宋体"/>
                <w:color w:val="auto"/>
                <w:sz w:val="24"/>
                <w:szCs w:val="22"/>
                <w:lang w:val="en-US" w:eastAsia="zh-CN"/>
              </w:rPr>
              <w:t>kg/h，有组织产生浓度为</w:t>
            </w:r>
            <w:r>
              <w:rPr>
                <w:rFonts w:hint="eastAsia" w:cs="宋体"/>
                <w:color w:val="auto"/>
                <w:sz w:val="24"/>
                <w:szCs w:val="22"/>
                <w:lang w:val="en-US" w:eastAsia="zh-CN"/>
              </w:rPr>
              <w:t>134.95</w:t>
            </w:r>
            <w:r>
              <w:rPr>
                <w:rFonts w:hint="default" w:ascii="Times New Roman" w:hAnsi="Times New Roman" w:eastAsia="宋体" w:cs="宋体"/>
                <w:color w:val="auto"/>
                <w:sz w:val="24"/>
                <w:szCs w:val="22"/>
                <w:lang w:val="en-US" w:eastAsia="zh-CN"/>
              </w:rPr>
              <w:t>mg/m</w:t>
            </w:r>
            <w:r>
              <w:rPr>
                <w:rFonts w:hint="default" w:ascii="Times New Roman" w:hAnsi="Times New Roman" w:eastAsia="宋体" w:cs="宋体"/>
                <w:color w:val="auto"/>
                <w:sz w:val="24"/>
                <w:szCs w:val="22"/>
                <w:vertAlign w:val="superscript"/>
                <w:lang w:val="en-US" w:eastAsia="zh-CN"/>
              </w:rPr>
              <w:t>3</w:t>
            </w:r>
            <w:r>
              <w:rPr>
                <w:rFonts w:hint="eastAsia" w:ascii="Times New Roman" w:hAnsi="Times New Roman" w:eastAsia="宋体" w:cs="宋体"/>
                <w:color w:val="auto"/>
                <w:sz w:val="24"/>
                <w:szCs w:val="22"/>
                <w:lang w:val="en-US" w:eastAsia="zh-CN"/>
              </w:rPr>
              <w:t>。生产车间加热罐、三相分离设备的</w:t>
            </w:r>
            <w:r>
              <w:rPr>
                <w:rFonts w:hint="eastAsia" w:cs="宋体"/>
                <w:color w:val="auto"/>
                <w:sz w:val="24"/>
                <w:szCs w:val="22"/>
                <w:lang w:val="en-US" w:eastAsia="zh-CN"/>
              </w:rPr>
              <w:t>加热</w:t>
            </w:r>
            <w:r>
              <w:rPr>
                <w:rFonts w:hint="eastAsia" w:ascii="Times New Roman" w:hAnsi="Times New Roman" w:eastAsia="宋体" w:cs="宋体"/>
                <w:color w:val="auto"/>
                <w:sz w:val="24"/>
                <w:szCs w:val="22"/>
                <w:lang w:val="en-US" w:eastAsia="zh-CN"/>
              </w:rPr>
              <w:t>废气</w:t>
            </w:r>
            <w:r>
              <w:rPr>
                <w:rFonts w:hint="default" w:ascii="Times New Roman" w:hAnsi="Times New Roman" w:eastAsia="宋体" w:cs="宋体"/>
                <w:color w:val="auto"/>
                <w:sz w:val="24"/>
                <w:szCs w:val="22"/>
                <w:lang w:val="en-US" w:eastAsia="zh-CN"/>
              </w:rPr>
              <w:t>油雾净化器</w:t>
            </w:r>
            <w:r>
              <w:rPr>
                <w:rFonts w:hint="eastAsia" w:cs="宋体"/>
                <w:color w:val="auto"/>
                <w:sz w:val="24"/>
                <w:szCs w:val="22"/>
                <w:lang w:val="en-US" w:eastAsia="zh-CN"/>
              </w:rPr>
              <w:t>+</w:t>
            </w:r>
            <w:r>
              <w:rPr>
                <w:rFonts w:hint="eastAsia"/>
                <w:color w:val="auto"/>
                <w:sz w:val="24"/>
                <w:u w:val="none"/>
                <w:lang w:val="en-US" w:eastAsia="zh-CN"/>
              </w:rPr>
              <w:t>管式热交换器处理</w:t>
            </w:r>
            <w:r>
              <w:rPr>
                <w:rFonts w:hint="default" w:ascii="Times New Roman" w:hAnsi="Times New Roman" w:eastAsia="宋体" w:cs="宋体"/>
                <w:color w:val="auto"/>
                <w:sz w:val="24"/>
                <w:szCs w:val="22"/>
                <w:lang w:val="en-US" w:eastAsia="zh-CN"/>
              </w:rPr>
              <w:t>后</w:t>
            </w:r>
            <w:r>
              <w:rPr>
                <w:rFonts w:hint="eastAsia" w:cs="宋体"/>
                <w:color w:val="auto"/>
                <w:sz w:val="24"/>
                <w:szCs w:val="22"/>
                <w:lang w:val="en-US" w:eastAsia="zh-CN"/>
              </w:rPr>
              <w:t>，汇同</w:t>
            </w:r>
            <w:r>
              <w:rPr>
                <w:rFonts w:hint="eastAsia" w:ascii="Times New Roman" w:hAnsi="Times New Roman" w:eastAsia="宋体" w:cs="宋体"/>
                <w:color w:val="auto"/>
                <w:sz w:val="24"/>
                <w:szCs w:val="22"/>
                <w:lang w:val="en-US" w:eastAsia="zh-CN"/>
              </w:rPr>
              <w:t>车间其他</w:t>
            </w:r>
            <w:r>
              <w:rPr>
                <w:rFonts w:hint="default" w:ascii="Times New Roman" w:hAnsi="Times New Roman" w:eastAsia="宋体" w:cs="宋体"/>
                <w:color w:val="auto"/>
                <w:sz w:val="24"/>
                <w:szCs w:val="22"/>
                <w:lang w:val="en-US" w:eastAsia="zh-CN"/>
              </w:rPr>
              <w:t>废气</w:t>
            </w:r>
            <w:r>
              <w:rPr>
                <w:rFonts w:hint="eastAsia" w:cs="宋体"/>
                <w:color w:val="auto"/>
                <w:sz w:val="24"/>
                <w:szCs w:val="22"/>
                <w:lang w:val="en-US" w:eastAsia="zh-CN"/>
              </w:rPr>
              <w:t>、储罐废气</w:t>
            </w:r>
            <w:r>
              <w:rPr>
                <w:rFonts w:hint="default" w:ascii="Times New Roman" w:hAnsi="Times New Roman" w:eastAsia="宋体" w:cs="宋体"/>
                <w:color w:val="auto"/>
                <w:sz w:val="24"/>
                <w:szCs w:val="22"/>
                <w:lang w:val="en-US" w:eastAsia="zh-CN"/>
              </w:rPr>
              <w:t>混合进入酸洗+碱洗+</w:t>
            </w:r>
            <w:r>
              <w:rPr>
                <w:rFonts w:hint="eastAsia" w:cs="宋体"/>
                <w:color w:val="auto"/>
                <w:sz w:val="24"/>
                <w:szCs w:val="22"/>
                <w:lang w:val="en-US" w:eastAsia="zh-CN"/>
              </w:rPr>
              <w:t>次氯酸钠洗+干式过滤器+一级活性炭</w:t>
            </w:r>
            <w:r>
              <w:rPr>
                <w:rFonts w:hint="eastAsia" w:ascii="Times New Roman" w:hAnsi="Times New Roman" w:eastAsia="宋体" w:cs="宋体"/>
                <w:color w:val="auto"/>
                <w:sz w:val="24"/>
                <w:szCs w:val="22"/>
                <w:lang w:val="en-US" w:eastAsia="zh-CN"/>
              </w:rPr>
              <w:t>处理后通过排气筒（DA001）排放</w:t>
            </w:r>
            <w:r>
              <w:rPr>
                <w:rFonts w:hint="eastAsia" w:cs="宋体"/>
                <w:color w:val="auto"/>
                <w:sz w:val="24"/>
                <w:szCs w:val="22"/>
                <w:lang w:val="en-US" w:eastAsia="zh-CN"/>
              </w:rPr>
              <w:t>，处理效率90%</w:t>
            </w:r>
            <w:r>
              <w:rPr>
                <w:rFonts w:hint="eastAsia" w:ascii="Times New Roman" w:hAnsi="Times New Roman" w:eastAsia="宋体" w:cs="宋体"/>
                <w:color w:val="auto"/>
                <w:sz w:val="24"/>
                <w:szCs w:val="22"/>
                <w:lang w:val="en-US" w:eastAsia="zh-CN"/>
              </w:rPr>
              <w:t>；则</w:t>
            </w:r>
            <w:r>
              <w:rPr>
                <w:rFonts w:hint="default" w:ascii="Times New Roman" w:hAnsi="Times New Roman" w:eastAsia="宋体" w:cs="宋体"/>
                <w:color w:val="auto"/>
                <w:sz w:val="24"/>
                <w:szCs w:val="22"/>
                <w:lang w:val="en-US" w:eastAsia="zh-CN"/>
              </w:rPr>
              <w:t>主要污染物氨气</w:t>
            </w:r>
            <w:r>
              <w:rPr>
                <w:rFonts w:hint="eastAsia" w:ascii="Times New Roman" w:hAnsi="Times New Roman" w:eastAsia="宋体" w:cs="宋体"/>
                <w:color w:val="auto"/>
                <w:sz w:val="24"/>
                <w:szCs w:val="22"/>
                <w:lang w:val="en-US" w:eastAsia="zh-CN"/>
              </w:rPr>
              <w:t>有组织</w:t>
            </w:r>
            <w:r>
              <w:rPr>
                <w:rFonts w:hint="default" w:ascii="Times New Roman" w:hAnsi="Times New Roman" w:eastAsia="宋体" w:cs="宋体"/>
                <w:color w:val="auto"/>
                <w:sz w:val="24"/>
                <w:szCs w:val="22"/>
                <w:lang w:val="en-US" w:eastAsia="zh-CN"/>
              </w:rPr>
              <w:t>排放量约为</w:t>
            </w:r>
            <w:r>
              <w:rPr>
                <w:rFonts w:hint="eastAsia" w:cs="宋体"/>
                <w:color w:val="auto"/>
                <w:sz w:val="24"/>
                <w:szCs w:val="22"/>
                <w:lang w:val="en-US" w:eastAsia="zh-CN"/>
              </w:rPr>
              <w:t>0.042</w:t>
            </w:r>
            <w:r>
              <w:rPr>
                <w:rFonts w:hint="default" w:ascii="Times New Roman" w:hAnsi="Times New Roman" w:eastAsia="宋体" w:cs="宋体"/>
                <w:color w:val="auto"/>
                <w:sz w:val="24"/>
                <w:szCs w:val="22"/>
                <w:lang w:val="en-US" w:eastAsia="zh-CN"/>
              </w:rPr>
              <w:t>t/a，排放速率约为</w:t>
            </w:r>
            <w:r>
              <w:rPr>
                <w:rFonts w:hint="eastAsia" w:cs="宋体"/>
                <w:color w:val="auto"/>
                <w:sz w:val="24"/>
                <w:szCs w:val="22"/>
                <w:lang w:val="en-US" w:eastAsia="zh-CN"/>
              </w:rPr>
              <w:t>0.016</w:t>
            </w:r>
            <w:r>
              <w:rPr>
                <w:rFonts w:hint="default" w:ascii="Times New Roman" w:hAnsi="Times New Roman" w:eastAsia="宋体" w:cs="宋体"/>
                <w:color w:val="auto"/>
                <w:sz w:val="24"/>
                <w:szCs w:val="22"/>
                <w:lang w:val="en-US" w:eastAsia="zh-CN"/>
              </w:rPr>
              <w:t>kg/h，排放浓度约为</w:t>
            </w:r>
            <w:r>
              <w:rPr>
                <w:rFonts w:hint="eastAsia" w:cs="宋体"/>
                <w:color w:val="auto"/>
                <w:sz w:val="24"/>
                <w:szCs w:val="22"/>
                <w:lang w:val="en-US" w:eastAsia="zh-CN"/>
              </w:rPr>
              <w:t>0.795</w:t>
            </w:r>
            <w:r>
              <w:rPr>
                <w:rFonts w:hint="default" w:ascii="Times New Roman" w:hAnsi="Times New Roman" w:eastAsia="宋体" w:cs="宋体"/>
                <w:color w:val="auto"/>
                <w:sz w:val="24"/>
                <w:szCs w:val="22"/>
                <w:lang w:val="en-US" w:eastAsia="zh-CN"/>
              </w:rPr>
              <w:t>mg/m</w:t>
            </w:r>
            <w:r>
              <w:rPr>
                <w:rFonts w:hint="default" w:ascii="Times New Roman" w:hAnsi="Times New Roman" w:eastAsia="宋体" w:cs="宋体"/>
                <w:color w:val="auto"/>
                <w:sz w:val="24"/>
                <w:szCs w:val="22"/>
                <w:vertAlign w:val="superscript"/>
                <w:lang w:val="en-US" w:eastAsia="zh-CN"/>
              </w:rPr>
              <w:t>3</w:t>
            </w:r>
            <w:r>
              <w:rPr>
                <w:rFonts w:hint="default" w:ascii="Times New Roman" w:hAnsi="Times New Roman" w:eastAsia="宋体" w:cs="宋体"/>
                <w:color w:val="auto"/>
                <w:sz w:val="24"/>
                <w:szCs w:val="22"/>
                <w:lang w:val="en-US" w:eastAsia="zh-CN"/>
              </w:rPr>
              <w:t>；硫化氢</w:t>
            </w:r>
            <w:r>
              <w:rPr>
                <w:rFonts w:hint="eastAsia" w:ascii="Times New Roman" w:hAnsi="Times New Roman" w:eastAsia="宋体" w:cs="宋体"/>
                <w:color w:val="auto"/>
                <w:sz w:val="24"/>
                <w:szCs w:val="22"/>
                <w:lang w:val="en-US" w:eastAsia="zh-CN"/>
              </w:rPr>
              <w:t>有组织排放量</w:t>
            </w:r>
            <w:r>
              <w:rPr>
                <w:rFonts w:hint="default" w:ascii="Times New Roman" w:hAnsi="Times New Roman" w:eastAsia="宋体" w:cs="宋体"/>
                <w:color w:val="auto"/>
                <w:sz w:val="24"/>
                <w:szCs w:val="22"/>
                <w:lang w:val="en-US" w:eastAsia="zh-CN"/>
              </w:rPr>
              <w:t>约为</w:t>
            </w:r>
            <w:r>
              <w:rPr>
                <w:rFonts w:hint="eastAsia" w:cs="宋体"/>
                <w:color w:val="auto"/>
                <w:sz w:val="24"/>
                <w:szCs w:val="22"/>
                <w:lang w:val="en-US" w:eastAsia="zh-CN"/>
              </w:rPr>
              <w:t>0.002</w:t>
            </w:r>
            <w:r>
              <w:rPr>
                <w:rFonts w:hint="default" w:ascii="Times New Roman" w:hAnsi="Times New Roman" w:eastAsia="宋体" w:cs="宋体"/>
                <w:color w:val="auto"/>
                <w:sz w:val="24"/>
                <w:szCs w:val="22"/>
                <w:lang w:val="en-US" w:eastAsia="zh-CN"/>
              </w:rPr>
              <w:t>t/a，排放速率约为</w:t>
            </w:r>
            <w:r>
              <w:rPr>
                <w:rFonts w:hint="eastAsia" w:cs="宋体"/>
                <w:color w:val="auto"/>
                <w:sz w:val="24"/>
                <w:szCs w:val="22"/>
                <w:lang w:val="en-US" w:eastAsia="zh-CN"/>
              </w:rPr>
              <w:t>0.0007</w:t>
            </w:r>
            <w:r>
              <w:rPr>
                <w:rFonts w:hint="default" w:ascii="Times New Roman" w:hAnsi="Times New Roman" w:eastAsia="宋体" w:cs="宋体"/>
                <w:color w:val="auto"/>
                <w:sz w:val="24"/>
                <w:szCs w:val="22"/>
                <w:lang w:val="en-US" w:eastAsia="zh-CN"/>
              </w:rPr>
              <w:t>kg/h，排放浓度约为</w:t>
            </w:r>
            <w:r>
              <w:rPr>
                <w:rFonts w:hint="eastAsia" w:cs="宋体"/>
                <w:color w:val="auto"/>
                <w:sz w:val="24"/>
                <w:szCs w:val="22"/>
                <w:lang w:val="en-US" w:eastAsia="zh-CN"/>
              </w:rPr>
              <w:t>0.036</w:t>
            </w:r>
            <w:r>
              <w:rPr>
                <w:rFonts w:hint="default" w:ascii="Times New Roman" w:hAnsi="Times New Roman" w:eastAsia="宋体" w:cs="宋体"/>
                <w:color w:val="auto"/>
                <w:sz w:val="24"/>
                <w:szCs w:val="22"/>
                <w:lang w:val="en-US" w:eastAsia="zh-CN"/>
              </w:rPr>
              <w:t>mg/m</w:t>
            </w:r>
            <w:r>
              <w:rPr>
                <w:rFonts w:hint="default" w:ascii="Times New Roman" w:hAnsi="Times New Roman" w:eastAsia="宋体" w:cs="宋体"/>
                <w:color w:val="auto"/>
                <w:sz w:val="24"/>
                <w:szCs w:val="22"/>
                <w:vertAlign w:val="superscript"/>
                <w:lang w:val="en-US" w:eastAsia="zh-CN"/>
              </w:rPr>
              <w:t>3</w:t>
            </w:r>
            <w:r>
              <w:rPr>
                <w:rFonts w:hint="eastAsia" w:ascii="Times New Roman" w:hAnsi="Times New Roman" w:eastAsia="宋体" w:cs="宋体"/>
                <w:color w:val="auto"/>
                <w:sz w:val="24"/>
                <w:szCs w:val="22"/>
                <w:lang w:val="en-US" w:eastAsia="zh-CN"/>
              </w:rPr>
              <w:t>；非甲烷总烃有组织排放量0.7125t/a，有组织排放速率为</w:t>
            </w:r>
            <w:r>
              <w:rPr>
                <w:rFonts w:hint="eastAsia" w:cs="宋体"/>
                <w:color w:val="auto"/>
                <w:sz w:val="24"/>
                <w:szCs w:val="22"/>
                <w:lang w:val="en-US" w:eastAsia="zh-CN"/>
              </w:rPr>
              <w:t>0.270</w:t>
            </w:r>
            <w:r>
              <w:rPr>
                <w:rFonts w:hint="eastAsia" w:ascii="Times New Roman" w:hAnsi="Times New Roman" w:eastAsia="宋体" w:cs="宋体"/>
                <w:color w:val="auto"/>
                <w:sz w:val="24"/>
                <w:szCs w:val="22"/>
                <w:lang w:val="en-US" w:eastAsia="zh-CN"/>
              </w:rPr>
              <w:t>kg/h，有组织排放</w:t>
            </w:r>
            <w:r>
              <w:rPr>
                <w:rFonts w:hint="default" w:ascii="Times New Roman" w:hAnsi="Times New Roman" w:eastAsia="宋体" w:cs="宋体"/>
                <w:color w:val="auto"/>
                <w:sz w:val="24"/>
                <w:szCs w:val="22"/>
                <w:lang w:val="en-US" w:eastAsia="zh-CN"/>
              </w:rPr>
              <w:t>浓度约为</w:t>
            </w:r>
            <w:r>
              <w:rPr>
                <w:rFonts w:hint="eastAsia" w:cs="宋体"/>
                <w:color w:val="auto"/>
                <w:sz w:val="24"/>
                <w:szCs w:val="22"/>
                <w:lang w:val="en-US" w:eastAsia="zh-CN"/>
              </w:rPr>
              <w:t>13.50</w:t>
            </w:r>
            <w:r>
              <w:rPr>
                <w:rFonts w:hint="default" w:ascii="Times New Roman" w:hAnsi="Times New Roman" w:eastAsia="宋体" w:cs="宋体"/>
                <w:color w:val="auto"/>
                <w:sz w:val="24"/>
                <w:szCs w:val="22"/>
                <w:lang w:val="en-US" w:eastAsia="zh-CN"/>
              </w:rPr>
              <w:t>mg/m</w:t>
            </w:r>
            <w:r>
              <w:rPr>
                <w:rFonts w:hint="default" w:ascii="Times New Roman" w:hAnsi="Times New Roman" w:eastAsia="宋体" w:cs="宋体"/>
                <w:color w:val="auto"/>
                <w:sz w:val="24"/>
                <w:szCs w:val="22"/>
                <w:vertAlign w:val="superscript"/>
                <w:lang w:val="en-US" w:eastAsia="zh-CN"/>
              </w:rPr>
              <w:t>3</w:t>
            </w:r>
            <w:r>
              <w:rPr>
                <w:rFonts w:hint="eastAsia" w:ascii="Times New Roman" w:hAnsi="Times New Roman" w:eastAsia="宋体" w:cs="宋体"/>
                <w:color w:val="auto"/>
                <w:sz w:val="24"/>
                <w:szCs w:val="22"/>
                <w:lang w:val="en-US" w:eastAsia="zh-CN"/>
              </w:rPr>
              <w:t>。</w:t>
            </w:r>
          </w:p>
          <w:p w14:paraId="4EB4ED13">
            <w:pPr>
              <w:pStyle w:val="17"/>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80" w:firstLineChars="200"/>
              <w:textAlignment w:val="auto"/>
              <w:rPr>
                <w:rFonts w:hint="default"/>
                <w:color w:val="auto"/>
                <w:sz w:val="24"/>
                <w:szCs w:val="22"/>
                <w:highlight w:val="none"/>
                <w:vertAlign w:val="baseline"/>
                <w:lang w:val="en-US" w:eastAsia="zh-CN"/>
              </w:rPr>
            </w:pPr>
            <w:r>
              <w:rPr>
                <w:rFonts w:hint="eastAsia" w:ascii="Times New Roman" w:hAnsi="Times New Roman" w:eastAsia="宋体" w:cs="宋体"/>
                <w:color w:val="auto"/>
                <w:sz w:val="24"/>
                <w:szCs w:val="22"/>
                <w:lang w:val="en-US" w:eastAsia="zh-CN"/>
              </w:rPr>
              <w:t>氨气无组织产生及排放量为0.0</w:t>
            </w:r>
            <w:r>
              <w:rPr>
                <w:rFonts w:hint="eastAsia" w:cs="宋体"/>
                <w:color w:val="auto"/>
                <w:sz w:val="24"/>
                <w:szCs w:val="22"/>
                <w:lang w:val="en-US" w:eastAsia="zh-CN"/>
              </w:rPr>
              <w:t>45</w:t>
            </w:r>
            <w:r>
              <w:rPr>
                <w:rFonts w:hint="eastAsia" w:ascii="Times New Roman" w:hAnsi="Times New Roman" w:eastAsia="宋体" w:cs="宋体"/>
                <w:color w:val="auto"/>
                <w:sz w:val="24"/>
                <w:szCs w:val="22"/>
                <w:lang w:val="en-US" w:eastAsia="zh-CN"/>
              </w:rPr>
              <w:t>t/a，无组织产生及排放速率为0.0</w:t>
            </w:r>
            <w:r>
              <w:rPr>
                <w:rFonts w:hint="eastAsia" w:cs="宋体"/>
                <w:color w:val="auto"/>
                <w:sz w:val="24"/>
                <w:szCs w:val="22"/>
                <w:lang w:val="en-US" w:eastAsia="zh-CN"/>
              </w:rPr>
              <w:t>17</w:t>
            </w:r>
            <w:r>
              <w:rPr>
                <w:rFonts w:hint="eastAsia" w:ascii="Times New Roman" w:hAnsi="Times New Roman" w:eastAsia="宋体" w:cs="宋体"/>
                <w:color w:val="auto"/>
                <w:sz w:val="24"/>
                <w:szCs w:val="22"/>
                <w:lang w:val="en-US" w:eastAsia="zh-CN"/>
              </w:rPr>
              <w:t>kg/h，硫化氢无组织产生及排放量为0.00</w:t>
            </w:r>
            <w:r>
              <w:rPr>
                <w:rFonts w:hint="eastAsia" w:cs="宋体"/>
                <w:color w:val="auto"/>
                <w:sz w:val="24"/>
                <w:szCs w:val="22"/>
                <w:lang w:val="en-US" w:eastAsia="zh-CN"/>
              </w:rPr>
              <w:t>1</w:t>
            </w:r>
            <w:r>
              <w:rPr>
                <w:rFonts w:hint="eastAsia" w:ascii="Times New Roman" w:hAnsi="Times New Roman" w:eastAsia="宋体" w:cs="宋体"/>
                <w:color w:val="auto"/>
                <w:sz w:val="24"/>
                <w:szCs w:val="22"/>
                <w:lang w:val="en-US" w:eastAsia="zh-CN"/>
              </w:rPr>
              <w:t>t/a，无组织产生及排放速率为0.00</w:t>
            </w:r>
            <w:r>
              <w:rPr>
                <w:rFonts w:hint="eastAsia" w:cs="宋体"/>
                <w:color w:val="auto"/>
                <w:sz w:val="24"/>
                <w:szCs w:val="22"/>
                <w:lang w:val="en-US" w:eastAsia="zh-CN"/>
              </w:rPr>
              <w:t>04</w:t>
            </w:r>
            <w:r>
              <w:rPr>
                <w:rFonts w:hint="eastAsia" w:ascii="Times New Roman" w:hAnsi="Times New Roman" w:eastAsia="宋体" w:cs="宋体"/>
                <w:color w:val="auto"/>
                <w:sz w:val="24"/>
                <w:szCs w:val="22"/>
                <w:lang w:val="en-US" w:eastAsia="zh-CN"/>
              </w:rPr>
              <w:t>kg/h，非甲烷总烃无组织产生及排放量为0.375t/a，无组织产生及排放速率为0.</w:t>
            </w:r>
            <w:r>
              <w:rPr>
                <w:rFonts w:hint="eastAsia" w:cs="宋体"/>
                <w:color w:val="auto"/>
                <w:sz w:val="24"/>
                <w:szCs w:val="22"/>
                <w:lang w:val="en-US" w:eastAsia="zh-CN"/>
              </w:rPr>
              <w:t>142</w:t>
            </w:r>
            <w:r>
              <w:rPr>
                <w:rFonts w:hint="eastAsia" w:ascii="Times New Roman" w:hAnsi="Times New Roman" w:eastAsia="宋体" w:cs="宋体"/>
                <w:color w:val="auto"/>
                <w:sz w:val="24"/>
                <w:szCs w:val="22"/>
                <w:lang w:val="en-US" w:eastAsia="zh-CN"/>
              </w:rPr>
              <w:t>kg/h</w:t>
            </w:r>
            <w:r>
              <w:rPr>
                <w:rFonts w:hint="eastAsia" w:cs="宋体"/>
                <w:color w:val="auto"/>
                <w:sz w:val="24"/>
                <w:szCs w:val="22"/>
                <w:lang w:val="en-US" w:eastAsia="zh-CN"/>
              </w:rPr>
              <w:t>。</w:t>
            </w:r>
          </w:p>
        </w:tc>
      </w:tr>
    </w:tbl>
    <w:p w14:paraId="40246FF5">
      <w:pPr>
        <w:adjustRightInd w:val="0"/>
        <w:snapToGrid w:val="0"/>
        <w:spacing w:line="360" w:lineRule="auto"/>
        <w:rPr>
          <w:rFonts w:hint="eastAsia" w:ascii="宋体" w:cs="宋体"/>
          <w:b/>
          <w:color w:val="auto"/>
          <w:kern w:val="0"/>
          <w:sz w:val="28"/>
          <w:szCs w:val="28"/>
        </w:rPr>
        <w:sectPr>
          <w:pgSz w:w="11907" w:h="16840"/>
          <w:pgMar w:top="1701" w:right="1531" w:bottom="2127" w:left="1531" w:header="851" w:footer="851" w:gutter="0"/>
          <w:cols w:space="720" w:num="1"/>
          <w:docGrid w:linePitch="312" w:charSpace="0"/>
        </w:sect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28"/>
      </w:tblGrid>
      <w:tr w14:paraId="16743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2" w:hRule="atLeast"/>
        </w:trPr>
        <w:tc>
          <w:tcPr>
            <w:tcW w:w="13228" w:type="dxa"/>
          </w:tcPr>
          <w:p w14:paraId="1122F5A9">
            <w:pPr>
              <w:keepNext w:val="0"/>
              <w:keepLines w:val="0"/>
              <w:pageBreakBefore w:val="0"/>
              <w:widowControl w:val="0"/>
              <w:kinsoku/>
              <w:wordWrap/>
              <w:overflowPunct/>
              <w:topLinePunct w:val="0"/>
              <w:autoSpaceDE/>
              <w:autoSpaceDN/>
              <w:bidi w:val="0"/>
              <w:adjustRightInd/>
              <w:snapToGrid/>
              <w:spacing w:line="240" w:lineRule="auto"/>
              <w:ind w:firstLine="422" w:firstLineChars="200"/>
              <w:jc w:val="center"/>
              <w:textAlignment w:val="auto"/>
              <w:rPr>
                <w:rFonts w:hint="eastAsia" w:cs="Times New Roman"/>
                <w:b/>
                <w:bCs/>
                <w:color w:val="auto"/>
                <w:highlight w:val="none"/>
                <w:lang w:val="en-US" w:eastAsia="zh-CN"/>
              </w:rPr>
            </w:pPr>
            <w:r>
              <w:rPr>
                <w:rFonts w:hint="eastAsia" w:cs="Times New Roman"/>
                <w:b/>
                <w:bCs/>
                <w:color w:val="auto"/>
                <w:sz w:val="21"/>
                <w:szCs w:val="21"/>
                <w:highlight w:val="none"/>
                <w:lang w:val="en-US" w:eastAsia="zh-CN" w:bidi="ar-SA"/>
              </w:rPr>
              <w:t xml:space="preserve">表4-8 </w:t>
            </w:r>
            <w:r>
              <w:rPr>
                <w:rFonts w:hint="eastAsia" w:cs="Times New Roman"/>
                <w:b/>
                <w:bCs/>
                <w:color w:val="auto"/>
                <w:sz w:val="21"/>
                <w:szCs w:val="21"/>
                <w:highlight w:val="none"/>
                <w:lang w:val="en-US" w:eastAsia="zh-CN"/>
              </w:rPr>
              <w:t>本项目有组织污染物产排数据一览表</w:t>
            </w:r>
          </w:p>
          <w:tbl>
            <w:tblPr>
              <w:tblStyle w:val="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815"/>
              <w:gridCol w:w="664"/>
              <w:gridCol w:w="750"/>
              <w:gridCol w:w="871"/>
              <w:gridCol w:w="683"/>
              <w:gridCol w:w="2081"/>
              <w:gridCol w:w="713"/>
              <w:gridCol w:w="787"/>
              <w:gridCol w:w="731"/>
              <w:gridCol w:w="732"/>
              <w:gridCol w:w="731"/>
              <w:gridCol w:w="619"/>
              <w:gridCol w:w="731"/>
              <w:gridCol w:w="716"/>
              <w:gridCol w:w="615"/>
            </w:tblGrid>
            <w:tr w14:paraId="374EA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291" w:type="pct"/>
                  <w:vMerge w:val="restart"/>
                  <w:vAlign w:val="center"/>
                </w:tcPr>
                <w:p w14:paraId="17D36748">
                  <w:pPr>
                    <w:pStyle w:val="101"/>
                    <w:rPr>
                      <w:b/>
                      <w:bCs/>
                      <w:color w:val="auto"/>
                      <w:sz w:val="21"/>
                      <w:szCs w:val="21"/>
                    </w:rPr>
                  </w:pPr>
                  <w:r>
                    <w:rPr>
                      <w:b/>
                      <w:bCs/>
                      <w:color w:val="auto"/>
                      <w:sz w:val="21"/>
                      <w:szCs w:val="21"/>
                    </w:rPr>
                    <w:t>污染源</w:t>
                  </w:r>
                </w:p>
              </w:tc>
              <w:tc>
                <w:tcPr>
                  <w:tcW w:w="313" w:type="pct"/>
                  <w:vMerge w:val="restart"/>
                  <w:vAlign w:val="center"/>
                </w:tcPr>
                <w:p w14:paraId="1D184F11">
                  <w:pPr>
                    <w:pStyle w:val="101"/>
                    <w:rPr>
                      <w:b/>
                      <w:bCs/>
                      <w:color w:val="auto"/>
                      <w:sz w:val="21"/>
                      <w:szCs w:val="21"/>
                    </w:rPr>
                  </w:pPr>
                  <w:r>
                    <w:rPr>
                      <w:b/>
                      <w:bCs/>
                      <w:color w:val="auto"/>
                      <w:sz w:val="21"/>
                      <w:szCs w:val="21"/>
                    </w:rPr>
                    <w:t>污染物</w:t>
                  </w:r>
                </w:p>
              </w:tc>
              <w:tc>
                <w:tcPr>
                  <w:tcW w:w="879" w:type="pct"/>
                  <w:gridSpan w:val="3"/>
                  <w:vAlign w:val="center"/>
                </w:tcPr>
                <w:p w14:paraId="4136F9DA">
                  <w:pPr>
                    <w:pStyle w:val="101"/>
                    <w:rPr>
                      <w:b/>
                      <w:bCs/>
                      <w:color w:val="auto"/>
                      <w:sz w:val="21"/>
                      <w:szCs w:val="21"/>
                    </w:rPr>
                  </w:pPr>
                  <w:r>
                    <w:rPr>
                      <w:rFonts w:hint="eastAsia"/>
                      <w:b/>
                      <w:bCs/>
                      <w:color w:val="auto"/>
                      <w:sz w:val="21"/>
                      <w:szCs w:val="21"/>
                      <w:lang w:eastAsia="zh-CN"/>
                    </w:rPr>
                    <w:t>有组织</w:t>
                  </w:r>
                  <w:r>
                    <w:rPr>
                      <w:b/>
                      <w:bCs/>
                      <w:color w:val="auto"/>
                      <w:sz w:val="21"/>
                      <w:szCs w:val="21"/>
                    </w:rPr>
                    <w:t>污染物产生</w:t>
                  </w:r>
                </w:p>
              </w:tc>
              <w:tc>
                <w:tcPr>
                  <w:tcW w:w="262" w:type="pct"/>
                  <w:vMerge w:val="restart"/>
                  <w:vAlign w:val="center"/>
                </w:tcPr>
                <w:p w14:paraId="7B54BA37">
                  <w:pPr>
                    <w:pStyle w:val="101"/>
                    <w:rPr>
                      <w:rFonts w:hint="eastAsia"/>
                      <w:color w:val="auto"/>
                      <w:sz w:val="21"/>
                      <w:szCs w:val="21"/>
                      <w:lang w:eastAsia="zh-CN"/>
                    </w:rPr>
                  </w:pPr>
                  <w:r>
                    <w:rPr>
                      <w:rFonts w:hint="eastAsia"/>
                      <w:color w:val="auto"/>
                      <w:sz w:val="21"/>
                      <w:szCs w:val="21"/>
                      <w:lang w:eastAsia="zh-CN"/>
                    </w:rPr>
                    <w:t>排放形式</w:t>
                  </w:r>
                </w:p>
              </w:tc>
              <w:tc>
                <w:tcPr>
                  <w:tcW w:w="1940" w:type="pct"/>
                  <w:gridSpan w:val="5"/>
                  <w:vAlign w:val="center"/>
                </w:tcPr>
                <w:p w14:paraId="3EE7FCE9">
                  <w:pPr>
                    <w:pStyle w:val="101"/>
                    <w:rPr>
                      <w:b/>
                      <w:bCs/>
                      <w:color w:val="auto"/>
                      <w:sz w:val="21"/>
                      <w:szCs w:val="21"/>
                    </w:rPr>
                  </w:pPr>
                  <w:r>
                    <w:rPr>
                      <w:b/>
                      <w:bCs/>
                      <w:color w:val="auto"/>
                      <w:sz w:val="21"/>
                      <w:szCs w:val="21"/>
                    </w:rPr>
                    <w:t>治理措施</w:t>
                  </w:r>
                </w:p>
              </w:tc>
              <w:tc>
                <w:tcPr>
                  <w:tcW w:w="800" w:type="pct"/>
                  <w:gridSpan w:val="3"/>
                  <w:vAlign w:val="center"/>
                </w:tcPr>
                <w:p w14:paraId="47F0FFE1">
                  <w:pPr>
                    <w:pStyle w:val="101"/>
                    <w:rPr>
                      <w:b/>
                      <w:bCs/>
                      <w:color w:val="auto"/>
                      <w:sz w:val="21"/>
                      <w:szCs w:val="21"/>
                    </w:rPr>
                  </w:pPr>
                  <w:r>
                    <w:rPr>
                      <w:rFonts w:hint="eastAsia"/>
                      <w:b/>
                      <w:bCs/>
                      <w:color w:val="auto"/>
                      <w:sz w:val="21"/>
                      <w:szCs w:val="21"/>
                      <w:lang w:eastAsia="zh-CN"/>
                    </w:rPr>
                    <w:t>有组织</w:t>
                  </w:r>
                  <w:r>
                    <w:rPr>
                      <w:b/>
                      <w:bCs/>
                      <w:color w:val="auto"/>
                      <w:sz w:val="21"/>
                      <w:szCs w:val="21"/>
                    </w:rPr>
                    <w:t>污染物排放</w:t>
                  </w:r>
                </w:p>
              </w:tc>
              <w:tc>
                <w:tcPr>
                  <w:tcW w:w="512" w:type="pct"/>
                  <w:gridSpan w:val="2"/>
                  <w:vAlign w:val="center"/>
                </w:tcPr>
                <w:p w14:paraId="6996D7DF">
                  <w:pPr>
                    <w:pStyle w:val="101"/>
                    <w:rPr>
                      <w:rFonts w:hint="eastAsia" w:eastAsia="宋体"/>
                      <w:b/>
                      <w:bCs/>
                      <w:color w:val="auto"/>
                      <w:sz w:val="21"/>
                      <w:szCs w:val="21"/>
                      <w:lang w:eastAsia="zh-CN"/>
                    </w:rPr>
                  </w:pPr>
                  <w:r>
                    <w:rPr>
                      <w:rFonts w:hint="eastAsia"/>
                      <w:b/>
                      <w:bCs/>
                      <w:color w:val="auto"/>
                      <w:sz w:val="21"/>
                      <w:szCs w:val="21"/>
                      <w:lang w:eastAsia="zh-CN"/>
                    </w:rPr>
                    <w:t>标准值</w:t>
                  </w:r>
                </w:p>
              </w:tc>
            </w:tr>
            <w:tr w14:paraId="1DD34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291" w:type="pct"/>
                  <w:vMerge w:val="continue"/>
                  <w:vAlign w:val="center"/>
                </w:tcPr>
                <w:p w14:paraId="0446415D">
                  <w:pPr>
                    <w:pStyle w:val="101"/>
                    <w:rPr>
                      <w:b/>
                      <w:bCs/>
                      <w:color w:val="auto"/>
                      <w:sz w:val="21"/>
                      <w:szCs w:val="21"/>
                    </w:rPr>
                  </w:pPr>
                </w:p>
              </w:tc>
              <w:tc>
                <w:tcPr>
                  <w:tcW w:w="313" w:type="pct"/>
                  <w:vMerge w:val="continue"/>
                  <w:vAlign w:val="center"/>
                </w:tcPr>
                <w:p w14:paraId="16C744C2">
                  <w:pPr>
                    <w:pStyle w:val="101"/>
                    <w:rPr>
                      <w:b/>
                      <w:bCs/>
                      <w:color w:val="auto"/>
                      <w:sz w:val="21"/>
                      <w:szCs w:val="21"/>
                    </w:rPr>
                  </w:pPr>
                </w:p>
              </w:tc>
              <w:tc>
                <w:tcPr>
                  <w:tcW w:w="255" w:type="pct"/>
                  <w:vAlign w:val="center"/>
                </w:tcPr>
                <w:p w14:paraId="05ED092E">
                  <w:pPr>
                    <w:pStyle w:val="101"/>
                    <w:rPr>
                      <w:rFonts w:hint="default" w:eastAsia="宋体"/>
                      <w:b/>
                      <w:bCs/>
                      <w:color w:val="auto"/>
                      <w:sz w:val="21"/>
                      <w:szCs w:val="21"/>
                      <w:lang w:val="en-US" w:eastAsia="zh-CN"/>
                    </w:rPr>
                  </w:pPr>
                  <w:r>
                    <w:rPr>
                      <w:rFonts w:hint="eastAsia"/>
                      <w:b/>
                      <w:bCs/>
                      <w:color w:val="auto"/>
                      <w:sz w:val="21"/>
                      <w:szCs w:val="21"/>
                      <w:lang w:eastAsia="zh-CN"/>
                    </w:rPr>
                    <w:t>产生量</w:t>
                  </w:r>
                  <w:r>
                    <w:rPr>
                      <w:rFonts w:hint="eastAsia"/>
                      <w:b/>
                      <w:bCs/>
                      <w:color w:val="auto"/>
                      <w:sz w:val="21"/>
                      <w:szCs w:val="21"/>
                      <w:lang w:val="en-US" w:eastAsia="zh-CN"/>
                    </w:rPr>
                    <w:t>t/a</w:t>
                  </w:r>
                </w:p>
              </w:tc>
              <w:tc>
                <w:tcPr>
                  <w:tcW w:w="288" w:type="pct"/>
                  <w:vAlign w:val="center"/>
                </w:tcPr>
                <w:p w14:paraId="2DC4902C">
                  <w:pPr>
                    <w:pStyle w:val="101"/>
                    <w:rPr>
                      <w:b/>
                      <w:bCs/>
                      <w:color w:val="auto"/>
                      <w:sz w:val="21"/>
                      <w:szCs w:val="21"/>
                    </w:rPr>
                  </w:pPr>
                  <w:r>
                    <w:rPr>
                      <w:b/>
                      <w:bCs/>
                      <w:color w:val="auto"/>
                      <w:sz w:val="21"/>
                      <w:szCs w:val="21"/>
                    </w:rPr>
                    <w:t>速率kg/h</w:t>
                  </w:r>
                </w:p>
              </w:tc>
              <w:tc>
                <w:tcPr>
                  <w:tcW w:w="335" w:type="pct"/>
                  <w:vAlign w:val="center"/>
                </w:tcPr>
                <w:p w14:paraId="1422A9A6">
                  <w:pPr>
                    <w:pStyle w:val="101"/>
                    <w:rPr>
                      <w:b/>
                      <w:bCs/>
                      <w:color w:val="auto"/>
                      <w:sz w:val="21"/>
                      <w:szCs w:val="21"/>
                    </w:rPr>
                  </w:pPr>
                  <w:r>
                    <w:rPr>
                      <w:b/>
                      <w:bCs/>
                      <w:color w:val="auto"/>
                      <w:sz w:val="21"/>
                      <w:szCs w:val="21"/>
                    </w:rPr>
                    <w:t>浓度mg/m</w:t>
                  </w:r>
                  <w:r>
                    <w:rPr>
                      <w:b/>
                      <w:bCs/>
                      <w:color w:val="auto"/>
                      <w:sz w:val="21"/>
                      <w:szCs w:val="21"/>
                      <w:vertAlign w:val="superscript"/>
                    </w:rPr>
                    <w:t>3</w:t>
                  </w:r>
                </w:p>
              </w:tc>
              <w:tc>
                <w:tcPr>
                  <w:tcW w:w="262" w:type="pct"/>
                  <w:vMerge w:val="continue"/>
                  <w:vAlign w:val="center"/>
                </w:tcPr>
                <w:p w14:paraId="64100887">
                  <w:pPr>
                    <w:pStyle w:val="101"/>
                    <w:rPr>
                      <w:color w:val="auto"/>
                      <w:sz w:val="21"/>
                      <w:szCs w:val="21"/>
                    </w:rPr>
                  </w:pPr>
                </w:p>
              </w:tc>
              <w:tc>
                <w:tcPr>
                  <w:tcW w:w="800" w:type="pct"/>
                  <w:vAlign w:val="center"/>
                </w:tcPr>
                <w:p w14:paraId="0C7531A1">
                  <w:pPr>
                    <w:keepNext w:val="0"/>
                    <w:keepLines w:val="0"/>
                    <w:pageBreakBefore w:val="0"/>
                    <w:kinsoku/>
                    <w:wordWrap/>
                    <w:overflowPunct/>
                    <w:topLinePunct w:val="0"/>
                    <w:bidi w:val="0"/>
                    <w:adjustRightInd w:val="0"/>
                    <w:snapToGrid/>
                    <w:ind w:left="0" w:leftChars="0"/>
                    <w:jc w:val="center"/>
                    <w:rPr>
                      <w:color w:val="auto"/>
                      <w:sz w:val="21"/>
                      <w:szCs w:val="21"/>
                    </w:rPr>
                  </w:pPr>
                  <w:r>
                    <w:rPr>
                      <w:rFonts w:hint="eastAsia"/>
                      <w:b/>
                      <w:bCs/>
                      <w:color w:val="auto"/>
                      <w:szCs w:val="21"/>
                      <w:lang w:eastAsia="zh-CN"/>
                    </w:rPr>
                    <w:t>治理措施</w:t>
                  </w:r>
                </w:p>
              </w:tc>
              <w:tc>
                <w:tcPr>
                  <w:tcW w:w="274" w:type="pct"/>
                  <w:vAlign w:val="center"/>
                </w:tcPr>
                <w:p w14:paraId="0E7BB028">
                  <w:pPr>
                    <w:keepNext w:val="0"/>
                    <w:keepLines w:val="0"/>
                    <w:pageBreakBefore w:val="0"/>
                    <w:kinsoku/>
                    <w:wordWrap/>
                    <w:overflowPunct/>
                    <w:topLinePunct w:val="0"/>
                    <w:bidi w:val="0"/>
                    <w:adjustRightInd w:val="0"/>
                    <w:snapToGrid/>
                    <w:ind w:left="0" w:leftChars="0"/>
                    <w:jc w:val="center"/>
                    <w:rPr>
                      <w:rFonts w:hint="eastAsia" w:ascii="宋体" w:hAnsi="宋体" w:eastAsia="宋体" w:cs="宋体"/>
                      <w:b/>
                      <w:bCs/>
                      <w:color w:val="auto"/>
                      <w:lang w:eastAsia="zh-CN"/>
                    </w:rPr>
                  </w:pPr>
                  <w:r>
                    <w:rPr>
                      <w:rFonts w:hint="eastAsia" w:ascii="宋体" w:hAnsi="宋体" w:eastAsia="宋体" w:cs="宋体"/>
                      <w:b/>
                      <w:bCs/>
                      <w:color w:val="auto"/>
                      <w:lang w:eastAsia="zh-CN"/>
                    </w:rPr>
                    <w:t>风量</w:t>
                  </w:r>
                </w:p>
                <w:p w14:paraId="078AE3EF">
                  <w:pPr>
                    <w:pStyle w:val="14"/>
                    <w:keepNext w:val="0"/>
                    <w:keepLines w:val="0"/>
                    <w:pageBreakBefore w:val="0"/>
                    <w:kinsoku/>
                    <w:wordWrap/>
                    <w:overflowPunct/>
                    <w:topLinePunct w:val="0"/>
                    <w:bidi w:val="0"/>
                    <w:snapToGrid/>
                    <w:spacing w:before="0"/>
                    <w:ind w:left="0" w:leftChars="0" w:right="113" w:rightChars="0"/>
                    <w:jc w:val="center"/>
                    <w:rPr>
                      <w:color w:val="auto"/>
                      <w:sz w:val="21"/>
                      <w:szCs w:val="21"/>
                    </w:rPr>
                  </w:pPr>
                  <w:r>
                    <w:rPr>
                      <w:rFonts w:hint="eastAsia" w:ascii="宋体" w:hAnsi="宋体" w:eastAsia="宋体" w:cs="宋体"/>
                      <w:b/>
                      <w:bCs/>
                      <w:color w:val="auto"/>
                      <w:sz w:val="21"/>
                      <w:szCs w:val="21"/>
                    </w:rPr>
                    <w:t>（m</w:t>
                  </w:r>
                  <w:r>
                    <w:rPr>
                      <w:rFonts w:hint="eastAsia" w:ascii="宋体" w:hAnsi="宋体" w:eastAsia="宋体" w:cs="宋体"/>
                      <w:b/>
                      <w:bCs/>
                      <w:color w:val="auto"/>
                      <w:sz w:val="21"/>
                      <w:szCs w:val="21"/>
                      <w:vertAlign w:val="superscript"/>
                    </w:rPr>
                    <w:t>3</w:t>
                  </w:r>
                  <w:r>
                    <w:rPr>
                      <w:rFonts w:hint="eastAsia" w:ascii="宋体" w:hAnsi="宋体" w:eastAsia="宋体" w:cs="宋体"/>
                      <w:b/>
                      <w:bCs/>
                      <w:color w:val="auto"/>
                      <w:sz w:val="21"/>
                      <w:szCs w:val="21"/>
                    </w:rPr>
                    <w:t>/h）</w:t>
                  </w:r>
                </w:p>
              </w:tc>
              <w:tc>
                <w:tcPr>
                  <w:tcW w:w="302" w:type="pct"/>
                  <w:vAlign w:val="center"/>
                </w:tcPr>
                <w:p w14:paraId="59F8D0CB">
                  <w:pPr>
                    <w:keepNext w:val="0"/>
                    <w:keepLines w:val="0"/>
                    <w:pageBreakBefore w:val="0"/>
                    <w:kinsoku/>
                    <w:wordWrap/>
                    <w:overflowPunct/>
                    <w:topLinePunct w:val="0"/>
                    <w:bidi w:val="0"/>
                    <w:snapToGrid/>
                    <w:ind w:left="0" w:leftChars="0"/>
                    <w:jc w:val="center"/>
                    <w:rPr>
                      <w:color w:val="auto"/>
                      <w:sz w:val="21"/>
                      <w:szCs w:val="21"/>
                    </w:rPr>
                  </w:pPr>
                  <w:r>
                    <w:rPr>
                      <w:b/>
                      <w:bCs/>
                      <w:color w:val="auto"/>
                      <w:szCs w:val="21"/>
                    </w:rPr>
                    <w:t>收集效率（%）</w:t>
                  </w:r>
                </w:p>
              </w:tc>
              <w:tc>
                <w:tcPr>
                  <w:tcW w:w="281" w:type="pct"/>
                  <w:vAlign w:val="center"/>
                </w:tcPr>
                <w:p w14:paraId="0AB02F61">
                  <w:pPr>
                    <w:keepNext w:val="0"/>
                    <w:keepLines w:val="0"/>
                    <w:pageBreakBefore w:val="0"/>
                    <w:kinsoku/>
                    <w:wordWrap/>
                    <w:overflowPunct/>
                    <w:topLinePunct w:val="0"/>
                    <w:bidi w:val="0"/>
                    <w:snapToGrid/>
                    <w:ind w:left="0" w:leftChars="0"/>
                    <w:jc w:val="center"/>
                    <w:rPr>
                      <w:color w:val="auto"/>
                      <w:sz w:val="21"/>
                      <w:szCs w:val="21"/>
                    </w:rPr>
                  </w:pPr>
                  <w:r>
                    <w:rPr>
                      <w:b/>
                      <w:bCs/>
                      <w:color w:val="auto"/>
                      <w:szCs w:val="21"/>
                    </w:rPr>
                    <w:t>去除效率（%）</w:t>
                  </w:r>
                </w:p>
              </w:tc>
              <w:tc>
                <w:tcPr>
                  <w:tcW w:w="281" w:type="pct"/>
                  <w:vAlign w:val="center"/>
                </w:tcPr>
                <w:p w14:paraId="59C41FCE">
                  <w:pPr>
                    <w:keepNext w:val="0"/>
                    <w:keepLines w:val="0"/>
                    <w:pageBreakBefore w:val="0"/>
                    <w:kinsoku/>
                    <w:wordWrap/>
                    <w:overflowPunct/>
                    <w:topLinePunct w:val="0"/>
                    <w:bidi w:val="0"/>
                    <w:snapToGrid/>
                    <w:ind w:left="0" w:leftChars="0"/>
                    <w:jc w:val="center"/>
                    <w:rPr>
                      <w:color w:val="auto"/>
                      <w:sz w:val="21"/>
                      <w:szCs w:val="21"/>
                    </w:rPr>
                  </w:pPr>
                  <w:r>
                    <w:rPr>
                      <w:b/>
                      <w:bCs/>
                      <w:color w:val="auto"/>
                      <w:szCs w:val="21"/>
                    </w:rPr>
                    <w:t>是否可行技术</w:t>
                  </w:r>
                </w:p>
              </w:tc>
              <w:tc>
                <w:tcPr>
                  <w:tcW w:w="281" w:type="pct"/>
                  <w:vAlign w:val="center"/>
                </w:tcPr>
                <w:p w14:paraId="4A2F7EB1">
                  <w:pPr>
                    <w:pStyle w:val="101"/>
                    <w:rPr>
                      <w:rFonts w:hint="default" w:ascii="Calibri" w:hAnsi="Calibri" w:eastAsia="宋体" w:cs="Times New Roman"/>
                      <w:b/>
                      <w:bCs/>
                      <w:color w:val="auto"/>
                      <w:kern w:val="2"/>
                      <w:sz w:val="21"/>
                      <w:szCs w:val="21"/>
                      <w:lang w:val="en-US" w:eastAsia="zh-CN" w:bidi="ar-SA"/>
                    </w:rPr>
                  </w:pPr>
                  <w:r>
                    <w:rPr>
                      <w:rFonts w:hint="eastAsia"/>
                      <w:b/>
                      <w:bCs/>
                      <w:color w:val="auto"/>
                      <w:sz w:val="21"/>
                      <w:szCs w:val="21"/>
                      <w:lang w:eastAsia="zh-CN"/>
                    </w:rPr>
                    <w:t>排放量</w:t>
                  </w:r>
                  <w:r>
                    <w:rPr>
                      <w:rFonts w:hint="eastAsia"/>
                      <w:b/>
                      <w:bCs/>
                      <w:color w:val="auto"/>
                      <w:sz w:val="21"/>
                      <w:szCs w:val="21"/>
                      <w:lang w:val="en-US" w:eastAsia="zh-CN"/>
                    </w:rPr>
                    <w:t>t/a</w:t>
                  </w:r>
                </w:p>
              </w:tc>
              <w:tc>
                <w:tcPr>
                  <w:tcW w:w="238" w:type="pct"/>
                  <w:shd w:val="clear" w:color="auto" w:fill="auto"/>
                  <w:vAlign w:val="center"/>
                </w:tcPr>
                <w:p w14:paraId="46BCB436">
                  <w:pPr>
                    <w:pStyle w:val="101"/>
                    <w:rPr>
                      <w:rFonts w:ascii="Calibri" w:hAnsi="Calibri" w:eastAsia="宋体" w:cs="Times New Roman"/>
                      <w:b/>
                      <w:bCs/>
                      <w:color w:val="auto"/>
                      <w:kern w:val="2"/>
                      <w:sz w:val="21"/>
                      <w:szCs w:val="21"/>
                      <w:lang w:val="en-US" w:eastAsia="zh-CN" w:bidi="ar-SA"/>
                    </w:rPr>
                  </w:pPr>
                  <w:r>
                    <w:rPr>
                      <w:b/>
                      <w:bCs/>
                      <w:color w:val="auto"/>
                      <w:sz w:val="21"/>
                      <w:szCs w:val="21"/>
                    </w:rPr>
                    <w:t>速率kg/h</w:t>
                  </w:r>
                </w:p>
              </w:tc>
              <w:tc>
                <w:tcPr>
                  <w:tcW w:w="281" w:type="pct"/>
                  <w:shd w:val="clear" w:color="auto" w:fill="auto"/>
                  <w:vAlign w:val="center"/>
                </w:tcPr>
                <w:p w14:paraId="23A2C0E0">
                  <w:pPr>
                    <w:pStyle w:val="101"/>
                    <w:rPr>
                      <w:rFonts w:ascii="Calibri" w:hAnsi="Calibri" w:eastAsia="宋体" w:cs="Times New Roman"/>
                      <w:b/>
                      <w:bCs/>
                      <w:color w:val="auto"/>
                      <w:kern w:val="2"/>
                      <w:sz w:val="21"/>
                      <w:szCs w:val="21"/>
                      <w:lang w:val="en-US" w:eastAsia="zh-CN" w:bidi="ar-SA"/>
                    </w:rPr>
                  </w:pPr>
                  <w:r>
                    <w:rPr>
                      <w:b/>
                      <w:bCs/>
                      <w:color w:val="auto"/>
                      <w:sz w:val="21"/>
                      <w:szCs w:val="21"/>
                    </w:rPr>
                    <w:t>浓度mg/m</w:t>
                  </w:r>
                  <w:r>
                    <w:rPr>
                      <w:b/>
                      <w:bCs/>
                      <w:color w:val="auto"/>
                      <w:sz w:val="21"/>
                      <w:szCs w:val="21"/>
                      <w:vertAlign w:val="superscript"/>
                    </w:rPr>
                    <w:t>3</w:t>
                  </w:r>
                </w:p>
              </w:tc>
              <w:tc>
                <w:tcPr>
                  <w:tcW w:w="275" w:type="pct"/>
                  <w:vAlign w:val="center"/>
                </w:tcPr>
                <w:p w14:paraId="3D8EB245">
                  <w:pPr>
                    <w:pStyle w:val="117"/>
                    <w:keepNext w:val="0"/>
                    <w:keepLines w:val="0"/>
                    <w:pageBreakBefore w:val="0"/>
                    <w:kinsoku/>
                    <w:wordWrap/>
                    <w:overflowPunct/>
                    <w:topLinePunct w:val="0"/>
                    <w:bidi w:val="0"/>
                    <w:snapToGrid/>
                    <w:spacing w:before="0"/>
                    <w:ind w:left="0" w:leftChars="0"/>
                    <w:jc w:val="center"/>
                    <w:rPr>
                      <w:color w:val="auto"/>
                      <w:sz w:val="21"/>
                      <w:szCs w:val="21"/>
                    </w:rPr>
                  </w:pPr>
                  <w:r>
                    <w:rPr>
                      <w:rFonts w:hint="eastAsia"/>
                      <w:b/>
                      <w:bCs/>
                      <w:color w:val="auto"/>
                      <w:sz w:val="21"/>
                      <w:szCs w:val="21"/>
                    </w:rPr>
                    <w:t>排放浓度</w:t>
                  </w:r>
                  <w:r>
                    <w:rPr>
                      <w:rFonts w:hint="eastAsia"/>
                      <w:b/>
                      <w:bCs/>
                      <w:color w:val="auto"/>
                      <w:sz w:val="21"/>
                      <w:szCs w:val="21"/>
                      <w:lang w:val="en-US" w:eastAsia="zh-CN"/>
                    </w:rPr>
                    <w:t>mg/cm</w:t>
                  </w:r>
                  <w:r>
                    <w:rPr>
                      <w:rFonts w:hint="eastAsia"/>
                      <w:b/>
                      <w:bCs/>
                      <w:color w:val="auto"/>
                      <w:sz w:val="21"/>
                      <w:szCs w:val="21"/>
                      <w:vertAlign w:val="superscript"/>
                      <w:lang w:val="en-US" w:eastAsia="zh-CN"/>
                    </w:rPr>
                    <w:t>3</w:t>
                  </w:r>
                </w:p>
              </w:tc>
              <w:tc>
                <w:tcPr>
                  <w:tcW w:w="236" w:type="pct"/>
                  <w:vAlign w:val="center"/>
                </w:tcPr>
                <w:p w14:paraId="12E241BF">
                  <w:pPr>
                    <w:keepNext w:val="0"/>
                    <w:keepLines w:val="0"/>
                    <w:pageBreakBefore w:val="0"/>
                    <w:kinsoku/>
                    <w:wordWrap/>
                    <w:overflowPunct/>
                    <w:topLinePunct w:val="0"/>
                    <w:bidi w:val="0"/>
                    <w:adjustRightInd w:val="0"/>
                    <w:snapToGrid/>
                    <w:ind w:left="0" w:leftChars="0"/>
                    <w:jc w:val="center"/>
                    <w:rPr>
                      <w:color w:val="auto"/>
                      <w:sz w:val="21"/>
                      <w:szCs w:val="21"/>
                    </w:rPr>
                  </w:pPr>
                  <w:r>
                    <w:rPr>
                      <w:rFonts w:hint="eastAsia"/>
                      <w:b/>
                      <w:bCs/>
                      <w:color w:val="auto"/>
                      <w:sz w:val="21"/>
                      <w:szCs w:val="21"/>
                      <w:lang w:val="en-US" w:eastAsia="zh-CN"/>
                    </w:rPr>
                    <w:t>排放速率</w:t>
                  </w:r>
                  <w:r>
                    <w:rPr>
                      <w:rFonts w:hint="eastAsia"/>
                      <w:b/>
                      <w:bCs/>
                      <w:color w:val="auto"/>
                      <w:sz w:val="21"/>
                      <w:szCs w:val="21"/>
                    </w:rPr>
                    <w:t>kg/h</w:t>
                  </w:r>
                </w:p>
              </w:tc>
            </w:tr>
            <w:tr w14:paraId="6F8AC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291" w:type="pct"/>
                  <w:vMerge w:val="restart"/>
                  <w:vAlign w:val="center"/>
                </w:tcPr>
                <w:p w14:paraId="06B3F870">
                  <w:pPr>
                    <w:pStyle w:val="101"/>
                    <w:rPr>
                      <w:rFonts w:hint="eastAsia" w:eastAsia="宋体"/>
                      <w:color w:val="auto"/>
                      <w:sz w:val="21"/>
                      <w:szCs w:val="21"/>
                      <w:lang w:eastAsia="zh-CN"/>
                    </w:rPr>
                  </w:pPr>
                  <w:r>
                    <w:rPr>
                      <w:rFonts w:hint="eastAsia"/>
                      <w:color w:val="auto"/>
                      <w:sz w:val="21"/>
                      <w:szCs w:val="21"/>
                      <w:lang w:eastAsia="zh-CN"/>
                    </w:rPr>
                    <w:t>餐厨垃圾、废油处理</w:t>
                  </w:r>
                </w:p>
              </w:tc>
              <w:tc>
                <w:tcPr>
                  <w:tcW w:w="313" w:type="pct"/>
                  <w:vAlign w:val="center"/>
                </w:tcPr>
                <w:p w14:paraId="013CE7D7">
                  <w:pPr>
                    <w:pStyle w:val="101"/>
                    <w:rPr>
                      <w:rFonts w:hint="eastAsia"/>
                      <w:color w:val="auto"/>
                      <w:sz w:val="21"/>
                      <w:szCs w:val="21"/>
                    </w:rPr>
                  </w:pPr>
                  <w:r>
                    <w:rPr>
                      <w:rFonts w:hint="eastAsia"/>
                      <w:color w:val="auto"/>
                      <w:sz w:val="21"/>
                      <w:szCs w:val="21"/>
                    </w:rPr>
                    <w:t>非甲烷总烃</w:t>
                  </w:r>
                </w:p>
              </w:tc>
              <w:tc>
                <w:tcPr>
                  <w:tcW w:w="255" w:type="pct"/>
                  <w:vAlign w:val="center"/>
                </w:tcPr>
                <w:p w14:paraId="0E95D904">
                  <w:pPr>
                    <w:pStyle w:val="101"/>
                    <w:rPr>
                      <w:rFonts w:hint="default"/>
                      <w:color w:val="auto"/>
                      <w:sz w:val="21"/>
                      <w:szCs w:val="21"/>
                      <w:lang w:val="en-US" w:eastAsia="zh-CN"/>
                    </w:rPr>
                  </w:pPr>
                  <w:r>
                    <w:rPr>
                      <w:rFonts w:hint="eastAsia"/>
                      <w:color w:val="auto"/>
                      <w:sz w:val="21"/>
                      <w:szCs w:val="21"/>
                      <w:lang w:val="en-US" w:eastAsia="zh-CN"/>
                    </w:rPr>
                    <w:t>7.125</w:t>
                  </w:r>
                </w:p>
              </w:tc>
              <w:tc>
                <w:tcPr>
                  <w:tcW w:w="288" w:type="pct"/>
                  <w:vAlign w:val="center"/>
                </w:tcPr>
                <w:p w14:paraId="281E4CAF">
                  <w:pPr>
                    <w:pStyle w:val="101"/>
                    <w:rPr>
                      <w:rFonts w:hint="default"/>
                      <w:color w:val="auto"/>
                      <w:sz w:val="21"/>
                      <w:szCs w:val="21"/>
                      <w:lang w:val="en-US" w:eastAsia="zh-CN"/>
                    </w:rPr>
                  </w:pPr>
                  <w:r>
                    <w:rPr>
                      <w:rFonts w:hint="eastAsia"/>
                      <w:color w:val="auto"/>
                      <w:sz w:val="21"/>
                      <w:szCs w:val="21"/>
                      <w:lang w:val="en-US" w:eastAsia="zh-CN"/>
                    </w:rPr>
                    <w:t>2.699</w:t>
                  </w:r>
                </w:p>
              </w:tc>
              <w:tc>
                <w:tcPr>
                  <w:tcW w:w="335" w:type="pct"/>
                  <w:vAlign w:val="center"/>
                </w:tcPr>
                <w:p w14:paraId="6BCECB00">
                  <w:pPr>
                    <w:pStyle w:val="101"/>
                    <w:rPr>
                      <w:rFonts w:hint="default"/>
                      <w:color w:val="auto"/>
                      <w:sz w:val="21"/>
                      <w:szCs w:val="21"/>
                      <w:lang w:val="en-US" w:eastAsia="zh-CN"/>
                    </w:rPr>
                  </w:pPr>
                  <w:r>
                    <w:rPr>
                      <w:rFonts w:hint="eastAsia"/>
                      <w:color w:val="auto"/>
                      <w:sz w:val="21"/>
                      <w:szCs w:val="21"/>
                      <w:lang w:val="en-US" w:eastAsia="zh-CN"/>
                    </w:rPr>
                    <w:t>134.95</w:t>
                  </w:r>
                </w:p>
              </w:tc>
              <w:tc>
                <w:tcPr>
                  <w:tcW w:w="262" w:type="pct"/>
                  <w:vMerge w:val="restart"/>
                  <w:vAlign w:val="center"/>
                </w:tcPr>
                <w:p w14:paraId="360BA116">
                  <w:pPr>
                    <w:pStyle w:val="101"/>
                    <w:rPr>
                      <w:rFonts w:hint="eastAsia"/>
                      <w:color w:val="auto"/>
                      <w:sz w:val="21"/>
                      <w:szCs w:val="21"/>
                      <w:lang w:val="en-US" w:eastAsia="zh-CN"/>
                    </w:rPr>
                  </w:pPr>
                  <w:r>
                    <w:rPr>
                      <w:rFonts w:hint="eastAsia"/>
                      <w:color w:val="auto"/>
                      <w:sz w:val="21"/>
                      <w:szCs w:val="21"/>
                      <w:lang w:val="en-US" w:eastAsia="zh-CN"/>
                    </w:rPr>
                    <w:t>有组织</w:t>
                  </w:r>
                </w:p>
              </w:tc>
              <w:tc>
                <w:tcPr>
                  <w:tcW w:w="800" w:type="pct"/>
                  <w:vMerge w:val="restart"/>
                  <w:vAlign w:val="center"/>
                </w:tcPr>
                <w:p w14:paraId="7E754D08">
                  <w:pPr>
                    <w:pStyle w:val="101"/>
                    <w:rPr>
                      <w:rFonts w:hint="eastAsia"/>
                      <w:color w:val="auto"/>
                      <w:sz w:val="21"/>
                      <w:szCs w:val="21"/>
                      <w:lang w:eastAsia="zh-CN"/>
                    </w:rPr>
                  </w:pPr>
                  <w:r>
                    <w:rPr>
                      <w:rFonts w:hint="eastAsia"/>
                      <w:color w:val="auto"/>
                      <w:sz w:val="21"/>
                      <w:szCs w:val="21"/>
                      <w:lang w:eastAsia="zh-CN"/>
                    </w:rPr>
                    <w:t>生产车间加热罐、三相分离设备的废气经油雾净化器</w:t>
                  </w:r>
                  <w:r>
                    <w:rPr>
                      <w:rFonts w:hint="eastAsia"/>
                      <w:color w:val="auto"/>
                      <w:sz w:val="21"/>
                      <w:szCs w:val="21"/>
                      <w:lang w:val="en-US" w:eastAsia="zh-CN"/>
                    </w:rPr>
                    <w:t>+</w:t>
                  </w:r>
                  <w:r>
                    <w:rPr>
                      <w:rFonts w:hint="eastAsia" w:cs="Times New Roman"/>
                      <w:color w:val="auto"/>
                      <w:sz w:val="21"/>
                      <w:szCs w:val="21"/>
                      <w:lang w:val="en-US" w:eastAsia="zh-CN"/>
                    </w:rPr>
                    <w:t>管式热交换器</w:t>
                  </w:r>
                  <w:r>
                    <w:rPr>
                      <w:rFonts w:hint="eastAsia" w:cs="Times New Roman"/>
                      <w:color w:val="auto"/>
                      <w:sz w:val="21"/>
                      <w:szCs w:val="21"/>
                      <w:lang w:eastAsia="zh-CN"/>
                    </w:rPr>
                    <w:t>处</w:t>
                  </w:r>
                  <w:r>
                    <w:rPr>
                      <w:rFonts w:hint="eastAsia"/>
                      <w:color w:val="auto"/>
                      <w:sz w:val="21"/>
                      <w:szCs w:val="21"/>
                      <w:lang w:eastAsia="zh-CN"/>
                    </w:rPr>
                    <w:t>理后，汇同车间其他废气、储罐废气进入酸洗+碱洗+次氯酸钠洗</w:t>
                  </w:r>
                  <w:r>
                    <w:rPr>
                      <w:rFonts w:hint="eastAsia"/>
                      <w:color w:val="auto"/>
                      <w:sz w:val="21"/>
                      <w:szCs w:val="21"/>
                      <w:lang w:val="en-US" w:eastAsia="zh-CN"/>
                    </w:rPr>
                    <w:t>+干式过滤器+一级活性炭</w:t>
                  </w:r>
                  <w:r>
                    <w:rPr>
                      <w:rFonts w:hint="eastAsia"/>
                      <w:color w:val="auto"/>
                      <w:sz w:val="21"/>
                      <w:szCs w:val="21"/>
                      <w:lang w:eastAsia="zh-CN"/>
                    </w:rPr>
                    <w:t>处理后通过排气筒（DA001）排放</w:t>
                  </w:r>
                </w:p>
              </w:tc>
              <w:tc>
                <w:tcPr>
                  <w:tcW w:w="274" w:type="pct"/>
                  <w:vMerge w:val="restart"/>
                  <w:vAlign w:val="center"/>
                </w:tcPr>
                <w:p w14:paraId="622D91D8">
                  <w:pPr>
                    <w:pStyle w:val="101"/>
                    <w:rPr>
                      <w:rFonts w:hint="default"/>
                      <w:color w:val="auto"/>
                      <w:sz w:val="21"/>
                      <w:szCs w:val="21"/>
                      <w:lang w:val="en-US" w:eastAsia="zh-CN"/>
                    </w:rPr>
                  </w:pPr>
                  <w:r>
                    <w:rPr>
                      <w:rFonts w:hint="eastAsia"/>
                      <w:color w:val="auto"/>
                      <w:sz w:val="21"/>
                      <w:szCs w:val="21"/>
                      <w:lang w:val="en-US" w:eastAsia="zh-CN"/>
                    </w:rPr>
                    <w:t>20000</w:t>
                  </w:r>
                </w:p>
              </w:tc>
              <w:tc>
                <w:tcPr>
                  <w:tcW w:w="302" w:type="pct"/>
                  <w:vMerge w:val="restart"/>
                  <w:vAlign w:val="center"/>
                </w:tcPr>
                <w:p w14:paraId="256BE676">
                  <w:pPr>
                    <w:pStyle w:val="101"/>
                    <w:rPr>
                      <w:rFonts w:hint="default"/>
                      <w:color w:val="auto"/>
                      <w:sz w:val="21"/>
                      <w:szCs w:val="21"/>
                      <w:lang w:val="en-US" w:eastAsia="zh-CN"/>
                    </w:rPr>
                  </w:pPr>
                  <w:r>
                    <w:rPr>
                      <w:rFonts w:hint="eastAsia"/>
                      <w:color w:val="auto"/>
                      <w:sz w:val="21"/>
                      <w:szCs w:val="21"/>
                      <w:lang w:val="en-US" w:eastAsia="zh-CN"/>
                    </w:rPr>
                    <w:t>95</w:t>
                  </w:r>
                </w:p>
              </w:tc>
              <w:tc>
                <w:tcPr>
                  <w:tcW w:w="281" w:type="pct"/>
                  <w:vMerge w:val="restart"/>
                  <w:vAlign w:val="center"/>
                </w:tcPr>
                <w:p w14:paraId="3A8CA078">
                  <w:pPr>
                    <w:pStyle w:val="101"/>
                    <w:rPr>
                      <w:rFonts w:hint="default"/>
                      <w:color w:val="auto"/>
                      <w:sz w:val="21"/>
                      <w:szCs w:val="21"/>
                      <w:lang w:val="en-US" w:eastAsia="zh-CN"/>
                    </w:rPr>
                  </w:pPr>
                  <w:r>
                    <w:rPr>
                      <w:rFonts w:hint="eastAsia"/>
                      <w:color w:val="auto"/>
                      <w:sz w:val="21"/>
                      <w:szCs w:val="21"/>
                      <w:lang w:val="en-US" w:eastAsia="zh-CN"/>
                    </w:rPr>
                    <w:t>90</w:t>
                  </w:r>
                </w:p>
              </w:tc>
              <w:tc>
                <w:tcPr>
                  <w:tcW w:w="281" w:type="pct"/>
                  <w:vMerge w:val="restart"/>
                  <w:vAlign w:val="center"/>
                </w:tcPr>
                <w:p w14:paraId="741D0BF8">
                  <w:pPr>
                    <w:pStyle w:val="101"/>
                    <w:rPr>
                      <w:rFonts w:hint="eastAsia"/>
                      <w:color w:val="auto"/>
                      <w:sz w:val="21"/>
                      <w:szCs w:val="21"/>
                      <w:lang w:val="en-US" w:eastAsia="zh-CN"/>
                    </w:rPr>
                  </w:pPr>
                  <w:r>
                    <w:rPr>
                      <w:rFonts w:hint="eastAsia"/>
                      <w:color w:val="auto"/>
                      <w:sz w:val="21"/>
                      <w:szCs w:val="21"/>
                      <w:lang w:val="en-US" w:eastAsia="zh-CN"/>
                    </w:rPr>
                    <w:t>是</w:t>
                  </w:r>
                </w:p>
              </w:tc>
              <w:tc>
                <w:tcPr>
                  <w:tcW w:w="281" w:type="pct"/>
                  <w:vAlign w:val="center"/>
                </w:tcPr>
                <w:p w14:paraId="73997188">
                  <w:pPr>
                    <w:pStyle w:val="101"/>
                    <w:rPr>
                      <w:rFonts w:hint="default"/>
                      <w:color w:val="auto"/>
                      <w:sz w:val="21"/>
                      <w:szCs w:val="21"/>
                      <w:lang w:val="en-US" w:eastAsia="zh-CN"/>
                    </w:rPr>
                  </w:pPr>
                  <w:r>
                    <w:rPr>
                      <w:rFonts w:hint="eastAsia"/>
                      <w:color w:val="auto"/>
                      <w:sz w:val="21"/>
                      <w:szCs w:val="21"/>
                      <w:lang w:val="en-US" w:eastAsia="zh-CN"/>
                    </w:rPr>
                    <w:t>0.7125</w:t>
                  </w:r>
                </w:p>
              </w:tc>
              <w:tc>
                <w:tcPr>
                  <w:tcW w:w="238" w:type="pct"/>
                  <w:shd w:val="clear" w:color="auto" w:fill="auto"/>
                  <w:vAlign w:val="center"/>
                </w:tcPr>
                <w:p w14:paraId="0313BFDB">
                  <w:pPr>
                    <w:pStyle w:val="101"/>
                    <w:rPr>
                      <w:rFonts w:hint="default"/>
                      <w:color w:val="auto"/>
                      <w:sz w:val="21"/>
                      <w:szCs w:val="21"/>
                      <w:lang w:val="en-US" w:eastAsia="zh-CN"/>
                    </w:rPr>
                  </w:pPr>
                  <w:r>
                    <w:rPr>
                      <w:rFonts w:hint="eastAsia"/>
                      <w:color w:val="auto"/>
                      <w:sz w:val="21"/>
                      <w:szCs w:val="21"/>
                      <w:lang w:val="en-US" w:eastAsia="zh-CN"/>
                    </w:rPr>
                    <w:t>0.270</w:t>
                  </w:r>
                </w:p>
              </w:tc>
              <w:tc>
                <w:tcPr>
                  <w:tcW w:w="281" w:type="pct"/>
                  <w:vAlign w:val="center"/>
                </w:tcPr>
                <w:p w14:paraId="692A575B">
                  <w:pPr>
                    <w:pStyle w:val="101"/>
                    <w:rPr>
                      <w:rFonts w:hint="default"/>
                      <w:color w:val="auto"/>
                      <w:sz w:val="21"/>
                      <w:szCs w:val="21"/>
                      <w:lang w:val="en-US" w:eastAsia="zh-CN"/>
                    </w:rPr>
                  </w:pPr>
                  <w:r>
                    <w:rPr>
                      <w:rFonts w:hint="eastAsia"/>
                      <w:color w:val="auto"/>
                      <w:sz w:val="21"/>
                      <w:szCs w:val="21"/>
                      <w:lang w:val="en-US" w:eastAsia="zh-CN"/>
                    </w:rPr>
                    <w:t>13.50</w:t>
                  </w:r>
                </w:p>
              </w:tc>
              <w:tc>
                <w:tcPr>
                  <w:tcW w:w="275" w:type="pct"/>
                  <w:vAlign w:val="center"/>
                </w:tcPr>
                <w:p w14:paraId="3E69CF48">
                  <w:pPr>
                    <w:pStyle w:val="101"/>
                    <w:rPr>
                      <w:rFonts w:hint="default"/>
                      <w:color w:val="auto"/>
                      <w:sz w:val="21"/>
                      <w:szCs w:val="21"/>
                      <w:lang w:val="en-US" w:eastAsia="zh-CN"/>
                    </w:rPr>
                  </w:pPr>
                  <w:r>
                    <w:rPr>
                      <w:rFonts w:hint="eastAsia"/>
                      <w:color w:val="auto"/>
                      <w:sz w:val="21"/>
                      <w:szCs w:val="21"/>
                      <w:lang w:val="en-US" w:eastAsia="zh-CN"/>
                    </w:rPr>
                    <w:t>120</w:t>
                  </w:r>
                </w:p>
              </w:tc>
              <w:tc>
                <w:tcPr>
                  <w:tcW w:w="236" w:type="pct"/>
                  <w:vAlign w:val="center"/>
                </w:tcPr>
                <w:p w14:paraId="423BB2A8">
                  <w:pPr>
                    <w:pStyle w:val="101"/>
                    <w:rPr>
                      <w:rFonts w:hint="default"/>
                      <w:color w:val="auto"/>
                      <w:lang w:val="en-US" w:eastAsia="zh-CN"/>
                    </w:rPr>
                  </w:pPr>
                  <w:r>
                    <w:rPr>
                      <w:rFonts w:hint="eastAsia"/>
                      <w:color w:val="auto"/>
                      <w:sz w:val="21"/>
                      <w:szCs w:val="21"/>
                      <w:lang w:val="en-US" w:eastAsia="zh-CN"/>
                    </w:rPr>
                    <w:t>5</w:t>
                  </w:r>
                </w:p>
              </w:tc>
            </w:tr>
            <w:tr w14:paraId="55594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trPr>
              <w:tc>
                <w:tcPr>
                  <w:tcW w:w="291" w:type="pct"/>
                  <w:vMerge w:val="continue"/>
                  <w:vAlign w:val="center"/>
                </w:tcPr>
                <w:p w14:paraId="294DB316">
                  <w:pPr>
                    <w:pStyle w:val="101"/>
                    <w:rPr>
                      <w:color w:val="auto"/>
                      <w:sz w:val="21"/>
                      <w:szCs w:val="21"/>
                    </w:rPr>
                  </w:pPr>
                </w:p>
              </w:tc>
              <w:tc>
                <w:tcPr>
                  <w:tcW w:w="313" w:type="pct"/>
                  <w:vAlign w:val="center"/>
                </w:tcPr>
                <w:p w14:paraId="5865CE33">
                  <w:pPr>
                    <w:pStyle w:val="101"/>
                    <w:rPr>
                      <w:rFonts w:hint="eastAsia" w:eastAsia="宋体"/>
                      <w:color w:val="auto"/>
                      <w:sz w:val="21"/>
                      <w:szCs w:val="21"/>
                      <w:lang w:eastAsia="zh-CN"/>
                    </w:rPr>
                  </w:pPr>
                  <w:r>
                    <w:rPr>
                      <w:rFonts w:hint="eastAsia"/>
                      <w:color w:val="auto"/>
                      <w:sz w:val="21"/>
                      <w:szCs w:val="21"/>
                      <w:lang w:eastAsia="zh-CN"/>
                    </w:rPr>
                    <w:t>氨气</w:t>
                  </w:r>
                </w:p>
              </w:tc>
              <w:tc>
                <w:tcPr>
                  <w:tcW w:w="255" w:type="pct"/>
                  <w:vAlign w:val="center"/>
                </w:tcPr>
                <w:p w14:paraId="453F6FA5">
                  <w:pPr>
                    <w:pStyle w:val="101"/>
                    <w:rPr>
                      <w:rFonts w:hint="default"/>
                      <w:color w:val="auto"/>
                      <w:sz w:val="21"/>
                      <w:szCs w:val="21"/>
                      <w:lang w:val="en-US" w:eastAsia="zh-CN"/>
                    </w:rPr>
                  </w:pPr>
                  <w:r>
                    <w:rPr>
                      <w:rFonts w:hint="eastAsia"/>
                      <w:color w:val="auto"/>
                      <w:sz w:val="21"/>
                      <w:szCs w:val="21"/>
                      <w:lang w:val="en-US" w:eastAsia="zh-CN"/>
                    </w:rPr>
                    <w:t>0.420</w:t>
                  </w:r>
                </w:p>
              </w:tc>
              <w:tc>
                <w:tcPr>
                  <w:tcW w:w="288" w:type="pct"/>
                  <w:vAlign w:val="center"/>
                </w:tcPr>
                <w:p w14:paraId="13A75C5E">
                  <w:pPr>
                    <w:pStyle w:val="101"/>
                    <w:rPr>
                      <w:rFonts w:hint="default"/>
                      <w:color w:val="auto"/>
                      <w:sz w:val="21"/>
                      <w:szCs w:val="21"/>
                      <w:lang w:val="en-US" w:eastAsia="zh-CN"/>
                    </w:rPr>
                  </w:pPr>
                  <w:r>
                    <w:rPr>
                      <w:rFonts w:hint="eastAsia"/>
                      <w:color w:val="auto"/>
                      <w:sz w:val="21"/>
                      <w:szCs w:val="21"/>
                      <w:lang w:val="en-US" w:eastAsia="zh-CN"/>
                    </w:rPr>
                    <w:t>0.159</w:t>
                  </w:r>
                </w:p>
              </w:tc>
              <w:tc>
                <w:tcPr>
                  <w:tcW w:w="335" w:type="pct"/>
                  <w:vAlign w:val="center"/>
                </w:tcPr>
                <w:p w14:paraId="6C4F5233">
                  <w:pPr>
                    <w:pStyle w:val="101"/>
                    <w:rPr>
                      <w:rFonts w:hint="default"/>
                      <w:color w:val="auto"/>
                      <w:sz w:val="21"/>
                      <w:szCs w:val="21"/>
                      <w:lang w:val="en-US" w:eastAsia="zh-CN"/>
                    </w:rPr>
                  </w:pPr>
                  <w:r>
                    <w:rPr>
                      <w:rFonts w:hint="eastAsia"/>
                      <w:color w:val="auto"/>
                      <w:sz w:val="21"/>
                      <w:szCs w:val="21"/>
                      <w:lang w:val="en-US" w:eastAsia="zh-CN"/>
                    </w:rPr>
                    <w:t>7.95</w:t>
                  </w:r>
                </w:p>
              </w:tc>
              <w:tc>
                <w:tcPr>
                  <w:tcW w:w="262" w:type="pct"/>
                  <w:vMerge w:val="continue"/>
                  <w:vAlign w:val="center"/>
                </w:tcPr>
                <w:p w14:paraId="0EA20F7D">
                  <w:pPr>
                    <w:pStyle w:val="101"/>
                    <w:rPr>
                      <w:rFonts w:hint="eastAsia"/>
                      <w:color w:val="auto"/>
                      <w:sz w:val="21"/>
                      <w:szCs w:val="21"/>
                      <w:lang w:val="en-US" w:eastAsia="zh-CN"/>
                    </w:rPr>
                  </w:pPr>
                </w:p>
              </w:tc>
              <w:tc>
                <w:tcPr>
                  <w:tcW w:w="800" w:type="pct"/>
                  <w:vMerge w:val="continue"/>
                  <w:vAlign w:val="center"/>
                </w:tcPr>
                <w:p w14:paraId="2093D32C">
                  <w:pPr>
                    <w:pStyle w:val="101"/>
                    <w:rPr>
                      <w:rFonts w:hint="eastAsia"/>
                      <w:color w:val="auto"/>
                      <w:sz w:val="21"/>
                      <w:szCs w:val="21"/>
                      <w:lang w:eastAsia="zh-CN"/>
                    </w:rPr>
                  </w:pPr>
                </w:p>
              </w:tc>
              <w:tc>
                <w:tcPr>
                  <w:tcW w:w="274" w:type="pct"/>
                  <w:vMerge w:val="continue"/>
                  <w:vAlign w:val="center"/>
                </w:tcPr>
                <w:p w14:paraId="458444A0">
                  <w:pPr>
                    <w:pStyle w:val="101"/>
                    <w:rPr>
                      <w:rFonts w:hint="eastAsia"/>
                      <w:color w:val="auto"/>
                      <w:sz w:val="21"/>
                      <w:szCs w:val="21"/>
                      <w:lang w:val="en-US" w:eastAsia="zh-CN"/>
                    </w:rPr>
                  </w:pPr>
                </w:p>
              </w:tc>
              <w:tc>
                <w:tcPr>
                  <w:tcW w:w="302" w:type="pct"/>
                  <w:vMerge w:val="continue"/>
                  <w:vAlign w:val="center"/>
                </w:tcPr>
                <w:p w14:paraId="023DE670">
                  <w:pPr>
                    <w:pStyle w:val="101"/>
                    <w:rPr>
                      <w:rFonts w:hint="eastAsia"/>
                      <w:color w:val="auto"/>
                      <w:sz w:val="21"/>
                      <w:szCs w:val="21"/>
                      <w:lang w:val="en-US" w:eastAsia="zh-CN"/>
                    </w:rPr>
                  </w:pPr>
                </w:p>
              </w:tc>
              <w:tc>
                <w:tcPr>
                  <w:tcW w:w="281" w:type="pct"/>
                  <w:vMerge w:val="continue"/>
                  <w:vAlign w:val="center"/>
                </w:tcPr>
                <w:p w14:paraId="40A01A91">
                  <w:pPr>
                    <w:pStyle w:val="101"/>
                    <w:rPr>
                      <w:rFonts w:hint="eastAsia"/>
                      <w:color w:val="auto"/>
                      <w:sz w:val="21"/>
                      <w:szCs w:val="21"/>
                      <w:lang w:val="en-US" w:eastAsia="zh-CN"/>
                    </w:rPr>
                  </w:pPr>
                </w:p>
              </w:tc>
              <w:tc>
                <w:tcPr>
                  <w:tcW w:w="281" w:type="pct"/>
                  <w:vMerge w:val="continue"/>
                  <w:vAlign w:val="center"/>
                </w:tcPr>
                <w:p w14:paraId="27F8906B">
                  <w:pPr>
                    <w:pStyle w:val="101"/>
                    <w:rPr>
                      <w:rFonts w:hint="eastAsia"/>
                      <w:color w:val="auto"/>
                      <w:sz w:val="21"/>
                      <w:szCs w:val="21"/>
                      <w:lang w:val="en-US" w:eastAsia="zh-CN"/>
                    </w:rPr>
                  </w:pPr>
                </w:p>
              </w:tc>
              <w:tc>
                <w:tcPr>
                  <w:tcW w:w="281" w:type="pct"/>
                  <w:vAlign w:val="center"/>
                </w:tcPr>
                <w:p w14:paraId="29766139">
                  <w:pPr>
                    <w:pStyle w:val="101"/>
                    <w:rPr>
                      <w:rFonts w:hint="default"/>
                      <w:color w:val="auto"/>
                      <w:sz w:val="21"/>
                      <w:szCs w:val="21"/>
                      <w:lang w:val="en-US" w:eastAsia="zh-CN"/>
                    </w:rPr>
                  </w:pPr>
                  <w:r>
                    <w:rPr>
                      <w:rFonts w:hint="eastAsia"/>
                      <w:color w:val="auto"/>
                      <w:sz w:val="21"/>
                      <w:szCs w:val="21"/>
                      <w:lang w:val="en-US" w:eastAsia="zh-CN"/>
                    </w:rPr>
                    <w:t>0.042</w:t>
                  </w:r>
                </w:p>
              </w:tc>
              <w:tc>
                <w:tcPr>
                  <w:tcW w:w="238" w:type="pct"/>
                  <w:vAlign w:val="center"/>
                </w:tcPr>
                <w:p w14:paraId="6A7D63A5">
                  <w:pPr>
                    <w:pStyle w:val="101"/>
                    <w:rPr>
                      <w:rFonts w:hint="default"/>
                      <w:color w:val="auto"/>
                      <w:sz w:val="21"/>
                      <w:szCs w:val="21"/>
                      <w:lang w:val="en-US" w:eastAsia="zh-CN"/>
                    </w:rPr>
                  </w:pPr>
                  <w:r>
                    <w:rPr>
                      <w:rFonts w:hint="eastAsia"/>
                      <w:color w:val="auto"/>
                      <w:sz w:val="21"/>
                      <w:szCs w:val="21"/>
                      <w:lang w:val="en-US" w:eastAsia="zh-CN"/>
                    </w:rPr>
                    <w:t>0.016</w:t>
                  </w:r>
                </w:p>
              </w:tc>
              <w:tc>
                <w:tcPr>
                  <w:tcW w:w="281" w:type="pct"/>
                  <w:vAlign w:val="center"/>
                </w:tcPr>
                <w:p w14:paraId="4F66821C">
                  <w:pPr>
                    <w:pStyle w:val="101"/>
                    <w:rPr>
                      <w:rFonts w:hint="default"/>
                      <w:color w:val="auto"/>
                      <w:sz w:val="21"/>
                      <w:szCs w:val="21"/>
                      <w:lang w:val="en-US" w:eastAsia="zh-CN"/>
                    </w:rPr>
                  </w:pPr>
                  <w:r>
                    <w:rPr>
                      <w:rFonts w:hint="eastAsia"/>
                      <w:color w:val="auto"/>
                      <w:sz w:val="21"/>
                      <w:szCs w:val="21"/>
                      <w:lang w:val="en-US" w:eastAsia="zh-CN"/>
                    </w:rPr>
                    <w:t>0.795</w:t>
                  </w:r>
                </w:p>
              </w:tc>
              <w:tc>
                <w:tcPr>
                  <w:tcW w:w="275" w:type="pct"/>
                  <w:vAlign w:val="center"/>
                </w:tcPr>
                <w:p w14:paraId="2993146E">
                  <w:pPr>
                    <w:pStyle w:val="101"/>
                    <w:rPr>
                      <w:rFonts w:hint="eastAsia"/>
                      <w:color w:val="auto"/>
                      <w:sz w:val="21"/>
                      <w:szCs w:val="21"/>
                      <w:lang w:val="en-US" w:eastAsia="zh-CN"/>
                    </w:rPr>
                  </w:pPr>
                  <w:r>
                    <w:rPr>
                      <w:rFonts w:hint="eastAsia"/>
                      <w:color w:val="auto"/>
                      <w:sz w:val="21"/>
                      <w:szCs w:val="21"/>
                      <w:lang w:val="en-US" w:eastAsia="zh-CN"/>
                    </w:rPr>
                    <w:t>/</w:t>
                  </w:r>
                </w:p>
              </w:tc>
              <w:tc>
                <w:tcPr>
                  <w:tcW w:w="236" w:type="pct"/>
                  <w:vAlign w:val="center"/>
                </w:tcPr>
                <w:p w14:paraId="06A4873D">
                  <w:pPr>
                    <w:pStyle w:val="101"/>
                    <w:rPr>
                      <w:rFonts w:hint="default"/>
                      <w:color w:val="auto"/>
                      <w:sz w:val="21"/>
                      <w:szCs w:val="21"/>
                      <w:lang w:val="en-US" w:eastAsia="zh-CN"/>
                    </w:rPr>
                  </w:pPr>
                  <w:r>
                    <w:rPr>
                      <w:rFonts w:hint="eastAsia"/>
                      <w:color w:val="auto"/>
                      <w:sz w:val="21"/>
                      <w:szCs w:val="21"/>
                      <w:lang w:val="en-US" w:eastAsia="zh-CN"/>
                    </w:rPr>
                    <w:t>4.9</w:t>
                  </w:r>
                </w:p>
              </w:tc>
            </w:tr>
            <w:tr w14:paraId="56D70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1" w:type="pct"/>
                  <w:vMerge w:val="continue"/>
                  <w:vAlign w:val="center"/>
                </w:tcPr>
                <w:p w14:paraId="0A57EC7F">
                  <w:pPr>
                    <w:pStyle w:val="101"/>
                    <w:rPr>
                      <w:color w:val="auto"/>
                      <w:sz w:val="21"/>
                      <w:szCs w:val="21"/>
                    </w:rPr>
                  </w:pPr>
                </w:p>
              </w:tc>
              <w:tc>
                <w:tcPr>
                  <w:tcW w:w="313" w:type="pct"/>
                  <w:vAlign w:val="center"/>
                </w:tcPr>
                <w:p w14:paraId="74805D16">
                  <w:pPr>
                    <w:pStyle w:val="101"/>
                    <w:rPr>
                      <w:rFonts w:hint="eastAsia" w:eastAsia="宋体"/>
                      <w:color w:val="auto"/>
                      <w:sz w:val="21"/>
                      <w:szCs w:val="21"/>
                      <w:lang w:eastAsia="zh-CN"/>
                    </w:rPr>
                  </w:pPr>
                  <w:r>
                    <w:rPr>
                      <w:rFonts w:hint="eastAsia"/>
                      <w:color w:val="auto"/>
                      <w:sz w:val="21"/>
                      <w:szCs w:val="21"/>
                      <w:lang w:eastAsia="zh-CN"/>
                    </w:rPr>
                    <w:t>硫化氢</w:t>
                  </w:r>
                </w:p>
              </w:tc>
              <w:tc>
                <w:tcPr>
                  <w:tcW w:w="255" w:type="pct"/>
                  <w:vAlign w:val="center"/>
                </w:tcPr>
                <w:p w14:paraId="29D80DFF">
                  <w:pPr>
                    <w:pStyle w:val="101"/>
                    <w:rPr>
                      <w:rFonts w:hint="default"/>
                      <w:color w:val="auto"/>
                      <w:sz w:val="21"/>
                      <w:szCs w:val="21"/>
                      <w:lang w:val="en-US" w:eastAsia="zh-CN"/>
                    </w:rPr>
                  </w:pPr>
                  <w:r>
                    <w:rPr>
                      <w:rFonts w:hint="eastAsia"/>
                      <w:color w:val="auto"/>
                      <w:sz w:val="21"/>
                      <w:szCs w:val="21"/>
                      <w:lang w:val="en-US" w:eastAsia="zh-CN"/>
                    </w:rPr>
                    <w:t>0.019</w:t>
                  </w:r>
                </w:p>
              </w:tc>
              <w:tc>
                <w:tcPr>
                  <w:tcW w:w="288" w:type="pct"/>
                  <w:vAlign w:val="center"/>
                </w:tcPr>
                <w:p w14:paraId="7E1B81A1">
                  <w:pPr>
                    <w:pStyle w:val="101"/>
                    <w:rPr>
                      <w:rFonts w:hint="default"/>
                      <w:color w:val="auto"/>
                      <w:sz w:val="21"/>
                      <w:szCs w:val="21"/>
                      <w:lang w:val="en-US" w:eastAsia="zh-CN"/>
                    </w:rPr>
                  </w:pPr>
                  <w:r>
                    <w:rPr>
                      <w:rFonts w:hint="eastAsia"/>
                      <w:color w:val="auto"/>
                      <w:sz w:val="21"/>
                      <w:szCs w:val="21"/>
                      <w:lang w:val="en-US" w:eastAsia="zh-CN"/>
                    </w:rPr>
                    <w:t>0.007</w:t>
                  </w:r>
                </w:p>
              </w:tc>
              <w:tc>
                <w:tcPr>
                  <w:tcW w:w="335" w:type="pct"/>
                  <w:vAlign w:val="center"/>
                </w:tcPr>
                <w:p w14:paraId="1C27B9AB">
                  <w:pPr>
                    <w:pStyle w:val="101"/>
                    <w:rPr>
                      <w:rFonts w:hint="default"/>
                      <w:color w:val="auto"/>
                      <w:sz w:val="21"/>
                      <w:szCs w:val="21"/>
                      <w:lang w:val="en-US" w:eastAsia="zh-CN"/>
                    </w:rPr>
                  </w:pPr>
                  <w:r>
                    <w:rPr>
                      <w:rFonts w:hint="eastAsia"/>
                      <w:color w:val="auto"/>
                      <w:sz w:val="21"/>
                      <w:szCs w:val="21"/>
                      <w:lang w:val="en-US" w:eastAsia="zh-CN"/>
                    </w:rPr>
                    <w:t>0.360</w:t>
                  </w:r>
                </w:p>
              </w:tc>
              <w:tc>
                <w:tcPr>
                  <w:tcW w:w="262" w:type="pct"/>
                  <w:vMerge w:val="continue"/>
                  <w:vAlign w:val="center"/>
                </w:tcPr>
                <w:p w14:paraId="572245BF">
                  <w:pPr>
                    <w:pStyle w:val="101"/>
                    <w:rPr>
                      <w:rFonts w:hint="eastAsia"/>
                      <w:color w:val="auto"/>
                      <w:sz w:val="21"/>
                      <w:szCs w:val="21"/>
                      <w:lang w:val="en-US" w:eastAsia="zh-CN"/>
                    </w:rPr>
                  </w:pPr>
                </w:p>
              </w:tc>
              <w:tc>
                <w:tcPr>
                  <w:tcW w:w="800" w:type="pct"/>
                  <w:vMerge w:val="continue"/>
                  <w:vAlign w:val="center"/>
                </w:tcPr>
                <w:p w14:paraId="3E2E3732">
                  <w:pPr>
                    <w:pStyle w:val="101"/>
                    <w:rPr>
                      <w:rFonts w:hint="eastAsia"/>
                      <w:color w:val="auto"/>
                      <w:sz w:val="21"/>
                      <w:szCs w:val="21"/>
                      <w:lang w:eastAsia="zh-CN"/>
                    </w:rPr>
                  </w:pPr>
                </w:p>
              </w:tc>
              <w:tc>
                <w:tcPr>
                  <w:tcW w:w="274" w:type="pct"/>
                  <w:vMerge w:val="continue"/>
                  <w:vAlign w:val="center"/>
                </w:tcPr>
                <w:p w14:paraId="432E8603">
                  <w:pPr>
                    <w:pStyle w:val="101"/>
                    <w:rPr>
                      <w:rFonts w:hint="eastAsia"/>
                      <w:color w:val="auto"/>
                      <w:sz w:val="21"/>
                      <w:szCs w:val="21"/>
                      <w:lang w:val="en-US" w:eastAsia="zh-CN"/>
                    </w:rPr>
                  </w:pPr>
                </w:p>
              </w:tc>
              <w:tc>
                <w:tcPr>
                  <w:tcW w:w="302" w:type="pct"/>
                  <w:vMerge w:val="continue"/>
                  <w:vAlign w:val="center"/>
                </w:tcPr>
                <w:p w14:paraId="5B0C4442">
                  <w:pPr>
                    <w:pStyle w:val="101"/>
                    <w:rPr>
                      <w:rFonts w:hint="eastAsia"/>
                      <w:color w:val="auto"/>
                      <w:sz w:val="21"/>
                      <w:szCs w:val="21"/>
                      <w:lang w:val="en-US" w:eastAsia="zh-CN"/>
                    </w:rPr>
                  </w:pPr>
                </w:p>
              </w:tc>
              <w:tc>
                <w:tcPr>
                  <w:tcW w:w="281" w:type="pct"/>
                  <w:vMerge w:val="continue"/>
                  <w:vAlign w:val="center"/>
                </w:tcPr>
                <w:p w14:paraId="55928D70">
                  <w:pPr>
                    <w:pStyle w:val="101"/>
                    <w:rPr>
                      <w:rFonts w:hint="eastAsia"/>
                      <w:color w:val="auto"/>
                      <w:sz w:val="21"/>
                      <w:szCs w:val="21"/>
                      <w:lang w:val="en-US" w:eastAsia="zh-CN"/>
                    </w:rPr>
                  </w:pPr>
                </w:p>
              </w:tc>
              <w:tc>
                <w:tcPr>
                  <w:tcW w:w="281" w:type="pct"/>
                  <w:vMerge w:val="continue"/>
                  <w:vAlign w:val="center"/>
                </w:tcPr>
                <w:p w14:paraId="088B7808">
                  <w:pPr>
                    <w:pStyle w:val="101"/>
                    <w:rPr>
                      <w:rFonts w:hint="eastAsia"/>
                      <w:color w:val="auto"/>
                      <w:sz w:val="21"/>
                      <w:szCs w:val="21"/>
                      <w:lang w:val="en-US" w:eastAsia="zh-CN"/>
                    </w:rPr>
                  </w:pPr>
                </w:p>
              </w:tc>
              <w:tc>
                <w:tcPr>
                  <w:tcW w:w="281" w:type="pct"/>
                  <w:vAlign w:val="center"/>
                </w:tcPr>
                <w:p w14:paraId="4B228E93">
                  <w:pPr>
                    <w:pStyle w:val="101"/>
                    <w:rPr>
                      <w:rFonts w:hint="default"/>
                      <w:color w:val="auto"/>
                      <w:sz w:val="21"/>
                      <w:szCs w:val="21"/>
                      <w:lang w:val="en-US" w:eastAsia="zh-CN"/>
                    </w:rPr>
                  </w:pPr>
                  <w:r>
                    <w:rPr>
                      <w:rFonts w:hint="eastAsia"/>
                      <w:color w:val="auto"/>
                      <w:sz w:val="21"/>
                      <w:szCs w:val="21"/>
                      <w:lang w:val="en-US" w:eastAsia="zh-CN"/>
                    </w:rPr>
                    <w:t>0.002</w:t>
                  </w:r>
                </w:p>
              </w:tc>
              <w:tc>
                <w:tcPr>
                  <w:tcW w:w="238" w:type="pct"/>
                  <w:vAlign w:val="center"/>
                </w:tcPr>
                <w:p w14:paraId="6F06DDED">
                  <w:pPr>
                    <w:pStyle w:val="101"/>
                    <w:rPr>
                      <w:rFonts w:hint="default"/>
                      <w:color w:val="auto"/>
                      <w:sz w:val="21"/>
                      <w:szCs w:val="21"/>
                      <w:lang w:val="en-US" w:eastAsia="zh-CN"/>
                    </w:rPr>
                  </w:pPr>
                  <w:r>
                    <w:rPr>
                      <w:rFonts w:hint="eastAsia"/>
                      <w:color w:val="auto"/>
                      <w:sz w:val="21"/>
                      <w:szCs w:val="21"/>
                      <w:lang w:val="en-US" w:eastAsia="zh-CN"/>
                    </w:rPr>
                    <w:t>0.0007</w:t>
                  </w:r>
                </w:p>
              </w:tc>
              <w:tc>
                <w:tcPr>
                  <w:tcW w:w="281" w:type="pct"/>
                  <w:vAlign w:val="center"/>
                </w:tcPr>
                <w:p w14:paraId="5245E952">
                  <w:pPr>
                    <w:pStyle w:val="101"/>
                    <w:rPr>
                      <w:rFonts w:hint="default"/>
                      <w:color w:val="auto"/>
                      <w:sz w:val="21"/>
                      <w:szCs w:val="21"/>
                      <w:lang w:val="en-US" w:eastAsia="zh-CN"/>
                    </w:rPr>
                  </w:pPr>
                  <w:r>
                    <w:rPr>
                      <w:rFonts w:hint="eastAsia"/>
                      <w:color w:val="auto"/>
                      <w:sz w:val="21"/>
                      <w:szCs w:val="21"/>
                      <w:lang w:val="en-US" w:eastAsia="zh-CN"/>
                    </w:rPr>
                    <w:t>0.036</w:t>
                  </w:r>
                </w:p>
              </w:tc>
              <w:tc>
                <w:tcPr>
                  <w:tcW w:w="275" w:type="pct"/>
                  <w:vAlign w:val="center"/>
                </w:tcPr>
                <w:p w14:paraId="4563512C">
                  <w:pPr>
                    <w:pStyle w:val="101"/>
                    <w:rPr>
                      <w:rFonts w:hint="eastAsia"/>
                      <w:color w:val="auto"/>
                      <w:sz w:val="21"/>
                      <w:szCs w:val="21"/>
                      <w:lang w:val="en-US" w:eastAsia="zh-CN"/>
                    </w:rPr>
                  </w:pPr>
                  <w:r>
                    <w:rPr>
                      <w:rFonts w:hint="eastAsia"/>
                      <w:color w:val="auto"/>
                      <w:sz w:val="21"/>
                      <w:szCs w:val="21"/>
                      <w:lang w:val="en-US" w:eastAsia="zh-CN"/>
                    </w:rPr>
                    <w:t>/</w:t>
                  </w:r>
                </w:p>
              </w:tc>
              <w:tc>
                <w:tcPr>
                  <w:tcW w:w="236" w:type="pct"/>
                  <w:vAlign w:val="center"/>
                </w:tcPr>
                <w:p w14:paraId="4031731F">
                  <w:pPr>
                    <w:pStyle w:val="101"/>
                    <w:rPr>
                      <w:rFonts w:hint="default"/>
                      <w:color w:val="auto"/>
                      <w:sz w:val="21"/>
                      <w:szCs w:val="21"/>
                      <w:lang w:val="en-US" w:eastAsia="zh-CN"/>
                    </w:rPr>
                  </w:pPr>
                  <w:r>
                    <w:rPr>
                      <w:rFonts w:hint="eastAsia"/>
                      <w:color w:val="auto"/>
                      <w:sz w:val="21"/>
                      <w:szCs w:val="21"/>
                      <w:lang w:val="en-US" w:eastAsia="zh-CN"/>
                    </w:rPr>
                    <w:t>0.33</w:t>
                  </w:r>
                </w:p>
              </w:tc>
            </w:tr>
          </w:tbl>
          <w:p w14:paraId="29E394C1">
            <w:pPr>
              <w:pStyle w:val="2"/>
              <w:ind w:left="0" w:leftChars="0" w:firstLine="0" w:firstLineChars="0"/>
              <w:rPr>
                <w:rFonts w:hint="eastAsia"/>
                <w:color w:val="auto"/>
                <w:vertAlign w:val="baseline"/>
              </w:rPr>
            </w:pPr>
          </w:p>
        </w:tc>
      </w:tr>
    </w:tbl>
    <w:p w14:paraId="5BDF2FF4">
      <w:pPr>
        <w:pStyle w:val="2"/>
        <w:rPr>
          <w:rFonts w:hint="eastAsia"/>
          <w:color w:val="auto"/>
        </w:rPr>
        <w:sectPr>
          <w:pgSz w:w="16840" w:h="11907" w:orient="landscape"/>
          <w:pgMar w:top="1531" w:right="1701" w:bottom="1531" w:left="2127" w:header="851" w:footer="851" w:gutter="0"/>
          <w:cols w:space="720" w:num="1"/>
          <w:docGrid w:linePitch="312" w:charSpace="0"/>
        </w:sect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
        <w:gridCol w:w="8768"/>
      </w:tblGrid>
      <w:tr w14:paraId="3955C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293" w:type="dxa"/>
          </w:tcPr>
          <w:p w14:paraId="16B20380">
            <w:pPr>
              <w:rPr>
                <w:rFonts w:hint="eastAsia"/>
                <w:color w:val="auto"/>
                <w:vertAlign w:val="baseline"/>
              </w:rPr>
            </w:pPr>
          </w:p>
        </w:tc>
        <w:tc>
          <w:tcPr>
            <w:tcW w:w="8768" w:type="dxa"/>
          </w:tcPr>
          <w:p w14:paraId="01A3656D">
            <w:pPr>
              <w:keepNext w:val="0"/>
              <w:keepLines w:val="0"/>
              <w:pageBreakBefore w:val="0"/>
              <w:widowControl w:val="0"/>
              <w:kinsoku/>
              <w:wordWrap/>
              <w:overflowPunct/>
              <w:topLinePunct w:val="0"/>
              <w:autoSpaceDE/>
              <w:autoSpaceDN/>
              <w:bidi w:val="0"/>
              <w:adjustRightInd/>
              <w:snapToGrid/>
              <w:jc w:val="center"/>
              <w:textAlignment w:val="auto"/>
              <w:rPr>
                <w:color w:val="auto"/>
                <w:sz w:val="21"/>
                <w:szCs w:val="21"/>
              </w:rPr>
            </w:pPr>
            <w:r>
              <w:rPr>
                <w:b/>
                <w:bCs/>
                <w:color w:val="auto"/>
                <w:sz w:val="21"/>
                <w:szCs w:val="21"/>
              </w:rPr>
              <w:t>表4</w:t>
            </w:r>
            <w:r>
              <w:rPr>
                <w:rFonts w:hint="eastAsia"/>
                <w:b/>
                <w:bCs/>
                <w:color w:val="auto"/>
                <w:sz w:val="21"/>
                <w:szCs w:val="21"/>
                <w:lang w:val="en-US" w:eastAsia="zh-CN"/>
              </w:rPr>
              <w:t>-9</w:t>
            </w:r>
            <w:r>
              <w:rPr>
                <w:b/>
                <w:bCs/>
                <w:color w:val="auto"/>
                <w:sz w:val="21"/>
                <w:szCs w:val="21"/>
              </w:rPr>
              <w:t xml:space="preserve"> 全厂无组织废气污染物产排情况一览表</w:t>
            </w:r>
          </w:p>
          <w:tbl>
            <w:tblPr>
              <w:tblStyle w:val="28"/>
              <w:tblW w:w="8552" w:type="dxa"/>
              <w:tblInd w:w="0" w:type="dxa"/>
              <w:tblLayout w:type="fixed"/>
              <w:tblCellMar>
                <w:top w:w="0" w:type="dxa"/>
                <w:left w:w="108" w:type="dxa"/>
                <w:bottom w:w="0" w:type="dxa"/>
                <w:right w:w="108" w:type="dxa"/>
              </w:tblCellMar>
            </w:tblPr>
            <w:tblGrid>
              <w:gridCol w:w="520"/>
              <w:gridCol w:w="2862"/>
              <w:gridCol w:w="2638"/>
              <w:gridCol w:w="999"/>
              <w:gridCol w:w="1533"/>
            </w:tblGrid>
            <w:tr w14:paraId="6D66E0F8">
              <w:tblPrEx>
                <w:tblCellMar>
                  <w:top w:w="0" w:type="dxa"/>
                  <w:left w:w="108" w:type="dxa"/>
                  <w:bottom w:w="0" w:type="dxa"/>
                  <w:right w:w="108" w:type="dxa"/>
                </w:tblCellMar>
              </w:tblPrEx>
              <w:trPr>
                <w:trHeight w:val="466" w:hRule="atLeast"/>
              </w:trPr>
              <w:tc>
                <w:tcPr>
                  <w:tcW w:w="304" w:type="pct"/>
                  <w:tcBorders>
                    <w:top w:val="single" w:color="000000" w:sz="4" w:space="0"/>
                    <w:left w:val="single" w:color="000000" w:sz="4" w:space="0"/>
                    <w:bottom w:val="single" w:color="auto" w:sz="4" w:space="0"/>
                    <w:right w:val="single" w:color="000000" w:sz="4" w:space="0"/>
                  </w:tcBorders>
                  <w:vAlign w:val="center"/>
                </w:tcPr>
                <w:p w14:paraId="47285F3C">
                  <w:pPr>
                    <w:widowControl/>
                    <w:jc w:val="center"/>
                    <w:textAlignment w:val="center"/>
                    <w:rPr>
                      <w:b/>
                      <w:bCs/>
                      <w:color w:val="auto"/>
                      <w:szCs w:val="21"/>
                    </w:rPr>
                  </w:pPr>
                  <w:r>
                    <w:rPr>
                      <w:b/>
                      <w:bCs/>
                      <w:color w:val="auto"/>
                      <w:kern w:val="0"/>
                      <w:szCs w:val="21"/>
                      <w:lang w:bidi="ar"/>
                    </w:rPr>
                    <w:t>序号</w:t>
                  </w:r>
                </w:p>
              </w:tc>
              <w:tc>
                <w:tcPr>
                  <w:tcW w:w="1673" w:type="pct"/>
                  <w:tcBorders>
                    <w:top w:val="single" w:color="000000" w:sz="4" w:space="0"/>
                    <w:left w:val="single" w:color="000000" w:sz="4" w:space="0"/>
                    <w:bottom w:val="single" w:color="auto" w:sz="4" w:space="0"/>
                    <w:right w:val="single" w:color="000000" w:sz="4" w:space="0"/>
                  </w:tcBorders>
                  <w:vAlign w:val="center"/>
                </w:tcPr>
                <w:p w14:paraId="0CDC7AF7">
                  <w:pPr>
                    <w:widowControl/>
                    <w:jc w:val="center"/>
                    <w:textAlignment w:val="center"/>
                    <w:rPr>
                      <w:b/>
                      <w:bCs/>
                      <w:color w:val="auto"/>
                      <w:szCs w:val="21"/>
                    </w:rPr>
                  </w:pPr>
                  <w:r>
                    <w:rPr>
                      <w:b/>
                      <w:bCs/>
                      <w:color w:val="auto"/>
                      <w:kern w:val="0"/>
                      <w:szCs w:val="21"/>
                      <w:lang w:bidi="ar"/>
                    </w:rPr>
                    <w:t>污染源</w:t>
                  </w:r>
                </w:p>
              </w:tc>
              <w:tc>
                <w:tcPr>
                  <w:tcW w:w="1542" w:type="pct"/>
                  <w:tcBorders>
                    <w:top w:val="single" w:color="000000" w:sz="4" w:space="0"/>
                    <w:left w:val="single" w:color="000000" w:sz="4" w:space="0"/>
                    <w:bottom w:val="single" w:color="000000" w:sz="4" w:space="0"/>
                    <w:right w:val="single" w:color="000000" w:sz="4" w:space="0"/>
                  </w:tcBorders>
                  <w:vAlign w:val="center"/>
                </w:tcPr>
                <w:p w14:paraId="3193BF2E">
                  <w:pPr>
                    <w:widowControl/>
                    <w:jc w:val="center"/>
                    <w:textAlignment w:val="center"/>
                    <w:rPr>
                      <w:b/>
                      <w:bCs/>
                      <w:color w:val="auto"/>
                      <w:szCs w:val="21"/>
                    </w:rPr>
                  </w:pPr>
                  <w:r>
                    <w:rPr>
                      <w:b/>
                      <w:bCs/>
                      <w:color w:val="auto"/>
                      <w:kern w:val="0"/>
                      <w:szCs w:val="21"/>
                      <w:lang w:bidi="ar"/>
                    </w:rPr>
                    <w:t>污染物</w:t>
                  </w:r>
                </w:p>
              </w:tc>
              <w:tc>
                <w:tcPr>
                  <w:tcW w:w="584" w:type="pct"/>
                  <w:tcBorders>
                    <w:top w:val="single" w:color="000000" w:sz="4" w:space="0"/>
                    <w:left w:val="single" w:color="000000" w:sz="4" w:space="0"/>
                    <w:bottom w:val="single" w:color="000000" w:sz="4" w:space="0"/>
                    <w:right w:val="single" w:color="000000" w:sz="4" w:space="0"/>
                  </w:tcBorders>
                  <w:vAlign w:val="center"/>
                </w:tcPr>
                <w:p w14:paraId="1F889DD2">
                  <w:pPr>
                    <w:widowControl/>
                    <w:jc w:val="center"/>
                    <w:textAlignment w:val="center"/>
                    <w:rPr>
                      <w:b/>
                      <w:bCs/>
                      <w:color w:val="auto"/>
                      <w:szCs w:val="21"/>
                    </w:rPr>
                  </w:pPr>
                  <w:r>
                    <w:rPr>
                      <w:b/>
                      <w:bCs/>
                      <w:color w:val="auto"/>
                      <w:kern w:val="0"/>
                      <w:szCs w:val="21"/>
                      <w:lang w:bidi="ar"/>
                    </w:rPr>
                    <w:t>排放量(</w:t>
                  </w:r>
                  <w:r>
                    <w:rPr>
                      <w:rFonts w:hint="eastAsia"/>
                      <w:b/>
                      <w:bCs/>
                      <w:color w:val="auto"/>
                      <w:kern w:val="0"/>
                      <w:szCs w:val="21"/>
                      <w:lang w:val="en-US" w:eastAsia="zh-CN" w:bidi="ar"/>
                    </w:rPr>
                    <w:t>t</w:t>
                  </w:r>
                  <w:r>
                    <w:rPr>
                      <w:b/>
                      <w:bCs/>
                      <w:color w:val="auto"/>
                      <w:kern w:val="0"/>
                      <w:szCs w:val="21"/>
                      <w:lang w:bidi="ar"/>
                    </w:rPr>
                    <w:t>/a)</w:t>
                  </w:r>
                </w:p>
              </w:tc>
              <w:tc>
                <w:tcPr>
                  <w:tcW w:w="896" w:type="pct"/>
                  <w:tcBorders>
                    <w:top w:val="single" w:color="000000" w:sz="4" w:space="0"/>
                    <w:left w:val="single" w:color="000000" w:sz="4" w:space="0"/>
                    <w:bottom w:val="single" w:color="000000" w:sz="4" w:space="0"/>
                    <w:right w:val="single" w:color="000000" w:sz="4" w:space="0"/>
                  </w:tcBorders>
                  <w:vAlign w:val="center"/>
                </w:tcPr>
                <w:p w14:paraId="3DD75672">
                  <w:pPr>
                    <w:widowControl/>
                    <w:jc w:val="center"/>
                    <w:textAlignment w:val="center"/>
                    <w:rPr>
                      <w:b/>
                      <w:bCs/>
                      <w:color w:val="auto"/>
                      <w:szCs w:val="21"/>
                    </w:rPr>
                  </w:pPr>
                  <w:r>
                    <w:rPr>
                      <w:b/>
                      <w:bCs/>
                      <w:color w:val="auto"/>
                      <w:kern w:val="0"/>
                      <w:szCs w:val="21"/>
                      <w:lang w:bidi="ar"/>
                    </w:rPr>
                    <w:t>排放速率（kg/h）</w:t>
                  </w:r>
                </w:p>
              </w:tc>
            </w:tr>
            <w:tr w14:paraId="2B3DD79F">
              <w:tblPrEx>
                <w:tblCellMar>
                  <w:top w:w="0" w:type="dxa"/>
                  <w:left w:w="108" w:type="dxa"/>
                  <w:bottom w:w="0" w:type="dxa"/>
                  <w:right w:w="108" w:type="dxa"/>
                </w:tblCellMar>
              </w:tblPrEx>
              <w:trPr>
                <w:trHeight w:val="296" w:hRule="atLeast"/>
              </w:trPr>
              <w:tc>
                <w:tcPr>
                  <w:tcW w:w="304" w:type="pct"/>
                  <w:tcBorders>
                    <w:top w:val="single" w:color="auto" w:sz="4" w:space="0"/>
                    <w:left w:val="single" w:color="auto" w:sz="4" w:space="0"/>
                    <w:bottom w:val="single" w:color="auto" w:sz="4" w:space="0"/>
                    <w:right w:val="single" w:color="auto" w:sz="4" w:space="0"/>
                  </w:tcBorders>
                  <w:vAlign w:val="center"/>
                </w:tcPr>
                <w:p w14:paraId="451C2771">
                  <w:pPr>
                    <w:widowControl/>
                    <w:jc w:val="center"/>
                    <w:textAlignment w:val="center"/>
                    <w:rPr>
                      <w:color w:val="auto"/>
                      <w:sz w:val="22"/>
                      <w:szCs w:val="22"/>
                    </w:rPr>
                  </w:pPr>
                  <w:r>
                    <w:rPr>
                      <w:color w:val="auto"/>
                      <w:kern w:val="0"/>
                      <w:sz w:val="22"/>
                      <w:szCs w:val="22"/>
                      <w:lang w:bidi="ar"/>
                    </w:rPr>
                    <w:t>1</w:t>
                  </w:r>
                </w:p>
              </w:tc>
              <w:tc>
                <w:tcPr>
                  <w:tcW w:w="1673" w:type="pct"/>
                  <w:vMerge w:val="restart"/>
                  <w:tcBorders>
                    <w:top w:val="single" w:color="auto" w:sz="4" w:space="0"/>
                    <w:left w:val="single" w:color="auto" w:sz="4" w:space="0"/>
                    <w:right w:val="single" w:color="auto" w:sz="4" w:space="0"/>
                  </w:tcBorders>
                  <w:vAlign w:val="center"/>
                </w:tcPr>
                <w:p w14:paraId="6DBDD597">
                  <w:pPr>
                    <w:widowControl/>
                    <w:jc w:val="center"/>
                    <w:textAlignment w:val="center"/>
                    <w:rPr>
                      <w:rFonts w:hint="eastAsia" w:eastAsia="宋体"/>
                      <w:color w:val="auto"/>
                      <w:sz w:val="22"/>
                      <w:szCs w:val="22"/>
                      <w:lang w:val="en-US" w:eastAsia="zh-CN"/>
                    </w:rPr>
                  </w:pPr>
                  <w:r>
                    <w:rPr>
                      <w:rFonts w:hint="eastAsia"/>
                      <w:color w:val="auto"/>
                      <w:sz w:val="22"/>
                      <w:szCs w:val="22"/>
                      <w:lang w:val="en-US" w:eastAsia="zh-CN"/>
                    </w:rPr>
                    <w:t>厂区</w:t>
                  </w:r>
                </w:p>
              </w:tc>
              <w:tc>
                <w:tcPr>
                  <w:tcW w:w="1542" w:type="pct"/>
                  <w:tcBorders>
                    <w:top w:val="single" w:color="000000" w:sz="4" w:space="0"/>
                    <w:left w:val="single" w:color="auto" w:sz="4" w:space="0"/>
                    <w:bottom w:val="single" w:color="000000" w:sz="4" w:space="0"/>
                    <w:right w:val="single" w:color="000000" w:sz="4" w:space="0"/>
                  </w:tcBorders>
                  <w:vAlign w:val="center"/>
                </w:tcPr>
                <w:p w14:paraId="7BBE7B64">
                  <w:pPr>
                    <w:widowControl/>
                    <w:jc w:val="center"/>
                    <w:textAlignment w:val="center"/>
                    <w:rPr>
                      <w:color w:val="auto"/>
                      <w:sz w:val="22"/>
                      <w:szCs w:val="22"/>
                    </w:rPr>
                  </w:pPr>
                  <w:r>
                    <w:rPr>
                      <w:color w:val="auto"/>
                      <w:kern w:val="0"/>
                      <w:sz w:val="22"/>
                      <w:szCs w:val="22"/>
                      <w:lang w:bidi="ar"/>
                    </w:rPr>
                    <w:t>非甲烷总烃</w:t>
                  </w:r>
                </w:p>
              </w:tc>
              <w:tc>
                <w:tcPr>
                  <w:tcW w:w="584" w:type="pct"/>
                  <w:tcBorders>
                    <w:top w:val="single" w:color="000000" w:sz="4" w:space="0"/>
                    <w:left w:val="single" w:color="000000" w:sz="4" w:space="0"/>
                    <w:bottom w:val="single" w:color="000000" w:sz="4" w:space="0"/>
                    <w:right w:val="single" w:color="000000" w:sz="4" w:space="0"/>
                  </w:tcBorders>
                  <w:vAlign w:val="center"/>
                </w:tcPr>
                <w:p w14:paraId="578E1095">
                  <w:pPr>
                    <w:pStyle w:val="101"/>
                    <w:rPr>
                      <w:rFonts w:hint="default" w:eastAsia="宋体"/>
                      <w:color w:val="auto"/>
                      <w:sz w:val="21"/>
                      <w:szCs w:val="21"/>
                      <w:lang w:val="en-US" w:eastAsia="zh-CN"/>
                    </w:rPr>
                  </w:pPr>
                  <w:r>
                    <w:rPr>
                      <w:rFonts w:hint="eastAsia"/>
                      <w:color w:val="auto"/>
                      <w:sz w:val="21"/>
                      <w:szCs w:val="21"/>
                      <w:lang w:val="en-US" w:eastAsia="zh-CN"/>
                    </w:rPr>
                    <w:t>0.375</w:t>
                  </w:r>
                </w:p>
              </w:tc>
              <w:tc>
                <w:tcPr>
                  <w:tcW w:w="896" w:type="pct"/>
                  <w:tcBorders>
                    <w:top w:val="single" w:color="000000" w:sz="4" w:space="0"/>
                    <w:left w:val="single" w:color="000000" w:sz="4" w:space="0"/>
                    <w:bottom w:val="single" w:color="000000" w:sz="4" w:space="0"/>
                    <w:right w:val="single" w:color="auto" w:sz="4" w:space="0"/>
                  </w:tcBorders>
                  <w:vAlign w:val="center"/>
                </w:tcPr>
                <w:p w14:paraId="5F9477FE">
                  <w:pPr>
                    <w:pStyle w:val="101"/>
                    <w:rPr>
                      <w:rFonts w:hint="default" w:eastAsia="宋体"/>
                      <w:color w:val="auto"/>
                      <w:sz w:val="21"/>
                      <w:szCs w:val="21"/>
                      <w:lang w:val="en-US" w:eastAsia="zh-CN"/>
                    </w:rPr>
                  </w:pPr>
                  <w:r>
                    <w:rPr>
                      <w:rFonts w:hint="eastAsia"/>
                      <w:color w:val="auto"/>
                      <w:sz w:val="21"/>
                      <w:szCs w:val="21"/>
                      <w:lang w:val="en-US" w:eastAsia="zh-CN"/>
                    </w:rPr>
                    <w:t>0.142</w:t>
                  </w:r>
                </w:p>
              </w:tc>
            </w:tr>
            <w:tr w14:paraId="2E651923">
              <w:tblPrEx>
                <w:tblCellMar>
                  <w:top w:w="0" w:type="dxa"/>
                  <w:left w:w="108" w:type="dxa"/>
                  <w:bottom w:w="0" w:type="dxa"/>
                  <w:right w:w="108" w:type="dxa"/>
                </w:tblCellMar>
              </w:tblPrEx>
              <w:trPr>
                <w:trHeight w:val="296" w:hRule="atLeast"/>
              </w:trPr>
              <w:tc>
                <w:tcPr>
                  <w:tcW w:w="304" w:type="pct"/>
                  <w:tcBorders>
                    <w:top w:val="single" w:color="auto" w:sz="4" w:space="0"/>
                    <w:left w:val="single" w:color="auto" w:sz="4" w:space="0"/>
                    <w:bottom w:val="single" w:color="auto" w:sz="4" w:space="0"/>
                    <w:right w:val="single" w:color="auto" w:sz="4" w:space="0"/>
                  </w:tcBorders>
                  <w:vAlign w:val="center"/>
                </w:tcPr>
                <w:p w14:paraId="29D572CE">
                  <w:pPr>
                    <w:widowControl/>
                    <w:jc w:val="center"/>
                    <w:textAlignment w:val="center"/>
                    <w:rPr>
                      <w:color w:val="auto"/>
                      <w:kern w:val="0"/>
                      <w:sz w:val="22"/>
                      <w:szCs w:val="22"/>
                      <w:lang w:bidi="ar"/>
                    </w:rPr>
                  </w:pPr>
                  <w:r>
                    <w:rPr>
                      <w:rFonts w:hint="eastAsia"/>
                      <w:color w:val="auto"/>
                      <w:kern w:val="0"/>
                      <w:sz w:val="22"/>
                      <w:szCs w:val="22"/>
                      <w:lang w:bidi="ar"/>
                    </w:rPr>
                    <w:t>2</w:t>
                  </w:r>
                </w:p>
              </w:tc>
              <w:tc>
                <w:tcPr>
                  <w:tcW w:w="1673" w:type="pct"/>
                  <w:vMerge w:val="continue"/>
                  <w:tcBorders>
                    <w:left w:val="single" w:color="auto" w:sz="4" w:space="0"/>
                    <w:right w:val="single" w:color="auto" w:sz="4" w:space="0"/>
                  </w:tcBorders>
                  <w:vAlign w:val="center"/>
                </w:tcPr>
                <w:p w14:paraId="7A85B812">
                  <w:pPr>
                    <w:widowControl/>
                    <w:jc w:val="center"/>
                    <w:textAlignment w:val="center"/>
                    <w:rPr>
                      <w:color w:val="auto"/>
                      <w:sz w:val="22"/>
                      <w:szCs w:val="22"/>
                    </w:rPr>
                  </w:pPr>
                </w:p>
              </w:tc>
              <w:tc>
                <w:tcPr>
                  <w:tcW w:w="1542" w:type="pct"/>
                  <w:tcBorders>
                    <w:top w:val="single" w:color="000000" w:sz="4" w:space="0"/>
                    <w:left w:val="single" w:color="auto" w:sz="4" w:space="0"/>
                    <w:bottom w:val="single" w:color="000000" w:sz="4" w:space="0"/>
                    <w:right w:val="single" w:color="000000" w:sz="4" w:space="0"/>
                  </w:tcBorders>
                  <w:vAlign w:val="center"/>
                </w:tcPr>
                <w:p w14:paraId="58259D74">
                  <w:pPr>
                    <w:widowControl/>
                    <w:jc w:val="center"/>
                    <w:textAlignment w:val="center"/>
                    <w:rPr>
                      <w:rFonts w:hint="eastAsia" w:eastAsia="宋体"/>
                      <w:color w:val="auto"/>
                      <w:kern w:val="0"/>
                      <w:sz w:val="22"/>
                      <w:szCs w:val="22"/>
                      <w:lang w:eastAsia="zh-CN" w:bidi="ar"/>
                    </w:rPr>
                  </w:pPr>
                  <w:r>
                    <w:rPr>
                      <w:rFonts w:hint="eastAsia"/>
                      <w:color w:val="auto"/>
                      <w:kern w:val="0"/>
                      <w:sz w:val="22"/>
                      <w:szCs w:val="22"/>
                      <w:lang w:eastAsia="zh-CN" w:bidi="ar"/>
                    </w:rPr>
                    <w:t>氨气</w:t>
                  </w:r>
                </w:p>
              </w:tc>
              <w:tc>
                <w:tcPr>
                  <w:tcW w:w="584" w:type="pct"/>
                  <w:tcBorders>
                    <w:top w:val="single" w:color="000000" w:sz="4" w:space="0"/>
                    <w:left w:val="single" w:color="000000" w:sz="4" w:space="0"/>
                    <w:bottom w:val="single" w:color="000000" w:sz="4" w:space="0"/>
                    <w:right w:val="single" w:color="000000" w:sz="4" w:space="0"/>
                  </w:tcBorders>
                  <w:vAlign w:val="center"/>
                </w:tcPr>
                <w:p w14:paraId="6051D08C">
                  <w:pPr>
                    <w:pStyle w:val="101"/>
                    <w:rPr>
                      <w:rFonts w:hint="default" w:eastAsia="宋体"/>
                      <w:color w:val="auto"/>
                      <w:sz w:val="21"/>
                      <w:szCs w:val="21"/>
                      <w:lang w:val="en-US" w:eastAsia="zh-CN"/>
                    </w:rPr>
                  </w:pPr>
                  <w:r>
                    <w:rPr>
                      <w:rFonts w:hint="eastAsia"/>
                      <w:color w:val="auto"/>
                      <w:sz w:val="21"/>
                      <w:szCs w:val="21"/>
                      <w:lang w:val="en-US" w:eastAsia="zh-CN"/>
                    </w:rPr>
                    <w:t>0.045</w:t>
                  </w:r>
                </w:p>
              </w:tc>
              <w:tc>
                <w:tcPr>
                  <w:tcW w:w="896" w:type="pct"/>
                  <w:tcBorders>
                    <w:top w:val="single" w:color="000000" w:sz="4" w:space="0"/>
                    <w:left w:val="single" w:color="000000" w:sz="4" w:space="0"/>
                    <w:bottom w:val="single" w:color="000000" w:sz="4" w:space="0"/>
                    <w:right w:val="single" w:color="auto" w:sz="4" w:space="0"/>
                  </w:tcBorders>
                  <w:vAlign w:val="center"/>
                </w:tcPr>
                <w:p w14:paraId="261ACA7F">
                  <w:pPr>
                    <w:pStyle w:val="101"/>
                    <w:rPr>
                      <w:rFonts w:hint="default" w:eastAsia="宋体"/>
                      <w:color w:val="auto"/>
                      <w:sz w:val="21"/>
                      <w:szCs w:val="21"/>
                      <w:lang w:val="en-US" w:eastAsia="zh-CN"/>
                    </w:rPr>
                  </w:pPr>
                  <w:r>
                    <w:rPr>
                      <w:rFonts w:hint="eastAsia"/>
                      <w:color w:val="auto"/>
                      <w:sz w:val="21"/>
                      <w:szCs w:val="21"/>
                      <w:lang w:val="en-US" w:eastAsia="zh-CN"/>
                    </w:rPr>
                    <w:t>0.017</w:t>
                  </w:r>
                </w:p>
              </w:tc>
            </w:tr>
            <w:tr w14:paraId="41227B48">
              <w:tblPrEx>
                <w:tblCellMar>
                  <w:top w:w="0" w:type="dxa"/>
                  <w:left w:w="108" w:type="dxa"/>
                  <w:bottom w:w="0" w:type="dxa"/>
                  <w:right w:w="108" w:type="dxa"/>
                </w:tblCellMar>
              </w:tblPrEx>
              <w:trPr>
                <w:trHeight w:val="296" w:hRule="atLeast"/>
              </w:trPr>
              <w:tc>
                <w:tcPr>
                  <w:tcW w:w="304" w:type="pct"/>
                  <w:tcBorders>
                    <w:top w:val="single" w:color="auto" w:sz="4" w:space="0"/>
                    <w:left w:val="single" w:color="auto" w:sz="4" w:space="0"/>
                    <w:bottom w:val="single" w:color="auto" w:sz="4" w:space="0"/>
                    <w:right w:val="single" w:color="auto" w:sz="4" w:space="0"/>
                  </w:tcBorders>
                  <w:vAlign w:val="center"/>
                </w:tcPr>
                <w:p w14:paraId="1722CD31">
                  <w:pPr>
                    <w:widowControl/>
                    <w:jc w:val="center"/>
                    <w:textAlignment w:val="center"/>
                    <w:rPr>
                      <w:rFonts w:hint="eastAsia" w:eastAsia="宋体"/>
                      <w:color w:val="auto"/>
                      <w:kern w:val="0"/>
                      <w:sz w:val="22"/>
                      <w:szCs w:val="22"/>
                      <w:lang w:val="en-US" w:eastAsia="zh-CN" w:bidi="ar"/>
                    </w:rPr>
                  </w:pPr>
                  <w:r>
                    <w:rPr>
                      <w:rFonts w:hint="eastAsia"/>
                      <w:color w:val="auto"/>
                      <w:kern w:val="0"/>
                      <w:sz w:val="22"/>
                      <w:szCs w:val="22"/>
                      <w:lang w:val="en-US" w:eastAsia="zh-CN" w:bidi="ar"/>
                    </w:rPr>
                    <w:t>3</w:t>
                  </w:r>
                </w:p>
              </w:tc>
              <w:tc>
                <w:tcPr>
                  <w:tcW w:w="1673" w:type="pct"/>
                  <w:vMerge w:val="continue"/>
                  <w:tcBorders>
                    <w:left w:val="single" w:color="auto" w:sz="4" w:space="0"/>
                    <w:bottom w:val="single" w:color="auto" w:sz="4" w:space="0"/>
                    <w:right w:val="single" w:color="auto" w:sz="4" w:space="0"/>
                  </w:tcBorders>
                  <w:vAlign w:val="center"/>
                </w:tcPr>
                <w:p w14:paraId="4E51D86F">
                  <w:pPr>
                    <w:widowControl/>
                    <w:jc w:val="center"/>
                    <w:textAlignment w:val="center"/>
                    <w:rPr>
                      <w:color w:val="auto"/>
                      <w:sz w:val="22"/>
                      <w:szCs w:val="22"/>
                    </w:rPr>
                  </w:pPr>
                </w:p>
              </w:tc>
              <w:tc>
                <w:tcPr>
                  <w:tcW w:w="1542" w:type="pct"/>
                  <w:tcBorders>
                    <w:top w:val="single" w:color="000000" w:sz="4" w:space="0"/>
                    <w:left w:val="single" w:color="auto" w:sz="4" w:space="0"/>
                    <w:bottom w:val="single" w:color="000000" w:sz="4" w:space="0"/>
                    <w:right w:val="single" w:color="000000" w:sz="4" w:space="0"/>
                  </w:tcBorders>
                  <w:vAlign w:val="center"/>
                </w:tcPr>
                <w:p w14:paraId="5D9351C6">
                  <w:pPr>
                    <w:widowControl/>
                    <w:jc w:val="center"/>
                    <w:textAlignment w:val="center"/>
                    <w:rPr>
                      <w:rFonts w:hint="eastAsia" w:eastAsia="宋体"/>
                      <w:color w:val="auto"/>
                      <w:kern w:val="0"/>
                      <w:sz w:val="22"/>
                      <w:szCs w:val="22"/>
                      <w:lang w:eastAsia="zh-CN" w:bidi="ar"/>
                    </w:rPr>
                  </w:pPr>
                  <w:r>
                    <w:rPr>
                      <w:rFonts w:hint="eastAsia"/>
                      <w:color w:val="auto"/>
                      <w:kern w:val="0"/>
                      <w:sz w:val="22"/>
                      <w:szCs w:val="22"/>
                      <w:lang w:eastAsia="zh-CN" w:bidi="ar"/>
                    </w:rPr>
                    <w:t>硫化氢</w:t>
                  </w:r>
                </w:p>
              </w:tc>
              <w:tc>
                <w:tcPr>
                  <w:tcW w:w="584" w:type="pct"/>
                  <w:tcBorders>
                    <w:top w:val="single" w:color="000000" w:sz="4" w:space="0"/>
                    <w:left w:val="single" w:color="000000" w:sz="4" w:space="0"/>
                    <w:bottom w:val="single" w:color="000000" w:sz="4" w:space="0"/>
                    <w:right w:val="single" w:color="000000" w:sz="4" w:space="0"/>
                  </w:tcBorders>
                  <w:vAlign w:val="center"/>
                </w:tcPr>
                <w:p w14:paraId="5ACCEEAD">
                  <w:pPr>
                    <w:pStyle w:val="101"/>
                    <w:rPr>
                      <w:rFonts w:hint="default"/>
                      <w:color w:val="auto"/>
                      <w:sz w:val="21"/>
                      <w:szCs w:val="21"/>
                      <w:lang w:val="en-US" w:eastAsia="zh-CN"/>
                    </w:rPr>
                  </w:pPr>
                  <w:r>
                    <w:rPr>
                      <w:rFonts w:hint="eastAsia"/>
                      <w:color w:val="auto"/>
                      <w:sz w:val="21"/>
                      <w:szCs w:val="21"/>
                      <w:lang w:val="en-US" w:eastAsia="zh-CN"/>
                    </w:rPr>
                    <w:t>0.001</w:t>
                  </w:r>
                </w:p>
              </w:tc>
              <w:tc>
                <w:tcPr>
                  <w:tcW w:w="896" w:type="pct"/>
                  <w:tcBorders>
                    <w:top w:val="single" w:color="000000" w:sz="4" w:space="0"/>
                    <w:left w:val="single" w:color="000000" w:sz="4" w:space="0"/>
                    <w:bottom w:val="single" w:color="000000" w:sz="4" w:space="0"/>
                    <w:right w:val="single" w:color="auto" w:sz="4" w:space="0"/>
                  </w:tcBorders>
                  <w:vAlign w:val="center"/>
                </w:tcPr>
                <w:p w14:paraId="7AA05DD2">
                  <w:pPr>
                    <w:pStyle w:val="101"/>
                    <w:rPr>
                      <w:rFonts w:hint="default"/>
                      <w:color w:val="auto"/>
                      <w:sz w:val="21"/>
                      <w:szCs w:val="21"/>
                      <w:lang w:val="en-US" w:eastAsia="zh-CN"/>
                    </w:rPr>
                  </w:pPr>
                  <w:r>
                    <w:rPr>
                      <w:rFonts w:hint="eastAsia"/>
                      <w:color w:val="auto"/>
                      <w:sz w:val="21"/>
                      <w:szCs w:val="21"/>
                      <w:lang w:val="en-US" w:eastAsia="zh-CN"/>
                    </w:rPr>
                    <w:t>0.0004</w:t>
                  </w:r>
                </w:p>
              </w:tc>
            </w:tr>
          </w:tbl>
          <w:p w14:paraId="0D7EF8EF">
            <w:pPr>
              <w:spacing w:line="360" w:lineRule="auto"/>
              <w:rPr>
                <w:rFonts w:hint="eastAsia"/>
                <w:b/>
                <w:bCs/>
                <w:color w:val="auto"/>
                <w:sz w:val="24"/>
                <w:szCs w:val="32"/>
                <w:vertAlign w:val="baseline"/>
                <w:lang w:val="en-US" w:eastAsia="zh-CN"/>
              </w:rPr>
            </w:pPr>
            <w:r>
              <w:rPr>
                <w:rFonts w:hint="eastAsia"/>
                <w:b/>
                <w:bCs/>
                <w:color w:val="auto"/>
                <w:sz w:val="24"/>
                <w:szCs w:val="32"/>
                <w:vertAlign w:val="baseline"/>
                <w:lang w:val="en-US" w:eastAsia="zh-CN"/>
              </w:rPr>
              <w:t>2、大气环境影响分析</w:t>
            </w:r>
          </w:p>
          <w:p w14:paraId="16D68B70">
            <w:pPr>
              <w:pStyle w:val="14"/>
              <w:spacing w:before="0" w:after="0" w:line="360" w:lineRule="auto"/>
              <w:ind w:right="0" w:firstLine="480" w:firstLineChars="200"/>
              <w:rPr>
                <w:color w:val="auto"/>
                <w:sz w:val="24"/>
                <w:szCs w:val="24"/>
              </w:rPr>
            </w:pPr>
            <w:r>
              <w:rPr>
                <w:color w:val="auto"/>
                <w:sz w:val="24"/>
                <w:szCs w:val="24"/>
              </w:rPr>
              <w:t>本项目废气主要为</w:t>
            </w:r>
            <w:r>
              <w:rPr>
                <w:rFonts w:hint="eastAsia"/>
                <w:color w:val="auto"/>
                <w:sz w:val="24"/>
                <w:szCs w:val="24"/>
                <w:lang w:eastAsia="zh-CN"/>
              </w:rPr>
              <w:t>处理过程中产生的氨气、硫化氢和臭气浓度和非甲烷总烃，生产车间加热罐、三相分离设备的废气经油雾净化器</w:t>
            </w:r>
            <w:r>
              <w:rPr>
                <w:rFonts w:hint="eastAsia"/>
                <w:color w:val="auto"/>
                <w:sz w:val="24"/>
                <w:szCs w:val="24"/>
                <w:lang w:val="en-US" w:eastAsia="zh-CN"/>
              </w:rPr>
              <w:t>+</w:t>
            </w:r>
            <w:r>
              <w:rPr>
                <w:rFonts w:hint="eastAsia"/>
                <w:color w:val="auto"/>
                <w:sz w:val="24"/>
                <w:u w:val="none"/>
                <w:lang w:val="en-US" w:eastAsia="zh-CN"/>
              </w:rPr>
              <w:t>管式热交换器</w:t>
            </w:r>
            <w:r>
              <w:rPr>
                <w:rFonts w:hint="eastAsia"/>
                <w:color w:val="auto"/>
                <w:sz w:val="24"/>
                <w:szCs w:val="24"/>
                <w:lang w:eastAsia="zh-CN"/>
              </w:rPr>
              <w:t>处理后，汇同车间其他废气、储罐废气混合进入酸洗+碱洗+次氯酸钠洗</w:t>
            </w:r>
            <w:r>
              <w:rPr>
                <w:rFonts w:hint="eastAsia"/>
                <w:color w:val="auto"/>
                <w:sz w:val="24"/>
                <w:szCs w:val="24"/>
                <w:lang w:val="en-US" w:eastAsia="zh-CN"/>
              </w:rPr>
              <w:t>+干式过滤器+一级活性炭</w:t>
            </w:r>
            <w:r>
              <w:rPr>
                <w:rFonts w:hint="eastAsia"/>
                <w:color w:val="auto"/>
                <w:sz w:val="24"/>
                <w:szCs w:val="24"/>
                <w:lang w:eastAsia="zh-CN"/>
              </w:rPr>
              <w:t>处理后通过排气筒（DA001）排放</w:t>
            </w:r>
            <w:r>
              <w:rPr>
                <w:color w:val="auto"/>
                <w:sz w:val="24"/>
                <w:szCs w:val="24"/>
              </w:rPr>
              <w:t>。</w:t>
            </w:r>
          </w:p>
          <w:p w14:paraId="4B5452B5">
            <w:pPr>
              <w:pStyle w:val="70"/>
              <w:spacing w:line="360" w:lineRule="auto"/>
              <w:ind w:firstLine="480"/>
              <w:rPr>
                <w:rFonts w:cs="Times New Roman"/>
                <w:color w:val="auto"/>
              </w:rPr>
            </w:pPr>
            <w:r>
              <w:rPr>
                <w:rFonts w:cs="Times New Roman"/>
                <w:color w:val="auto"/>
              </w:rPr>
              <w:t>（1）污染物排放达标分析</w:t>
            </w:r>
          </w:p>
          <w:p w14:paraId="2C228B99">
            <w:pPr>
              <w:pStyle w:val="70"/>
              <w:spacing w:line="360" w:lineRule="auto"/>
              <w:ind w:firstLine="480"/>
              <w:rPr>
                <w:rFonts w:hint="default" w:cs="Times New Roman"/>
                <w:color w:val="auto"/>
                <w:lang w:val="en-US" w:eastAsia="zh-CN"/>
              </w:rPr>
            </w:pPr>
            <w:r>
              <w:rPr>
                <w:rFonts w:hint="eastAsia" w:cs="Times New Roman"/>
                <w:color w:val="auto"/>
                <w:lang w:val="en-US" w:eastAsia="zh-CN"/>
              </w:rPr>
              <w:t>非甲烷总烃排放浓度为13.50</w:t>
            </w:r>
            <w:r>
              <w:rPr>
                <w:rFonts w:hint="eastAsia" w:cs="Times New Roman"/>
                <w:color w:val="auto"/>
              </w:rPr>
              <w:t>mg/m</w:t>
            </w:r>
            <w:r>
              <w:rPr>
                <w:rFonts w:hint="eastAsia" w:cs="Times New Roman"/>
                <w:color w:val="auto"/>
                <w:vertAlign w:val="superscript"/>
              </w:rPr>
              <w:t>3</w:t>
            </w:r>
            <w:r>
              <w:rPr>
                <w:rFonts w:hint="eastAsia" w:cs="Times New Roman"/>
                <w:color w:val="auto"/>
              </w:rPr>
              <w:t>，</w:t>
            </w:r>
            <w:r>
              <w:rPr>
                <w:rFonts w:hint="eastAsia" w:cs="Times New Roman"/>
                <w:color w:val="auto"/>
                <w:lang w:eastAsia="zh-CN"/>
              </w:rPr>
              <w:t>能够</w:t>
            </w:r>
            <w:r>
              <w:rPr>
                <w:rFonts w:hint="eastAsia"/>
                <w:color w:val="auto"/>
                <w:lang w:val="en-US" w:eastAsia="zh-CN"/>
              </w:rPr>
              <w:t>满足</w:t>
            </w:r>
            <w:r>
              <w:rPr>
                <w:rFonts w:hint="eastAsia" w:cs="Times New Roman"/>
                <w:color w:val="auto"/>
              </w:rPr>
              <w:t>《大气污染物综合排放标准》（GB16297-1996）中二级排放标准限值要求</w:t>
            </w:r>
            <w:r>
              <w:rPr>
                <w:rFonts w:hint="eastAsia" w:cs="Times New Roman"/>
                <w:color w:val="auto"/>
                <w:lang w:eastAsia="zh-CN"/>
              </w:rPr>
              <w:t>；氨气排放速率为</w:t>
            </w:r>
            <w:r>
              <w:rPr>
                <w:rFonts w:hint="eastAsia" w:cs="Times New Roman"/>
                <w:color w:val="auto"/>
                <w:lang w:val="en-US" w:eastAsia="zh-CN"/>
              </w:rPr>
              <w:t>0.016kg/h，硫化氢排放速率为0.0007kg/h，</w:t>
            </w:r>
            <w:r>
              <w:rPr>
                <w:rFonts w:hint="eastAsia" w:cs="Times New Roman"/>
                <w:color w:val="auto"/>
                <w:lang w:eastAsia="zh-CN"/>
              </w:rPr>
              <w:t>能满足《恶臭污染物排放标准》(GB14554-93)中相关标准限值要求。</w:t>
            </w:r>
          </w:p>
          <w:p w14:paraId="54FC89D4">
            <w:pPr>
              <w:jc w:val="center"/>
              <w:rPr>
                <w:color w:val="auto"/>
                <w:sz w:val="24"/>
                <w:szCs w:val="32"/>
              </w:rPr>
            </w:pPr>
            <w:r>
              <w:rPr>
                <w:b/>
                <w:bCs/>
                <w:color w:val="auto"/>
                <w:kern w:val="0"/>
                <w:sz w:val="21"/>
                <w:szCs w:val="21"/>
              </w:rPr>
              <w:t>表4-</w:t>
            </w:r>
            <w:r>
              <w:rPr>
                <w:rFonts w:hint="eastAsia"/>
                <w:b/>
                <w:bCs/>
                <w:color w:val="auto"/>
                <w:kern w:val="0"/>
                <w:sz w:val="21"/>
                <w:szCs w:val="21"/>
                <w:lang w:val="en-US" w:eastAsia="zh-CN"/>
              </w:rPr>
              <w:t>10</w:t>
            </w:r>
            <w:r>
              <w:rPr>
                <w:b/>
                <w:bCs/>
                <w:color w:val="auto"/>
                <w:kern w:val="0"/>
                <w:sz w:val="21"/>
                <w:szCs w:val="21"/>
              </w:rPr>
              <w:t>建设项目废气排放口基本情况表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
              <w:gridCol w:w="728"/>
              <w:gridCol w:w="689"/>
              <w:gridCol w:w="826"/>
              <w:gridCol w:w="824"/>
              <w:gridCol w:w="766"/>
              <w:gridCol w:w="935"/>
              <w:gridCol w:w="901"/>
              <w:gridCol w:w="479"/>
              <w:gridCol w:w="605"/>
              <w:gridCol w:w="607"/>
              <w:gridCol w:w="640"/>
            </w:tblGrid>
            <w:tr w14:paraId="6F158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17" w:type="pct"/>
                  <w:vMerge w:val="restart"/>
                  <w:noWrap w:val="0"/>
                  <w:vAlign w:val="center"/>
                </w:tcPr>
                <w:p w14:paraId="524195B1">
                  <w:pPr>
                    <w:jc w:val="center"/>
                    <w:rPr>
                      <w:color w:val="auto"/>
                      <w:szCs w:val="21"/>
                    </w:rPr>
                  </w:pPr>
                  <w:r>
                    <w:rPr>
                      <w:color w:val="auto"/>
                      <w:szCs w:val="21"/>
                    </w:rPr>
                    <w:t>排放口编号</w:t>
                  </w:r>
                </w:p>
              </w:tc>
              <w:tc>
                <w:tcPr>
                  <w:tcW w:w="426" w:type="pct"/>
                  <w:vMerge w:val="restart"/>
                  <w:noWrap w:val="0"/>
                  <w:vAlign w:val="center"/>
                </w:tcPr>
                <w:p w14:paraId="3BB3BF7D">
                  <w:pPr>
                    <w:jc w:val="center"/>
                    <w:rPr>
                      <w:color w:val="auto"/>
                      <w:szCs w:val="21"/>
                    </w:rPr>
                  </w:pPr>
                  <w:r>
                    <w:rPr>
                      <w:color w:val="auto"/>
                      <w:szCs w:val="21"/>
                    </w:rPr>
                    <w:t>污染物种类</w:t>
                  </w:r>
                </w:p>
              </w:tc>
              <w:tc>
                <w:tcPr>
                  <w:tcW w:w="886" w:type="pct"/>
                  <w:gridSpan w:val="2"/>
                  <w:noWrap w:val="0"/>
                  <w:vAlign w:val="center"/>
                </w:tcPr>
                <w:p w14:paraId="4B72D1CC">
                  <w:pPr>
                    <w:jc w:val="center"/>
                    <w:rPr>
                      <w:color w:val="auto"/>
                      <w:szCs w:val="21"/>
                    </w:rPr>
                  </w:pPr>
                  <w:r>
                    <w:rPr>
                      <w:color w:val="auto"/>
                      <w:szCs w:val="21"/>
                    </w:rPr>
                    <w:t>排放情况</w:t>
                  </w:r>
                </w:p>
              </w:tc>
              <w:tc>
                <w:tcPr>
                  <w:tcW w:w="930" w:type="pct"/>
                  <w:gridSpan w:val="2"/>
                  <w:noWrap w:val="0"/>
                  <w:vAlign w:val="center"/>
                </w:tcPr>
                <w:p w14:paraId="53840B99">
                  <w:pPr>
                    <w:jc w:val="center"/>
                    <w:rPr>
                      <w:color w:val="auto"/>
                      <w:szCs w:val="21"/>
                    </w:rPr>
                  </w:pPr>
                  <w:r>
                    <w:rPr>
                      <w:color w:val="auto"/>
                      <w:szCs w:val="21"/>
                    </w:rPr>
                    <w:t>排放标准</w:t>
                  </w:r>
                </w:p>
              </w:tc>
              <w:tc>
                <w:tcPr>
                  <w:tcW w:w="1074" w:type="pct"/>
                  <w:gridSpan w:val="2"/>
                  <w:noWrap w:val="0"/>
                  <w:vAlign w:val="center"/>
                </w:tcPr>
                <w:p w14:paraId="69C81281">
                  <w:pPr>
                    <w:jc w:val="center"/>
                    <w:rPr>
                      <w:color w:val="auto"/>
                      <w:szCs w:val="21"/>
                    </w:rPr>
                  </w:pPr>
                  <w:r>
                    <w:rPr>
                      <w:color w:val="auto"/>
                      <w:szCs w:val="21"/>
                    </w:rPr>
                    <w:t>排放口地理坐标</w:t>
                  </w:r>
                </w:p>
              </w:tc>
              <w:tc>
                <w:tcPr>
                  <w:tcW w:w="280" w:type="pct"/>
                  <w:vMerge w:val="restart"/>
                  <w:noWrap w:val="0"/>
                  <w:vAlign w:val="center"/>
                </w:tcPr>
                <w:p w14:paraId="55B8598F">
                  <w:pPr>
                    <w:jc w:val="center"/>
                    <w:rPr>
                      <w:color w:val="auto"/>
                      <w:szCs w:val="21"/>
                    </w:rPr>
                  </w:pPr>
                  <w:r>
                    <w:rPr>
                      <w:color w:val="auto"/>
                      <w:szCs w:val="21"/>
                    </w:rPr>
                    <w:t>排放口类型</w:t>
                  </w:r>
                </w:p>
              </w:tc>
              <w:tc>
                <w:tcPr>
                  <w:tcW w:w="1083" w:type="pct"/>
                  <w:gridSpan w:val="3"/>
                  <w:noWrap w:val="0"/>
                  <w:vAlign w:val="center"/>
                </w:tcPr>
                <w:p w14:paraId="425EC0D5">
                  <w:pPr>
                    <w:jc w:val="center"/>
                    <w:rPr>
                      <w:color w:val="auto"/>
                      <w:szCs w:val="21"/>
                    </w:rPr>
                  </w:pPr>
                  <w:r>
                    <w:rPr>
                      <w:color w:val="auto"/>
                      <w:szCs w:val="21"/>
                    </w:rPr>
                    <w:t>排放口参数</w:t>
                  </w:r>
                </w:p>
              </w:tc>
            </w:tr>
            <w:tr w14:paraId="6BFB8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7" w:type="pct"/>
                  <w:vMerge w:val="continue"/>
                  <w:noWrap w:val="0"/>
                  <w:vAlign w:val="center"/>
                </w:tcPr>
                <w:p w14:paraId="4F9188CE">
                  <w:pPr>
                    <w:jc w:val="center"/>
                    <w:rPr>
                      <w:color w:val="auto"/>
                      <w:szCs w:val="21"/>
                    </w:rPr>
                  </w:pPr>
                </w:p>
              </w:tc>
              <w:tc>
                <w:tcPr>
                  <w:tcW w:w="426" w:type="pct"/>
                  <w:vMerge w:val="continue"/>
                  <w:noWrap w:val="0"/>
                  <w:vAlign w:val="center"/>
                </w:tcPr>
                <w:p w14:paraId="49FA86BA">
                  <w:pPr>
                    <w:jc w:val="center"/>
                    <w:rPr>
                      <w:color w:val="auto"/>
                      <w:szCs w:val="21"/>
                    </w:rPr>
                  </w:pPr>
                </w:p>
              </w:tc>
              <w:tc>
                <w:tcPr>
                  <w:tcW w:w="403" w:type="pct"/>
                  <w:noWrap w:val="0"/>
                  <w:vAlign w:val="center"/>
                </w:tcPr>
                <w:p w14:paraId="4781B73C">
                  <w:pPr>
                    <w:jc w:val="center"/>
                    <w:rPr>
                      <w:color w:val="auto"/>
                      <w:szCs w:val="21"/>
                    </w:rPr>
                  </w:pPr>
                  <w:r>
                    <w:rPr>
                      <w:color w:val="auto"/>
                      <w:szCs w:val="21"/>
                    </w:rPr>
                    <w:t>速率（kg/h）</w:t>
                  </w:r>
                </w:p>
              </w:tc>
              <w:tc>
                <w:tcPr>
                  <w:tcW w:w="482" w:type="pct"/>
                  <w:noWrap w:val="0"/>
                  <w:vAlign w:val="center"/>
                </w:tcPr>
                <w:p w14:paraId="7C679AD6">
                  <w:pPr>
                    <w:jc w:val="center"/>
                    <w:rPr>
                      <w:color w:val="auto"/>
                      <w:szCs w:val="21"/>
                    </w:rPr>
                  </w:pPr>
                  <w:r>
                    <w:rPr>
                      <w:color w:val="auto"/>
                      <w:szCs w:val="21"/>
                    </w:rPr>
                    <w:t>浓度（mg/m</w:t>
                  </w:r>
                  <w:r>
                    <w:rPr>
                      <w:color w:val="auto"/>
                      <w:szCs w:val="21"/>
                      <w:vertAlign w:val="superscript"/>
                    </w:rPr>
                    <w:t>3</w:t>
                  </w:r>
                  <w:r>
                    <w:rPr>
                      <w:color w:val="auto"/>
                      <w:szCs w:val="21"/>
                    </w:rPr>
                    <w:t>）</w:t>
                  </w:r>
                </w:p>
              </w:tc>
              <w:tc>
                <w:tcPr>
                  <w:tcW w:w="482" w:type="pct"/>
                  <w:noWrap w:val="0"/>
                  <w:vAlign w:val="center"/>
                </w:tcPr>
                <w:p w14:paraId="71CECBA4">
                  <w:pPr>
                    <w:jc w:val="center"/>
                    <w:rPr>
                      <w:color w:val="auto"/>
                      <w:szCs w:val="21"/>
                    </w:rPr>
                  </w:pPr>
                  <w:r>
                    <w:rPr>
                      <w:color w:val="auto"/>
                      <w:szCs w:val="21"/>
                    </w:rPr>
                    <w:t>浓度（mg/m</w:t>
                  </w:r>
                  <w:r>
                    <w:rPr>
                      <w:color w:val="auto"/>
                      <w:szCs w:val="21"/>
                      <w:vertAlign w:val="superscript"/>
                    </w:rPr>
                    <w:t>3</w:t>
                  </w:r>
                  <w:r>
                    <w:rPr>
                      <w:color w:val="auto"/>
                      <w:szCs w:val="21"/>
                    </w:rPr>
                    <w:t>）</w:t>
                  </w:r>
                </w:p>
              </w:tc>
              <w:tc>
                <w:tcPr>
                  <w:tcW w:w="447" w:type="pct"/>
                  <w:noWrap w:val="0"/>
                  <w:vAlign w:val="center"/>
                </w:tcPr>
                <w:p w14:paraId="01057873">
                  <w:pPr>
                    <w:jc w:val="center"/>
                    <w:rPr>
                      <w:color w:val="auto"/>
                      <w:szCs w:val="21"/>
                    </w:rPr>
                  </w:pPr>
                  <w:r>
                    <w:rPr>
                      <w:color w:val="auto"/>
                      <w:szCs w:val="21"/>
                    </w:rPr>
                    <w:t>速率（kg/h）</w:t>
                  </w:r>
                </w:p>
              </w:tc>
              <w:tc>
                <w:tcPr>
                  <w:tcW w:w="547" w:type="pct"/>
                  <w:noWrap w:val="0"/>
                  <w:vAlign w:val="center"/>
                </w:tcPr>
                <w:p w14:paraId="638BD0E7">
                  <w:pPr>
                    <w:jc w:val="center"/>
                    <w:rPr>
                      <w:color w:val="auto"/>
                      <w:szCs w:val="21"/>
                    </w:rPr>
                  </w:pPr>
                  <w:r>
                    <w:rPr>
                      <w:color w:val="auto"/>
                      <w:szCs w:val="21"/>
                    </w:rPr>
                    <w:t>经度</w:t>
                  </w:r>
                </w:p>
              </w:tc>
              <w:tc>
                <w:tcPr>
                  <w:tcW w:w="527" w:type="pct"/>
                  <w:noWrap w:val="0"/>
                  <w:vAlign w:val="center"/>
                </w:tcPr>
                <w:p w14:paraId="521F0D8E">
                  <w:pPr>
                    <w:jc w:val="center"/>
                    <w:rPr>
                      <w:color w:val="auto"/>
                      <w:szCs w:val="21"/>
                    </w:rPr>
                  </w:pPr>
                  <w:r>
                    <w:rPr>
                      <w:color w:val="auto"/>
                      <w:szCs w:val="21"/>
                    </w:rPr>
                    <w:t>纬度</w:t>
                  </w:r>
                </w:p>
              </w:tc>
              <w:tc>
                <w:tcPr>
                  <w:tcW w:w="280" w:type="pct"/>
                  <w:vMerge w:val="continue"/>
                  <w:noWrap w:val="0"/>
                  <w:vAlign w:val="center"/>
                </w:tcPr>
                <w:p w14:paraId="0FEDB881">
                  <w:pPr>
                    <w:jc w:val="center"/>
                    <w:rPr>
                      <w:color w:val="auto"/>
                      <w:szCs w:val="21"/>
                    </w:rPr>
                  </w:pPr>
                </w:p>
              </w:tc>
              <w:tc>
                <w:tcPr>
                  <w:tcW w:w="354" w:type="pct"/>
                  <w:noWrap w:val="0"/>
                  <w:vAlign w:val="center"/>
                </w:tcPr>
                <w:p w14:paraId="3DD6C80C">
                  <w:pPr>
                    <w:jc w:val="center"/>
                    <w:rPr>
                      <w:color w:val="auto"/>
                      <w:szCs w:val="21"/>
                    </w:rPr>
                  </w:pPr>
                  <w:r>
                    <w:rPr>
                      <w:color w:val="auto"/>
                      <w:szCs w:val="21"/>
                    </w:rPr>
                    <w:t>高度（m）</w:t>
                  </w:r>
                </w:p>
              </w:tc>
              <w:tc>
                <w:tcPr>
                  <w:tcW w:w="355" w:type="pct"/>
                  <w:noWrap w:val="0"/>
                  <w:vAlign w:val="center"/>
                </w:tcPr>
                <w:p w14:paraId="3A404602">
                  <w:pPr>
                    <w:jc w:val="center"/>
                    <w:rPr>
                      <w:color w:val="auto"/>
                      <w:szCs w:val="21"/>
                    </w:rPr>
                  </w:pPr>
                  <w:r>
                    <w:rPr>
                      <w:color w:val="auto"/>
                      <w:szCs w:val="21"/>
                    </w:rPr>
                    <w:t>内径（m）</w:t>
                  </w:r>
                </w:p>
              </w:tc>
              <w:tc>
                <w:tcPr>
                  <w:tcW w:w="374" w:type="pct"/>
                  <w:noWrap w:val="0"/>
                  <w:vAlign w:val="center"/>
                </w:tcPr>
                <w:p w14:paraId="1FB8C47B">
                  <w:pPr>
                    <w:jc w:val="center"/>
                    <w:rPr>
                      <w:color w:val="auto"/>
                      <w:szCs w:val="21"/>
                    </w:rPr>
                  </w:pPr>
                  <w:r>
                    <w:rPr>
                      <w:color w:val="auto"/>
                      <w:szCs w:val="21"/>
                    </w:rPr>
                    <w:t>温度（℃）</w:t>
                  </w:r>
                </w:p>
              </w:tc>
            </w:tr>
            <w:tr w14:paraId="18EE6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317" w:type="pct"/>
                  <w:vMerge w:val="restart"/>
                  <w:noWrap w:val="0"/>
                  <w:vAlign w:val="center"/>
                </w:tcPr>
                <w:p w14:paraId="32D77675">
                  <w:pPr>
                    <w:jc w:val="center"/>
                    <w:rPr>
                      <w:rFonts w:hint="eastAsia" w:eastAsia="宋体"/>
                      <w:color w:val="auto"/>
                      <w:szCs w:val="21"/>
                      <w:lang w:val="en-US" w:eastAsia="zh-CN"/>
                    </w:rPr>
                  </w:pPr>
                  <w:r>
                    <w:rPr>
                      <w:color w:val="auto"/>
                      <w:szCs w:val="21"/>
                    </w:rPr>
                    <w:t>DA0</w:t>
                  </w:r>
                  <w:r>
                    <w:rPr>
                      <w:rFonts w:hint="eastAsia"/>
                      <w:color w:val="auto"/>
                      <w:szCs w:val="21"/>
                      <w:lang w:val="en-US" w:eastAsia="zh-CN"/>
                    </w:rPr>
                    <w:t>01</w:t>
                  </w:r>
                </w:p>
              </w:tc>
              <w:tc>
                <w:tcPr>
                  <w:tcW w:w="426" w:type="pct"/>
                  <w:noWrap w:val="0"/>
                  <w:vAlign w:val="center"/>
                </w:tcPr>
                <w:p w14:paraId="27938C4D">
                  <w:pPr>
                    <w:widowControl/>
                    <w:jc w:val="center"/>
                    <w:textAlignment w:val="center"/>
                    <w:rPr>
                      <w:rFonts w:hint="eastAsia" w:eastAsia="宋体"/>
                      <w:bCs/>
                      <w:color w:val="auto"/>
                      <w:kern w:val="2"/>
                      <w:sz w:val="21"/>
                      <w:szCs w:val="21"/>
                      <w:lang w:val="en-US" w:eastAsia="zh-CN" w:bidi="ar-SA"/>
                    </w:rPr>
                  </w:pPr>
                  <w:r>
                    <w:rPr>
                      <w:rFonts w:hint="eastAsia"/>
                      <w:color w:val="auto"/>
                    </w:rPr>
                    <w:t>非甲烷总烃</w:t>
                  </w:r>
                </w:p>
              </w:tc>
              <w:tc>
                <w:tcPr>
                  <w:tcW w:w="690" w:type="dxa"/>
                  <w:shd w:val="clear" w:color="auto" w:fill="auto"/>
                  <w:noWrap w:val="0"/>
                  <w:vAlign w:val="center"/>
                </w:tcPr>
                <w:p w14:paraId="6C386362">
                  <w:pPr>
                    <w:pStyle w:val="101"/>
                    <w:rPr>
                      <w:rFonts w:hint="default" w:ascii="Calibri" w:hAnsi="Calibri" w:eastAsia="宋体" w:cs="Times New Roman"/>
                      <w:color w:val="auto"/>
                      <w:kern w:val="2"/>
                      <w:sz w:val="21"/>
                      <w:szCs w:val="21"/>
                      <w:lang w:val="en-US" w:eastAsia="zh-CN" w:bidi="ar-SA"/>
                    </w:rPr>
                  </w:pPr>
                  <w:r>
                    <w:rPr>
                      <w:rFonts w:hint="eastAsia"/>
                      <w:color w:val="auto"/>
                      <w:sz w:val="21"/>
                      <w:szCs w:val="21"/>
                      <w:lang w:val="en-US" w:eastAsia="zh-CN"/>
                    </w:rPr>
                    <w:t>0.270</w:t>
                  </w:r>
                </w:p>
              </w:tc>
              <w:tc>
                <w:tcPr>
                  <w:tcW w:w="825" w:type="dxa"/>
                  <w:shd w:val="clear" w:color="auto" w:fill="auto"/>
                  <w:noWrap w:val="0"/>
                  <w:vAlign w:val="center"/>
                </w:tcPr>
                <w:p w14:paraId="3EEC13E6">
                  <w:pPr>
                    <w:pStyle w:val="101"/>
                    <w:rPr>
                      <w:rFonts w:hint="default" w:ascii="Calibri" w:hAnsi="Calibri" w:eastAsia="宋体" w:cs="Times New Roman"/>
                      <w:color w:val="auto"/>
                      <w:kern w:val="2"/>
                      <w:sz w:val="21"/>
                      <w:szCs w:val="21"/>
                      <w:lang w:val="en-US" w:eastAsia="zh-CN" w:bidi="ar-SA"/>
                    </w:rPr>
                  </w:pPr>
                  <w:r>
                    <w:rPr>
                      <w:rFonts w:hint="eastAsia"/>
                      <w:color w:val="auto"/>
                      <w:sz w:val="21"/>
                      <w:szCs w:val="21"/>
                      <w:lang w:val="en-US" w:eastAsia="zh-CN"/>
                    </w:rPr>
                    <w:t>13.50</w:t>
                  </w:r>
                </w:p>
              </w:tc>
              <w:tc>
                <w:tcPr>
                  <w:tcW w:w="482" w:type="pct"/>
                  <w:shd w:val="clear" w:color="auto" w:fill="auto"/>
                  <w:noWrap w:val="0"/>
                  <w:vAlign w:val="center"/>
                </w:tcPr>
                <w:p w14:paraId="64730A92">
                  <w:pPr>
                    <w:pStyle w:val="101"/>
                    <w:rPr>
                      <w:rFonts w:hint="default" w:ascii="Calibri" w:hAnsi="Calibri" w:eastAsia="宋体" w:cs="Times New Roman"/>
                      <w:color w:val="auto"/>
                      <w:kern w:val="2"/>
                      <w:sz w:val="21"/>
                      <w:szCs w:val="21"/>
                      <w:lang w:val="en-US" w:eastAsia="zh-CN" w:bidi="ar-SA"/>
                    </w:rPr>
                  </w:pPr>
                  <w:r>
                    <w:rPr>
                      <w:rFonts w:hint="eastAsia"/>
                      <w:color w:val="auto"/>
                      <w:sz w:val="21"/>
                      <w:szCs w:val="21"/>
                      <w:lang w:val="en-US" w:eastAsia="zh-CN"/>
                    </w:rPr>
                    <w:t>120</w:t>
                  </w:r>
                </w:p>
              </w:tc>
              <w:tc>
                <w:tcPr>
                  <w:tcW w:w="447" w:type="pct"/>
                  <w:shd w:val="clear" w:color="auto" w:fill="auto"/>
                  <w:noWrap w:val="0"/>
                  <w:vAlign w:val="center"/>
                </w:tcPr>
                <w:p w14:paraId="0BDB61EF">
                  <w:pPr>
                    <w:pStyle w:val="101"/>
                    <w:rPr>
                      <w:rFonts w:hint="default" w:ascii="Calibri" w:hAnsi="Calibri" w:eastAsia="宋体" w:cs="Times New Roman"/>
                      <w:color w:val="auto"/>
                      <w:kern w:val="2"/>
                      <w:sz w:val="21"/>
                      <w:szCs w:val="21"/>
                      <w:lang w:val="en-US" w:eastAsia="zh-CN" w:bidi="ar-SA"/>
                    </w:rPr>
                  </w:pPr>
                  <w:r>
                    <w:rPr>
                      <w:rFonts w:hint="eastAsia"/>
                      <w:color w:val="auto"/>
                      <w:sz w:val="21"/>
                      <w:szCs w:val="21"/>
                      <w:lang w:val="en-US" w:eastAsia="zh-CN"/>
                    </w:rPr>
                    <w:t>5</w:t>
                  </w:r>
                </w:p>
              </w:tc>
              <w:tc>
                <w:tcPr>
                  <w:tcW w:w="547" w:type="pct"/>
                  <w:vMerge w:val="restart"/>
                  <w:shd w:val="clear" w:color="auto" w:fill="auto"/>
                  <w:noWrap w:val="0"/>
                  <w:vAlign w:val="center"/>
                </w:tcPr>
                <w:p w14:paraId="1D380E5A">
                  <w:pPr>
                    <w:widowControl/>
                    <w:jc w:val="center"/>
                    <w:textAlignment w:val="center"/>
                    <w:rPr>
                      <w:color w:val="auto"/>
                      <w:sz w:val="21"/>
                      <w:szCs w:val="21"/>
                    </w:rPr>
                  </w:pPr>
                  <w:r>
                    <w:rPr>
                      <w:rFonts w:hint="eastAsia"/>
                      <w:color w:val="auto"/>
                      <w:sz w:val="21"/>
                      <w:szCs w:val="21"/>
                    </w:rPr>
                    <w:t>116.816938864</w:t>
                  </w:r>
                </w:p>
              </w:tc>
              <w:tc>
                <w:tcPr>
                  <w:tcW w:w="527" w:type="pct"/>
                  <w:vMerge w:val="restart"/>
                  <w:shd w:val="clear" w:color="auto" w:fill="auto"/>
                  <w:noWrap w:val="0"/>
                  <w:vAlign w:val="center"/>
                </w:tcPr>
                <w:p w14:paraId="71FCB42D">
                  <w:pPr>
                    <w:widowControl/>
                    <w:jc w:val="center"/>
                    <w:textAlignment w:val="center"/>
                    <w:rPr>
                      <w:color w:val="auto"/>
                      <w:sz w:val="21"/>
                      <w:szCs w:val="21"/>
                    </w:rPr>
                  </w:pPr>
                  <w:r>
                    <w:rPr>
                      <w:rFonts w:hint="eastAsia"/>
                      <w:color w:val="auto"/>
                      <w:sz w:val="21"/>
                      <w:szCs w:val="21"/>
                    </w:rPr>
                    <w:t>30.087650565</w:t>
                  </w:r>
                </w:p>
              </w:tc>
              <w:tc>
                <w:tcPr>
                  <w:tcW w:w="280" w:type="pct"/>
                  <w:vMerge w:val="restart"/>
                  <w:noWrap w:val="0"/>
                  <w:vAlign w:val="center"/>
                </w:tcPr>
                <w:p w14:paraId="63BDB279">
                  <w:pPr>
                    <w:jc w:val="center"/>
                    <w:rPr>
                      <w:rFonts w:hint="eastAsia" w:eastAsia="宋体"/>
                      <w:color w:val="auto"/>
                      <w:szCs w:val="21"/>
                      <w:lang w:eastAsia="zh-CN"/>
                    </w:rPr>
                  </w:pPr>
                  <w:r>
                    <w:rPr>
                      <w:rFonts w:hint="eastAsia"/>
                      <w:color w:val="auto"/>
                      <w:szCs w:val="21"/>
                      <w:lang w:eastAsia="zh-CN"/>
                    </w:rPr>
                    <w:t>一般</w:t>
                  </w:r>
                </w:p>
              </w:tc>
              <w:tc>
                <w:tcPr>
                  <w:tcW w:w="354" w:type="pct"/>
                  <w:vMerge w:val="restart"/>
                  <w:noWrap w:val="0"/>
                  <w:vAlign w:val="center"/>
                </w:tcPr>
                <w:p w14:paraId="2942BB37">
                  <w:pPr>
                    <w:adjustRightInd w:val="0"/>
                    <w:jc w:val="center"/>
                    <w:rPr>
                      <w:rFonts w:hint="default" w:eastAsia="宋体"/>
                      <w:color w:val="auto"/>
                      <w:lang w:val="en-US" w:eastAsia="zh-CN"/>
                    </w:rPr>
                  </w:pPr>
                  <w:r>
                    <w:rPr>
                      <w:rFonts w:hint="eastAsia"/>
                      <w:color w:val="auto"/>
                      <w:szCs w:val="21"/>
                      <w:lang w:val="en-US" w:eastAsia="zh-CN"/>
                    </w:rPr>
                    <w:t>15</w:t>
                  </w:r>
                </w:p>
              </w:tc>
              <w:tc>
                <w:tcPr>
                  <w:tcW w:w="355" w:type="pct"/>
                  <w:vMerge w:val="restart"/>
                  <w:noWrap w:val="0"/>
                  <w:vAlign w:val="center"/>
                </w:tcPr>
                <w:p w14:paraId="4F58B3E6">
                  <w:pPr>
                    <w:adjustRightInd w:val="0"/>
                    <w:jc w:val="center"/>
                    <w:rPr>
                      <w:rFonts w:hint="default" w:eastAsia="宋体"/>
                      <w:color w:val="auto"/>
                      <w:szCs w:val="21"/>
                      <w:lang w:val="en-US" w:eastAsia="zh-CN"/>
                    </w:rPr>
                  </w:pPr>
                  <w:r>
                    <w:rPr>
                      <w:rFonts w:hint="eastAsia"/>
                      <w:color w:val="auto"/>
                      <w:szCs w:val="21"/>
                      <w:lang w:val="en-US" w:eastAsia="zh-CN"/>
                    </w:rPr>
                    <w:t>0.8</w:t>
                  </w:r>
                </w:p>
              </w:tc>
              <w:tc>
                <w:tcPr>
                  <w:tcW w:w="374" w:type="pct"/>
                  <w:vMerge w:val="restart"/>
                  <w:noWrap w:val="0"/>
                  <w:vAlign w:val="center"/>
                </w:tcPr>
                <w:p w14:paraId="555E1AB0">
                  <w:pPr>
                    <w:adjustRightInd w:val="0"/>
                    <w:jc w:val="center"/>
                    <w:rPr>
                      <w:rFonts w:hint="default" w:eastAsia="宋体"/>
                      <w:color w:val="auto"/>
                      <w:szCs w:val="21"/>
                      <w:lang w:val="en-US" w:eastAsia="zh-CN"/>
                    </w:rPr>
                  </w:pPr>
                  <w:r>
                    <w:rPr>
                      <w:rFonts w:hint="eastAsia"/>
                      <w:color w:val="auto"/>
                      <w:lang w:val="en-US" w:eastAsia="zh-CN"/>
                    </w:rPr>
                    <w:t>25</w:t>
                  </w:r>
                </w:p>
              </w:tc>
            </w:tr>
            <w:tr w14:paraId="641F4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317" w:type="pct"/>
                  <w:vMerge w:val="continue"/>
                  <w:noWrap w:val="0"/>
                  <w:vAlign w:val="center"/>
                </w:tcPr>
                <w:p w14:paraId="359DAF0B">
                  <w:pPr>
                    <w:jc w:val="center"/>
                    <w:rPr>
                      <w:color w:val="auto"/>
                      <w:szCs w:val="21"/>
                    </w:rPr>
                  </w:pPr>
                </w:p>
              </w:tc>
              <w:tc>
                <w:tcPr>
                  <w:tcW w:w="426" w:type="pct"/>
                  <w:noWrap w:val="0"/>
                  <w:vAlign w:val="center"/>
                </w:tcPr>
                <w:p w14:paraId="3B77178D">
                  <w:pPr>
                    <w:widowControl/>
                    <w:jc w:val="center"/>
                    <w:textAlignment w:val="center"/>
                    <w:rPr>
                      <w:rFonts w:hint="eastAsia" w:eastAsia="宋体"/>
                      <w:color w:val="auto"/>
                      <w:lang w:eastAsia="zh-CN"/>
                    </w:rPr>
                  </w:pPr>
                  <w:r>
                    <w:rPr>
                      <w:rFonts w:hint="eastAsia"/>
                      <w:color w:val="auto"/>
                      <w:lang w:eastAsia="zh-CN"/>
                    </w:rPr>
                    <w:t>氨气</w:t>
                  </w:r>
                </w:p>
              </w:tc>
              <w:tc>
                <w:tcPr>
                  <w:tcW w:w="690" w:type="dxa"/>
                  <w:shd w:val="clear" w:color="auto" w:fill="auto"/>
                  <w:noWrap w:val="0"/>
                  <w:vAlign w:val="center"/>
                </w:tcPr>
                <w:p w14:paraId="756C2F7B">
                  <w:pPr>
                    <w:pStyle w:val="101"/>
                    <w:rPr>
                      <w:rFonts w:hint="eastAsia" w:ascii="Calibri" w:hAnsi="Calibri" w:eastAsia="宋体" w:cs="Times New Roman"/>
                      <w:color w:val="auto"/>
                      <w:kern w:val="2"/>
                      <w:sz w:val="21"/>
                      <w:szCs w:val="21"/>
                      <w:lang w:val="en-US" w:eastAsia="zh-CN" w:bidi="ar-SA"/>
                    </w:rPr>
                  </w:pPr>
                  <w:r>
                    <w:rPr>
                      <w:rFonts w:hint="eastAsia"/>
                      <w:color w:val="auto"/>
                      <w:sz w:val="21"/>
                      <w:szCs w:val="21"/>
                      <w:lang w:val="en-US" w:eastAsia="zh-CN"/>
                    </w:rPr>
                    <w:t>0.016</w:t>
                  </w:r>
                </w:p>
              </w:tc>
              <w:tc>
                <w:tcPr>
                  <w:tcW w:w="825" w:type="dxa"/>
                  <w:shd w:val="clear" w:color="auto" w:fill="auto"/>
                  <w:noWrap w:val="0"/>
                  <w:vAlign w:val="center"/>
                </w:tcPr>
                <w:p w14:paraId="1A3C1DF8">
                  <w:pPr>
                    <w:pStyle w:val="101"/>
                    <w:rPr>
                      <w:rFonts w:hint="eastAsia" w:ascii="Calibri" w:hAnsi="Calibri" w:eastAsia="宋体" w:cs="Times New Roman"/>
                      <w:color w:val="auto"/>
                      <w:kern w:val="2"/>
                      <w:sz w:val="21"/>
                      <w:szCs w:val="21"/>
                      <w:lang w:val="en-US" w:eastAsia="zh-CN" w:bidi="ar-SA"/>
                    </w:rPr>
                  </w:pPr>
                  <w:r>
                    <w:rPr>
                      <w:rFonts w:hint="eastAsia"/>
                      <w:color w:val="auto"/>
                      <w:sz w:val="21"/>
                      <w:szCs w:val="21"/>
                      <w:lang w:val="en-US" w:eastAsia="zh-CN"/>
                    </w:rPr>
                    <w:t>0.795</w:t>
                  </w:r>
                </w:p>
              </w:tc>
              <w:tc>
                <w:tcPr>
                  <w:tcW w:w="482" w:type="pct"/>
                  <w:shd w:val="clear" w:color="auto" w:fill="auto"/>
                  <w:noWrap w:val="0"/>
                  <w:vAlign w:val="center"/>
                </w:tcPr>
                <w:p w14:paraId="63139475">
                  <w:pPr>
                    <w:pStyle w:val="101"/>
                    <w:rPr>
                      <w:rFonts w:hint="eastAsia" w:ascii="Calibri" w:hAnsi="Calibri" w:eastAsia="宋体" w:cs="Times New Roman"/>
                      <w:color w:val="auto"/>
                      <w:kern w:val="2"/>
                      <w:sz w:val="21"/>
                      <w:szCs w:val="21"/>
                      <w:lang w:val="en-US" w:eastAsia="zh-CN" w:bidi="ar-SA"/>
                    </w:rPr>
                  </w:pPr>
                  <w:r>
                    <w:rPr>
                      <w:rFonts w:hint="eastAsia"/>
                      <w:color w:val="auto"/>
                      <w:sz w:val="21"/>
                      <w:szCs w:val="21"/>
                      <w:lang w:val="en-US" w:eastAsia="zh-CN"/>
                    </w:rPr>
                    <w:t>/</w:t>
                  </w:r>
                </w:p>
              </w:tc>
              <w:tc>
                <w:tcPr>
                  <w:tcW w:w="447" w:type="pct"/>
                  <w:shd w:val="clear" w:color="auto" w:fill="auto"/>
                  <w:noWrap w:val="0"/>
                  <w:vAlign w:val="center"/>
                </w:tcPr>
                <w:p w14:paraId="39B3D69E">
                  <w:pPr>
                    <w:pStyle w:val="101"/>
                    <w:rPr>
                      <w:rFonts w:hint="eastAsia" w:ascii="Calibri" w:hAnsi="Calibri" w:eastAsia="宋体" w:cs="Times New Roman"/>
                      <w:color w:val="auto"/>
                      <w:kern w:val="2"/>
                      <w:sz w:val="21"/>
                      <w:szCs w:val="21"/>
                      <w:lang w:val="en-US" w:eastAsia="zh-CN" w:bidi="ar-SA"/>
                    </w:rPr>
                  </w:pPr>
                  <w:r>
                    <w:rPr>
                      <w:rFonts w:hint="eastAsia"/>
                      <w:color w:val="auto"/>
                      <w:sz w:val="21"/>
                      <w:szCs w:val="21"/>
                      <w:lang w:val="en-US" w:eastAsia="zh-CN"/>
                    </w:rPr>
                    <w:t>4.9</w:t>
                  </w:r>
                </w:p>
              </w:tc>
              <w:tc>
                <w:tcPr>
                  <w:tcW w:w="547" w:type="pct"/>
                  <w:vMerge w:val="continue"/>
                  <w:shd w:val="clear" w:color="auto" w:fill="auto"/>
                  <w:noWrap w:val="0"/>
                  <w:vAlign w:val="center"/>
                </w:tcPr>
                <w:p w14:paraId="061B45D8">
                  <w:pPr>
                    <w:widowControl/>
                    <w:jc w:val="center"/>
                    <w:textAlignment w:val="center"/>
                    <w:rPr>
                      <w:color w:val="auto"/>
                    </w:rPr>
                  </w:pPr>
                </w:p>
              </w:tc>
              <w:tc>
                <w:tcPr>
                  <w:tcW w:w="527" w:type="pct"/>
                  <w:vMerge w:val="continue"/>
                  <w:shd w:val="clear" w:color="auto" w:fill="auto"/>
                  <w:noWrap w:val="0"/>
                  <w:vAlign w:val="center"/>
                </w:tcPr>
                <w:p w14:paraId="300A5B3E">
                  <w:pPr>
                    <w:widowControl/>
                    <w:jc w:val="center"/>
                    <w:textAlignment w:val="center"/>
                    <w:rPr>
                      <w:color w:val="auto"/>
                    </w:rPr>
                  </w:pPr>
                </w:p>
              </w:tc>
              <w:tc>
                <w:tcPr>
                  <w:tcW w:w="280" w:type="pct"/>
                  <w:vMerge w:val="continue"/>
                  <w:noWrap w:val="0"/>
                  <w:vAlign w:val="center"/>
                </w:tcPr>
                <w:p w14:paraId="00C89E77">
                  <w:pPr>
                    <w:jc w:val="center"/>
                    <w:rPr>
                      <w:color w:val="auto"/>
                      <w:szCs w:val="21"/>
                    </w:rPr>
                  </w:pPr>
                </w:p>
              </w:tc>
              <w:tc>
                <w:tcPr>
                  <w:tcW w:w="354" w:type="pct"/>
                  <w:vMerge w:val="continue"/>
                  <w:noWrap w:val="0"/>
                  <w:vAlign w:val="center"/>
                </w:tcPr>
                <w:p w14:paraId="00CB4B1A">
                  <w:pPr>
                    <w:adjustRightInd w:val="0"/>
                    <w:jc w:val="center"/>
                    <w:rPr>
                      <w:rFonts w:hint="eastAsia"/>
                      <w:color w:val="auto"/>
                      <w:szCs w:val="21"/>
                      <w:lang w:val="en-US" w:eastAsia="zh-CN"/>
                    </w:rPr>
                  </w:pPr>
                </w:p>
              </w:tc>
              <w:tc>
                <w:tcPr>
                  <w:tcW w:w="355" w:type="pct"/>
                  <w:vMerge w:val="continue"/>
                  <w:noWrap w:val="0"/>
                  <w:vAlign w:val="center"/>
                </w:tcPr>
                <w:p w14:paraId="2DFC27E9">
                  <w:pPr>
                    <w:adjustRightInd w:val="0"/>
                    <w:jc w:val="center"/>
                    <w:rPr>
                      <w:rFonts w:hint="eastAsia" w:eastAsia="宋体"/>
                      <w:color w:val="auto"/>
                      <w:szCs w:val="21"/>
                      <w:lang w:val="en-US" w:eastAsia="zh-CN"/>
                    </w:rPr>
                  </w:pPr>
                </w:p>
              </w:tc>
              <w:tc>
                <w:tcPr>
                  <w:tcW w:w="374" w:type="pct"/>
                  <w:vMerge w:val="continue"/>
                  <w:noWrap w:val="0"/>
                  <w:vAlign w:val="center"/>
                </w:tcPr>
                <w:p w14:paraId="08BABAB4">
                  <w:pPr>
                    <w:adjustRightInd w:val="0"/>
                    <w:jc w:val="center"/>
                    <w:rPr>
                      <w:rFonts w:hint="eastAsia"/>
                      <w:color w:val="auto"/>
                      <w:lang w:val="en-US" w:eastAsia="zh-CN"/>
                    </w:rPr>
                  </w:pPr>
                </w:p>
              </w:tc>
            </w:tr>
            <w:tr w14:paraId="325BA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317" w:type="pct"/>
                  <w:vMerge w:val="continue"/>
                  <w:noWrap w:val="0"/>
                  <w:vAlign w:val="center"/>
                </w:tcPr>
                <w:p w14:paraId="676FC80F">
                  <w:pPr>
                    <w:jc w:val="center"/>
                    <w:rPr>
                      <w:color w:val="auto"/>
                      <w:szCs w:val="21"/>
                    </w:rPr>
                  </w:pPr>
                </w:p>
              </w:tc>
              <w:tc>
                <w:tcPr>
                  <w:tcW w:w="426" w:type="pct"/>
                  <w:noWrap w:val="0"/>
                  <w:vAlign w:val="center"/>
                </w:tcPr>
                <w:p w14:paraId="7EBB2A1B">
                  <w:pPr>
                    <w:widowControl/>
                    <w:jc w:val="center"/>
                    <w:textAlignment w:val="center"/>
                    <w:rPr>
                      <w:rFonts w:hint="eastAsia" w:eastAsia="宋体"/>
                      <w:color w:val="auto"/>
                      <w:lang w:eastAsia="zh-CN"/>
                    </w:rPr>
                  </w:pPr>
                  <w:r>
                    <w:rPr>
                      <w:rFonts w:hint="eastAsia"/>
                      <w:color w:val="auto"/>
                      <w:lang w:eastAsia="zh-CN"/>
                    </w:rPr>
                    <w:t>硫化氢</w:t>
                  </w:r>
                </w:p>
              </w:tc>
              <w:tc>
                <w:tcPr>
                  <w:tcW w:w="690" w:type="dxa"/>
                  <w:shd w:val="clear" w:color="auto" w:fill="auto"/>
                  <w:noWrap w:val="0"/>
                  <w:vAlign w:val="center"/>
                </w:tcPr>
                <w:p w14:paraId="55FBB1AD">
                  <w:pPr>
                    <w:pStyle w:val="101"/>
                    <w:rPr>
                      <w:rFonts w:hint="eastAsia" w:ascii="Calibri" w:hAnsi="Calibri" w:eastAsia="宋体" w:cs="Times New Roman"/>
                      <w:color w:val="auto"/>
                      <w:kern w:val="2"/>
                      <w:sz w:val="21"/>
                      <w:szCs w:val="21"/>
                      <w:lang w:val="en-US" w:eastAsia="zh-CN" w:bidi="ar-SA"/>
                    </w:rPr>
                  </w:pPr>
                  <w:r>
                    <w:rPr>
                      <w:rFonts w:hint="eastAsia"/>
                      <w:color w:val="auto"/>
                      <w:sz w:val="21"/>
                      <w:szCs w:val="21"/>
                      <w:lang w:val="en-US" w:eastAsia="zh-CN"/>
                    </w:rPr>
                    <w:t>0.0007</w:t>
                  </w:r>
                </w:p>
              </w:tc>
              <w:tc>
                <w:tcPr>
                  <w:tcW w:w="825" w:type="dxa"/>
                  <w:shd w:val="clear" w:color="auto" w:fill="auto"/>
                  <w:noWrap w:val="0"/>
                  <w:vAlign w:val="center"/>
                </w:tcPr>
                <w:p w14:paraId="6D3B7A9D">
                  <w:pPr>
                    <w:pStyle w:val="101"/>
                    <w:rPr>
                      <w:rFonts w:hint="eastAsia" w:ascii="Calibri" w:hAnsi="Calibri" w:eastAsia="宋体" w:cs="Times New Roman"/>
                      <w:color w:val="auto"/>
                      <w:kern w:val="2"/>
                      <w:sz w:val="21"/>
                      <w:szCs w:val="21"/>
                      <w:lang w:val="en-US" w:eastAsia="zh-CN" w:bidi="ar-SA"/>
                    </w:rPr>
                  </w:pPr>
                  <w:r>
                    <w:rPr>
                      <w:rFonts w:hint="eastAsia"/>
                      <w:color w:val="auto"/>
                      <w:sz w:val="21"/>
                      <w:szCs w:val="21"/>
                      <w:lang w:val="en-US" w:eastAsia="zh-CN"/>
                    </w:rPr>
                    <w:t>0.036</w:t>
                  </w:r>
                </w:p>
              </w:tc>
              <w:tc>
                <w:tcPr>
                  <w:tcW w:w="482" w:type="pct"/>
                  <w:shd w:val="clear" w:color="auto" w:fill="auto"/>
                  <w:noWrap w:val="0"/>
                  <w:vAlign w:val="center"/>
                </w:tcPr>
                <w:p w14:paraId="047815D5">
                  <w:pPr>
                    <w:pStyle w:val="101"/>
                    <w:rPr>
                      <w:rFonts w:hint="eastAsia" w:ascii="Calibri" w:hAnsi="Calibri" w:eastAsia="宋体" w:cs="Times New Roman"/>
                      <w:color w:val="auto"/>
                      <w:kern w:val="2"/>
                      <w:sz w:val="21"/>
                      <w:szCs w:val="21"/>
                      <w:lang w:val="en-US" w:eastAsia="zh-CN" w:bidi="ar-SA"/>
                    </w:rPr>
                  </w:pPr>
                  <w:r>
                    <w:rPr>
                      <w:rFonts w:hint="eastAsia"/>
                      <w:color w:val="auto"/>
                      <w:sz w:val="21"/>
                      <w:szCs w:val="21"/>
                      <w:lang w:val="en-US" w:eastAsia="zh-CN"/>
                    </w:rPr>
                    <w:t>/</w:t>
                  </w:r>
                </w:p>
              </w:tc>
              <w:tc>
                <w:tcPr>
                  <w:tcW w:w="447" w:type="pct"/>
                  <w:shd w:val="clear" w:color="auto" w:fill="auto"/>
                  <w:noWrap w:val="0"/>
                  <w:vAlign w:val="center"/>
                </w:tcPr>
                <w:p w14:paraId="77E589FA">
                  <w:pPr>
                    <w:pStyle w:val="101"/>
                    <w:rPr>
                      <w:rFonts w:hint="eastAsia" w:ascii="Calibri" w:hAnsi="Calibri" w:eastAsia="宋体" w:cs="Times New Roman"/>
                      <w:color w:val="auto"/>
                      <w:kern w:val="2"/>
                      <w:sz w:val="21"/>
                      <w:szCs w:val="21"/>
                      <w:lang w:val="en-US" w:eastAsia="zh-CN" w:bidi="ar-SA"/>
                    </w:rPr>
                  </w:pPr>
                  <w:r>
                    <w:rPr>
                      <w:rFonts w:hint="eastAsia"/>
                      <w:color w:val="auto"/>
                      <w:sz w:val="21"/>
                      <w:szCs w:val="21"/>
                      <w:lang w:val="en-US" w:eastAsia="zh-CN"/>
                    </w:rPr>
                    <w:t>0.33</w:t>
                  </w:r>
                </w:p>
              </w:tc>
              <w:tc>
                <w:tcPr>
                  <w:tcW w:w="547" w:type="pct"/>
                  <w:vMerge w:val="continue"/>
                  <w:shd w:val="clear" w:color="auto" w:fill="auto"/>
                  <w:noWrap w:val="0"/>
                  <w:vAlign w:val="center"/>
                </w:tcPr>
                <w:p w14:paraId="0362DE8C">
                  <w:pPr>
                    <w:pStyle w:val="101"/>
                    <w:rPr>
                      <w:rFonts w:hint="eastAsia" w:ascii="Calibri" w:hAnsi="Calibri" w:eastAsia="宋体" w:cs="Times New Roman"/>
                      <w:color w:val="auto"/>
                      <w:kern w:val="2"/>
                      <w:sz w:val="21"/>
                      <w:szCs w:val="21"/>
                      <w:lang w:val="en-US" w:eastAsia="zh-CN" w:bidi="ar-SA"/>
                    </w:rPr>
                  </w:pPr>
                </w:p>
              </w:tc>
              <w:tc>
                <w:tcPr>
                  <w:tcW w:w="527" w:type="pct"/>
                  <w:vMerge w:val="continue"/>
                  <w:shd w:val="clear" w:color="auto" w:fill="auto"/>
                  <w:noWrap w:val="0"/>
                  <w:vAlign w:val="center"/>
                </w:tcPr>
                <w:p w14:paraId="09AA4C65">
                  <w:pPr>
                    <w:pStyle w:val="101"/>
                    <w:rPr>
                      <w:rFonts w:hint="default" w:ascii="Calibri" w:hAnsi="Calibri" w:eastAsia="宋体" w:cs="Times New Roman"/>
                      <w:color w:val="auto"/>
                      <w:kern w:val="2"/>
                      <w:sz w:val="21"/>
                      <w:szCs w:val="21"/>
                      <w:lang w:val="en-US" w:eastAsia="zh-CN" w:bidi="ar-SA"/>
                    </w:rPr>
                  </w:pPr>
                </w:p>
              </w:tc>
              <w:tc>
                <w:tcPr>
                  <w:tcW w:w="280" w:type="pct"/>
                  <w:vMerge w:val="continue"/>
                  <w:noWrap w:val="0"/>
                  <w:vAlign w:val="center"/>
                </w:tcPr>
                <w:p w14:paraId="6644640E">
                  <w:pPr>
                    <w:jc w:val="center"/>
                    <w:rPr>
                      <w:color w:val="auto"/>
                      <w:szCs w:val="21"/>
                    </w:rPr>
                  </w:pPr>
                </w:p>
              </w:tc>
              <w:tc>
                <w:tcPr>
                  <w:tcW w:w="354" w:type="pct"/>
                  <w:vMerge w:val="continue"/>
                  <w:noWrap w:val="0"/>
                  <w:vAlign w:val="center"/>
                </w:tcPr>
                <w:p w14:paraId="095322A0">
                  <w:pPr>
                    <w:adjustRightInd w:val="0"/>
                    <w:jc w:val="center"/>
                    <w:rPr>
                      <w:rFonts w:hint="eastAsia"/>
                      <w:color w:val="auto"/>
                      <w:szCs w:val="21"/>
                      <w:lang w:val="en-US" w:eastAsia="zh-CN"/>
                    </w:rPr>
                  </w:pPr>
                </w:p>
              </w:tc>
              <w:tc>
                <w:tcPr>
                  <w:tcW w:w="355" w:type="pct"/>
                  <w:vMerge w:val="continue"/>
                  <w:noWrap w:val="0"/>
                  <w:vAlign w:val="center"/>
                </w:tcPr>
                <w:p w14:paraId="52E751F9">
                  <w:pPr>
                    <w:adjustRightInd w:val="0"/>
                    <w:jc w:val="center"/>
                    <w:rPr>
                      <w:rFonts w:hint="eastAsia" w:eastAsia="宋体"/>
                      <w:color w:val="auto"/>
                      <w:szCs w:val="21"/>
                      <w:lang w:val="en-US" w:eastAsia="zh-CN"/>
                    </w:rPr>
                  </w:pPr>
                </w:p>
              </w:tc>
              <w:tc>
                <w:tcPr>
                  <w:tcW w:w="374" w:type="pct"/>
                  <w:vMerge w:val="continue"/>
                  <w:noWrap w:val="0"/>
                  <w:vAlign w:val="center"/>
                </w:tcPr>
                <w:p w14:paraId="26BF73BB">
                  <w:pPr>
                    <w:adjustRightInd w:val="0"/>
                    <w:jc w:val="center"/>
                    <w:rPr>
                      <w:rFonts w:hint="eastAsia"/>
                      <w:color w:val="auto"/>
                      <w:lang w:val="en-US" w:eastAsia="zh-CN"/>
                    </w:rPr>
                  </w:pPr>
                </w:p>
              </w:tc>
            </w:tr>
          </w:tbl>
          <w:p w14:paraId="49AAB387">
            <w:pPr>
              <w:adjustRightInd w:val="0"/>
              <w:snapToGrid w:val="0"/>
              <w:spacing w:line="360" w:lineRule="auto"/>
              <w:ind w:firstLine="480" w:firstLineChars="200"/>
              <w:rPr>
                <w:rFonts w:hint="eastAsia" w:eastAsia="宋体"/>
                <w:bCs/>
                <w:color w:val="auto"/>
                <w:sz w:val="24"/>
                <w:lang w:eastAsia="zh-CN"/>
              </w:rPr>
            </w:pPr>
            <w:r>
              <w:rPr>
                <w:rFonts w:hint="eastAsia"/>
                <w:bCs/>
                <w:color w:val="auto"/>
                <w:sz w:val="24"/>
                <w:lang w:eastAsia="zh-CN"/>
              </w:rPr>
              <w:t>（</w:t>
            </w:r>
            <w:r>
              <w:rPr>
                <w:rFonts w:hint="eastAsia"/>
                <w:bCs/>
                <w:color w:val="auto"/>
                <w:sz w:val="24"/>
                <w:lang w:val="en-US" w:eastAsia="zh-CN"/>
              </w:rPr>
              <w:t>2</w:t>
            </w:r>
            <w:r>
              <w:rPr>
                <w:rFonts w:hint="eastAsia"/>
                <w:bCs/>
                <w:color w:val="auto"/>
                <w:sz w:val="24"/>
                <w:lang w:eastAsia="zh-CN"/>
              </w:rPr>
              <w:t>）自行监测计划</w:t>
            </w:r>
          </w:p>
          <w:p w14:paraId="2CF773F1">
            <w:pPr>
              <w:adjustRightInd w:val="0"/>
              <w:snapToGrid w:val="0"/>
              <w:spacing w:line="360" w:lineRule="auto"/>
              <w:ind w:firstLine="480" w:firstLineChars="200"/>
              <w:rPr>
                <w:bCs/>
                <w:color w:val="auto"/>
                <w:sz w:val="24"/>
              </w:rPr>
            </w:pPr>
            <w:r>
              <w:rPr>
                <w:rFonts w:hint="eastAsia"/>
                <w:bCs/>
                <w:color w:val="auto"/>
                <w:sz w:val="24"/>
              </w:rPr>
              <w:t>根据</w:t>
            </w:r>
            <w:r>
              <w:rPr>
                <w:rFonts w:hint="eastAsia"/>
                <w:bCs/>
                <w:color w:val="auto"/>
                <w:sz w:val="24"/>
                <w:lang w:eastAsia="zh-CN"/>
              </w:rPr>
              <w:t>《排污许可证申请与核发技术规范-总则》（HJ942-2018）、《排污许可证申请与核发技术规范 环境卫生管理业》（HJ 1106—2020）中监测点位、监测指标和监测频次要求，具体见下表。</w:t>
            </w:r>
          </w:p>
          <w:p w14:paraId="758DF612">
            <w:pPr>
              <w:adjustRightInd w:val="0"/>
              <w:snapToGrid w:val="0"/>
              <w:jc w:val="center"/>
              <w:rPr>
                <w:b/>
                <w:color w:val="auto"/>
                <w:sz w:val="21"/>
                <w:szCs w:val="21"/>
              </w:rPr>
            </w:pPr>
          </w:p>
          <w:p w14:paraId="24FCA350">
            <w:pPr>
              <w:adjustRightInd w:val="0"/>
              <w:snapToGrid w:val="0"/>
              <w:jc w:val="center"/>
              <w:rPr>
                <w:b/>
                <w:color w:val="auto"/>
                <w:sz w:val="21"/>
                <w:szCs w:val="21"/>
              </w:rPr>
            </w:pPr>
            <w:r>
              <w:rPr>
                <w:b/>
                <w:color w:val="auto"/>
                <w:sz w:val="21"/>
                <w:szCs w:val="21"/>
              </w:rPr>
              <w:t>表4</w:t>
            </w:r>
            <w:r>
              <w:rPr>
                <w:rFonts w:hint="eastAsia"/>
                <w:b/>
                <w:color w:val="auto"/>
                <w:sz w:val="21"/>
                <w:szCs w:val="21"/>
                <w:lang w:val="en-US" w:eastAsia="zh-CN"/>
              </w:rPr>
              <w:t>-11</w:t>
            </w:r>
            <w:r>
              <w:rPr>
                <w:b/>
                <w:color w:val="auto"/>
                <w:sz w:val="21"/>
                <w:szCs w:val="21"/>
              </w:rPr>
              <w:t xml:space="preserve"> </w:t>
            </w:r>
            <w:r>
              <w:rPr>
                <w:rFonts w:hint="eastAsia"/>
                <w:b/>
                <w:color w:val="auto"/>
                <w:sz w:val="21"/>
                <w:szCs w:val="21"/>
              </w:rPr>
              <w:t>废气</w:t>
            </w:r>
            <w:r>
              <w:rPr>
                <w:b/>
                <w:color w:val="auto"/>
                <w:sz w:val="21"/>
                <w:szCs w:val="21"/>
              </w:rPr>
              <w:t>自行监测及记录信息表</w:t>
            </w:r>
          </w:p>
          <w:tbl>
            <w:tblPr>
              <w:tblStyle w:val="28"/>
              <w:tblW w:w="499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066"/>
              <w:gridCol w:w="1534"/>
              <w:gridCol w:w="1340"/>
              <w:gridCol w:w="2457"/>
              <w:gridCol w:w="2130"/>
            </w:tblGrid>
            <w:tr w14:paraId="4103CF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3" w:hRule="atLeast"/>
                <w:tblHeader/>
                <w:jc w:val="center"/>
              </w:trPr>
              <w:tc>
                <w:tcPr>
                  <w:tcW w:w="625" w:type="pct"/>
                  <w:noWrap w:val="0"/>
                  <w:vAlign w:val="center"/>
                </w:tcPr>
                <w:p w14:paraId="7E827E38">
                  <w:pPr>
                    <w:adjustRightInd w:val="0"/>
                    <w:snapToGrid w:val="0"/>
                    <w:jc w:val="center"/>
                    <w:rPr>
                      <w:color w:val="auto"/>
                      <w:szCs w:val="21"/>
                    </w:rPr>
                  </w:pPr>
                  <w:r>
                    <w:rPr>
                      <w:color w:val="auto"/>
                      <w:szCs w:val="21"/>
                    </w:rPr>
                    <w:t>序号</w:t>
                  </w:r>
                </w:p>
              </w:tc>
              <w:tc>
                <w:tcPr>
                  <w:tcW w:w="899" w:type="pct"/>
                  <w:noWrap w:val="0"/>
                  <w:vAlign w:val="center"/>
                </w:tcPr>
                <w:p w14:paraId="3A62FC06">
                  <w:pPr>
                    <w:adjustRightInd w:val="0"/>
                    <w:snapToGrid w:val="0"/>
                    <w:jc w:val="center"/>
                    <w:rPr>
                      <w:color w:val="auto"/>
                      <w:szCs w:val="21"/>
                    </w:rPr>
                  </w:pPr>
                  <w:r>
                    <w:rPr>
                      <w:color w:val="auto"/>
                      <w:szCs w:val="21"/>
                    </w:rPr>
                    <w:t>排放口编号</w:t>
                  </w:r>
                </w:p>
              </w:tc>
              <w:tc>
                <w:tcPr>
                  <w:tcW w:w="785" w:type="pct"/>
                  <w:noWrap w:val="0"/>
                  <w:vAlign w:val="center"/>
                </w:tcPr>
                <w:p w14:paraId="5D92448A">
                  <w:pPr>
                    <w:adjustRightInd w:val="0"/>
                    <w:snapToGrid w:val="0"/>
                    <w:jc w:val="center"/>
                    <w:rPr>
                      <w:color w:val="auto"/>
                      <w:szCs w:val="21"/>
                    </w:rPr>
                  </w:pPr>
                  <w:r>
                    <w:rPr>
                      <w:color w:val="auto"/>
                      <w:szCs w:val="21"/>
                    </w:rPr>
                    <w:t>监测点位</w:t>
                  </w:r>
                </w:p>
              </w:tc>
              <w:tc>
                <w:tcPr>
                  <w:tcW w:w="1440" w:type="pct"/>
                  <w:noWrap w:val="0"/>
                  <w:vAlign w:val="center"/>
                </w:tcPr>
                <w:p w14:paraId="1E87BA97">
                  <w:pPr>
                    <w:adjustRightInd w:val="0"/>
                    <w:snapToGrid w:val="0"/>
                    <w:jc w:val="center"/>
                    <w:rPr>
                      <w:color w:val="auto"/>
                      <w:szCs w:val="21"/>
                    </w:rPr>
                  </w:pPr>
                  <w:r>
                    <w:rPr>
                      <w:color w:val="auto"/>
                      <w:szCs w:val="21"/>
                    </w:rPr>
                    <w:t>监测因子</w:t>
                  </w:r>
                </w:p>
              </w:tc>
              <w:tc>
                <w:tcPr>
                  <w:tcW w:w="1248" w:type="pct"/>
                  <w:noWrap w:val="0"/>
                  <w:vAlign w:val="center"/>
                </w:tcPr>
                <w:p w14:paraId="46687A48">
                  <w:pPr>
                    <w:adjustRightInd w:val="0"/>
                    <w:snapToGrid w:val="0"/>
                    <w:jc w:val="center"/>
                    <w:rPr>
                      <w:color w:val="auto"/>
                      <w:szCs w:val="21"/>
                    </w:rPr>
                  </w:pPr>
                  <w:r>
                    <w:rPr>
                      <w:color w:val="auto"/>
                      <w:szCs w:val="21"/>
                    </w:rPr>
                    <w:t>监测频次</w:t>
                  </w:r>
                </w:p>
              </w:tc>
            </w:tr>
            <w:tr w14:paraId="629603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625" w:type="pct"/>
                  <w:noWrap w:val="0"/>
                  <w:vAlign w:val="center"/>
                </w:tcPr>
                <w:p w14:paraId="24EF3118">
                  <w:pPr>
                    <w:adjustRightInd w:val="0"/>
                    <w:snapToGrid w:val="0"/>
                    <w:jc w:val="center"/>
                    <w:rPr>
                      <w:b w:val="0"/>
                      <w:bCs w:val="0"/>
                      <w:color w:val="auto"/>
                      <w:szCs w:val="21"/>
                    </w:rPr>
                  </w:pPr>
                  <w:r>
                    <w:rPr>
                      <w:b w:val="0"/>
                      <w:bCs w:val="0"/>
                      <w:color w:val="auto"/>
                      <w:szCs w:val="21"/>
                    </w:rPr>
                    <w:t>1</w:t>
                  </w:r>
                </w:p>
              </w:tc>
              <w:tc>
                <w:tcPr>
                  <w:tcW w:w="899" w:type="pct"/>
                  <w:noWrap w:val="0"/>
                  <w:vAlign w:val="center"/>
                </w:tcPr>
                <w:p w14:paraId="12F4AC88">
                  <w:pPr>
                    <w:adjustRightInd w:val="0"/>
                    <w:snapToGrid w:val="0"/>
                    <w:jc w:val="center"/>
                    <w:rPr>
                      <w:rFonts w:hint="default" w:eastAsia="宋体"/>
                      <w:b w:val="0"/>
                      <w:bCs w:val="0"/>
                      <w:color w:val="auto"/>
                      <w:szCs w:val="21"/>
                      <w:lang w:val="en-US" w:eastAsia="zh-CN"/>
                    </w:rPr>
                  </w:pPr>
                  <w:r>
                    <w:rPr>
                      <w:b w:val="0"/>
                      <w:bCs w:val="0"/>
                      <w:color w:val="auto"/>
                      <w:szCs w:val="21"/>
                    </w:rPr>
                    <w:t>DA00</w:t>
                  </w:r>
                  <w:r>
                    <w:rPr>
                      <w:rFonts w:hint="eastAsia"/>
                      <w:b w:val="0"/>
                      <w:bCs w:val="0"/>
                      <w:color w:val="auto"/>
                      <w:szCs w:val="21"/>
                      <w:lang w:val="en-US" w:eastAsia="zh-CN"/>
                    </w:rPr>
                    <w:t>1</w:t>
                  </w:r>
                </w:p>
              </w:tc>
              <w:tc>
                <w:tcPr>
                  <w:tcW w:w="785" w:type="pct"/>
                  <w:noWrap w:val="0"/>
                  <w:vAlign w:val="center"/>
                </w:tcPr>
                <w:p w14:paraId="2AD69F43">
                  <w:pPr>
                    <w:adjustRightInd w:val="0"/>
                    <w:snapToGrid w:val="0"/>
                    <w:jc w:val="center"/>
                    <w:rPr>
                      <w:color w:val="auto"/>
                      <w:szCs w:val="21"/>
                    </w:rPr>
                  </w:pPr>
                  <w:r>
                    <w:rPr>
                      <w:rFonts w:hint="eastAsia"/>
                      <w:color w:val="auto"/>
                      <w:szCs w:val="21"/>
                    </w:rPr>
                    <w:t>排气筒</w:t>
                  </w:r>
                </w:p>
              </w:tc>
              <w:tc>
                <w:tcPr>
                  <w:tcW w:w="1440" w:type="pct"/>
                  <w:noWrap w:val="0"/>
                  <w:vAlign w:val="center"/>
                </w:tcPr>
                <w:p w14:paraId="4FBB0A68">
                  <w:pPr>
                    <w:adjustRightInd w:val="0"/>
                    <w:snapToGrid w:val="0"/>
                    <w:jc w:val="center"/>
                    <w:rPr>
                      <w:rFonts w:hint="eastAsia" w:eastAsia="宋体"/>
                      <w:color w:val="auto"/>
                      <w:szCs w:val="21"/>
                      <w:lang w:eastAsia="zh-CN"/>
                    </w:rPr>
                  </w:pPr>
                  <w:r>
                    <w:rPr>
                      <w:rFonts w:hint="eastAsia" w:eastAsia="宋体"/>
                      <w:color w:val="auto"/>
                      <w:szCs w:val="21"/>
                      <w:lang w:eastAsia="zh-CN"/>
                    </w:rPr>
                    <w:t>非甲烷总烃</w:t>
                  </w:r>
                  <w:r>
                    <w:rPr>
                      <w:rFonts w:hint="eastAsia"/>
                      <w:color w:val="auto"/>
                      <w:szCs w:val="21"/>
                      <w:lang w:eastAsia="zh-CN"/>
                    </w:rPr>
                    <w:t>、氨气、硫化氢、臭气浓度</w:t>
                  </w:r>
                </w:p>
              </w:tc>
              <w:tc>
                <w:tcPr>
                  <w:tcW w:w="1248" w:type="pct"/>
                  <w:noWrap w:val="0"/>
                  <w:vAlign w:val="center"/>
                </w:tcPr>
                <w:p w14:paraId="15853955">
                  <w:pPr>
                    <w:adjustRightInd w:val="0"/>
                    <w:snapToGrid w:val="0"/>
                    <w:jc w:val="center"/>
                    <w:rPr>
                      <w:rFonts w:hint="eastAsia" w:eastAsia="宋体"/>
                      <w:color w:val="auto"/>
                      <w:szCs w:val="21"/>
                      <w:lang w:eastAsia="zh-CN"/>
                    </w:rPr>
                  </w:pPr>
                  <w:r>
                    <w:rPr>
                      <w:rFonts w:hint="eastAsia"/>
                      <w:color w:val="auto"/>
                      <w:szCs w:val="21"/>
                    </w:rPr>
                    <w:t>1次</w:t>
                  </w:r>
                  <w:r>
                    <w:rPr>
                      <w:rFonts w:hint="eastAsia"/>
                      <w:color w:val="auto"/>
                      <w:szCs w:val="21"/>
                      <w:lang w:val="en-US" w:eastAsia="zh-CN"/>
                    </w:rPr>
                    <w:t>/半</w:t>
                  </w:r>
                  <w:r>
                    <w:rPr>
                      <w:rFonts w:hint="eastAsia"/>
                      <w:color w:val="auto"/>
                      <w:szCs w:val="21"/>
                      <w:lang w:eastAsia="zh-CN"/>
                    </w:rPr>
                    <w:t>年</w:t>
                  </w:r>
                </w:p>
              </w:tc>
            </w:tr>
            <w:tr w14:paraId="24FDCC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3" w:hRule="atLeast"/>
                <w:tblHeader/>
                <w:jc w:val="center"/>
              </w:trPr>
              <w:tc>
                <w:tcPr>
                  <w:tcW w:w="625" w:type="pct"/>
                  <w:noWrap w:val="0"/>
                  <w:vAlign w:val="center"/>
                </w:tcPr>
                <w:p w14:paraId="5DAD6E07">
                  <w:pPr>
                    <w:adjustRightInd w:val="0"/>
                    <w:snapToGrid w:val="0"/>
                    <w:jc w:val="center"/>
                    <w:rPr>
                      <w:rFonts w:hint="eastAsia" w:eastAsia="宋体"/>
                      <w:color w:val="auto"/>
                      <w:szCs w:val="21"/>
                      <w:lang w:val="en-US" w:eastAsia="zh-CN"/>
                    </w:rPr>
                  </w:pPr>
                  <w:r>
                    <w:rPr>
                      <w:rFonts w:hint="eastAsia"/>
                      <w:color w:val="auto"/>
                      <w:szCs w:val="21"/>
                      <w:lang w:val="en-US" w:eastAsia="zh-CN"/>
                    </w:rPr>
                    <w:t>2</w:t>
                  </w:r>
                </w:p>
              </w:tc>
              <w:tc>
                <w:tcPr>
                  <w:tcW w:w="899" w:type="pct"/>
                  <w:noWrap w:val="0"/>
                  <w:vAlign w:val="center"/>
                </w:tcPr>
                <w:p w14:paraId="343A2E0B">
                  <w:pPr>
                    <w:adjustRightInd w:val="0"/>
                    <w:snapToGrid w:val="0"/>
                    <w:jc w:val="center"/>
                    <w:rPr>
                      <w:rFonts w:hint="eastAsia" w:eastAsia="宋体"/>
                      <w:bCs/>
                      <w:color w:val="auto"/>
                      <w:szCs w:val="21"/>
                      <w:lang w:val="en-US" w:eastAsia="zh-CN"/>
                    </w:rPr>
                  </w:pPr>
                  <w:r>
                    <w:rPr>
                      <w:rFonts w:hint="eastAsia"/>
                      <w:bCs/>
                      <w:color w:val="auto"/>
                      <w:szCs w:val="21"/>
                      <w:lang w:val="en-US" w:eastAsia="zh-CN"/>
                    </w:rPr>
                    <w:t>/</w:t>
                  </w:r>
                </w:p>
              </w:tc>
              <w:tc>
                <w:tcPr>
                  <w:tcW w:w="785" w:type="pct"/>
                  <w:noWrap w:val="0"/>
                  <w:vAlign w:val="center"/>
                </w:tcPr>
                <w:p w14:paraId="05E526EE">
                  <w:pPr>
                    <w:adjustRightInd w:val="0"/>
                    <w:snapToGrid w:val="0"/>
                    <w:jc w:val="center"/>
                    <w:rPr>
                      <w:rFonts w:hint="eastAsia" w:eastAsia="宋体"/>
                      <w:color w:val="auto"/>
                      <w:szCs w:val="21"/>
                      <w:lang w:eastAsia="zh-CN"/>
                    </w:rPr>
                  </w:pPr>
                  <w:r>
                    <w:rPr>
                      <w:rFonts w:hint="eastAsia"/>
                      <w:color w:val="auto"/>
                      <w:szCs w:val="21"/>
                      <w:lang w:eastAsia="zh-CN"/>
                    </w:rPr>
                    <w:t>厂界</w:t>
                  </w:r>
                </w:p>
              </w:tc>
              <w:tc>
                <w:tcPr>
                  <w:tcW w:w="1440" w:type="pct"/>
                  <w:noWrap w:val="0"/>
                  <w:vAlign w:val="center"/>
                </w:tcPr>
                <w:p w14:paraId="158644B4">
                  <w:pPr>
                    <w:adjustRightInd w:val="0"/>
                    <w:snapToGrid w:val="0"/>
                    <w:jc w:val="center"/>
                    <w:rPr>
                      <w:rFonts w:hint="eastAsia"/>
                      <w:color w:val="auto"/>
                      <w:szCs w:val="21"/>
                      <w:lang w:eastAsia="zh-CN"/>
                    </w:rPr>
                  </w:pPr>
                  <w:r>
                    <w:rPr>
                      <w:rFonts w:hint="eastAsia"/>
                      <w:color w:val="auto"/>
                      <w:szCs w:val="21"/>
                      <w:lang w:eastAsia="zh-CN"/>
                    </w:rPr>
                    <w:t>非甲烷总烃、氨气、硫化氢、臭气浓度</w:t>
                  </w:r>
                </w:p>
              </w:tc>
              <w:tc>
                <w:tcPr>
                  <w:tcW w:w="1248" w:type="pct"/>
                  <w:noWrap w:val="0"/>
                  <w:vAlign w:val="center"/>
                </w:tcPr>
                <w:p w14:paraId="6C4B914D">
                  <w:pPr>
                    <w:adjustRightInd w:val="0"/>
                    <w:snapToGrid w:val="0"/>
                    <w:jc w:val="center"/>
                    <w:rPr>
                      <w:rFonts w:hint="eastAsia" w:eastAsia="宋体"/>
                      <w:color w:val="auto"/>
                      <w:szCs w:val="21"/>
                      <w:lang w:eastAsia="zh-CN"/>
                    </w:rPr>
                  </w:pPr>
                  <w:r>
                    <w:rPr>
                      <w:rFonts w:hint="eastAsia"/>
                      <w:color w:val="auto"/>
                      <w:szCs w:val="21"/>
                    </w:rPr>
                    <w:t>1次</w:t>
                  </w:r>
                  <w:r>
                    <w:rPr>
                      <w:rFonts w:hint="eastAsia"/>
                      <w:color w:val="auto"/>
                      <w:szCs w:val="21"/>
                      <w:lang w:val="en-US" w:eastAsia="zh-CN"/>
                    </w:rPr>
                    <w:t>/季度</w:t>
                  </w:r>
                </w:p>
              </w:tc>
            </w:tr>
          </w:tbl>
          <w:p w14:paraId="157E7560">
            <w:pPr>
              <w:pStyle w:val="70"/>
              <w:widowControl w:val="0"/>
              <w:spacing w:line="360" w:lineRule="auto"/>
              <w:ind w:firstLine="482"/>
              <w:jc w:val="both"/>
              <w:rPr>
                <w:rFonts w:cs="Times New Roman"/>
                <w:b/>
                <w:bCs/>
                <w:color w:val="auto"/>
              </w:rPr>
            </w:pPr>
            <w:r>
              <w:rPr>
                <w:rFonts w:hint="eastAsia" w:cs="Times New Roman"/>
                <w:b/>
                <w:bCs/>
                <w:color w:val="auto"/>
              </w:rPr>
              <w:t>3、非正常工况</w:t>
            </w:r>
          </w:p>
          <w:p w14:paraId="1BFCE455">
            <w:pPr>
              <w:widowControl/>
              <w:spacing w:line="360" w:lineRule="auto"/>
              <w:ind w:firstLine="480" w:firstLineChars="200"/>
              <w:rPr>
                <w:color w:val="auto"/>
                <w:kern w:val="0"/>
                <w:sz w:val="24"/>
                <w:lang w:bidi="ar"/>
              </w:rPr>
            </w:pPr>
            <w:r>
              <w:rPr>
                <w:color w:val="auto"/>
                <w:sz w:val="24"/>
              </w:rPr>
              <w:t>本项目非正常情况</w:t>
            </w:r>
            <w:r>
              <w:rPr>
                <w:rFonts w:hint="eastAsia"/>
                <w:color w:val="auto"/>
                <w:sz w:val="24"/>
                <w:lang w:eastAsia="zh-CN"/>
              </w:rPr>
              <w:t>为生产设施开机时废气治理措施尚未启动，生产设施停机之前废气质量措施先关闭的情况</w:t>
            </w:r>
            <w:r>
              <w:rPr>
                <w:color w:val="auto"/>
                <w:sz w:val="24"/>
              </w:rPr>
              <w:t>，废气处理设施处理效率为</w:t>
            </w:r>
            <w:r>
              <w:rPr>
                <w:rFonts w:hint="eastAsia"/>
                <w:color w:val="auto"/>
                <w:sz w:val="24"/>
                <w:lang w:val="en-US" w:eastAsia="zh-CN"/>
              </w:rPr>
              <w:t>0</w:t>
            </w:r>
            <w:r>
              <w:rPr>
                <w:color w:val="auto"/>
                <w:kern w:val="0"/>
                <w:sz w:val="24"/>
                <w:lang w:bidi="ar"/>
              </w:rPr>
              <w:t>，非正常情况分析表见下表：</w:t>
            </w:r>
          </w:p>
          <w:p w14:paraId="0865984F">
            <w:pPr>
              <w:jc w:val="center"/>
              <w:rPr>
                <w:color w:val="auto"/>
                <w:sz w:val="21"/>
                <w:szCs w:val="21"/>
              </w:rPr>
            </w:pPr>
            <w:r>
              <w:rPr>
                <w:b/>
                <w:color w:val="auto"/>
                <w:sz w:val="21"/>
                <w:szCs w:val="21"/>
              </w:rPr>
              <w:t>表4-</w:t>
            </w:r>
            <w:r>
              <w:rPr>
                <w:rFonts w:hint="eastAsia"/>
                <w:b/>
                <w:color w:val="auto"/>
                <w:sz w:val="21"/>
                <w:szCs w:val="21"/>
                <w:lang w:val="en-US" w:eastAsia="zh-CN"/>
              </w:rPr>
              <w:t>12</w:t>
            </w:r>
            <w:r>
              <w:rPr>
                <w:b/>
                <w:color w:val="auto"/>
                <w:sz w:val="21"/>
                <w:szCs w:val="21"/>
              </w:rPr>
              <w:t>非正常情况分析一览表</w:t>
            </w:r>
          </w:p>
          <w:tbl>
            <w:tblPr>
              <w:tblStyle w:val="2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0"/>
              <w:gridCol w:w="823"/>
              <w:gridCol w:w="923"/>
              <w:gridCol w:w="1108"/>
              <w:gridCol w:w="1017"/>
              <w:gridCol w:w="800"/>
              <w:gridCol w:w="700"/>
              <w:gridCol w:w="750"/>
              <w:gridCol w:w="1856"/>
            </w:tblGrid>
            <w:tr w14:paraId="70C2D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7" w:type="pct"/>
                  <w:vAlign w:val="center"/>
                </w:tcPr>
                <w:p w14:paraId="31BB4AF3">
                  <w:pPr>
                    <w:adjustRightInd w:val="0"/>
                    <w:snapToGrid w:val="0"/>
                    <w:jc w:val="center"/>
                    <w:rPr>
                      <w:rFonts w:hint="default" w:ascii="Times New Roman" w:hAnsi="Times New Roman" w:cs="Times New Roman"/>
                      <w:bCs/>
                      <w:color w:val="auto"/>
                      <w:spacing w:val="-10"/>
                      <w:sz w:val="21"/>
                      <w:szCs w:val="21"/>
                    </w:rPr>
                  </w:pPr>
                  <w:r>
                    <w:rPr>
                      <w:rFonts w:hint="default" w:ascii="Times New Roman" w:hAnsi="Times New Roman" w:cs="Times New Roman"/>
                      <w:bCs/>
                      <w:color w:val="auto"/>
                      <w:spacing w:val="-10"/>
                      <w:sz w:val="21"/>
                      <w:szCs w:val="21"/>
                    </w:rPr>
                    <w:t>污染源</w:t>
                  </w:r>
                </w:p>
              </w:tc>
              <w:tc>
                <w:tcPr>
                  <w:tcW w:w="482" w:type="pct"/>
                  <w:vAlign w:val="center"/>
                </w:tcPr>
                <w:p w14:paraId="5F7193BC">
                  <w:pPr>
                    <w:adjustRightInd w:val="0"/>
                    <w:snapToGrid w:val="0"/>
                    <w:jc w:val="center"/>
                    <w:rPr>
                      <w:rFonts w:hint="default" w:ascii="Times New Roman" w:hAnsi="Times New Roman" w:eastAsia="宋体" w:cs="Times New Roman"/>
                      <w:bCs/>
                      <w:color w:val="auto"/>
                      <w:spacing w:val="-10"/>
                      <w:sz w:val="21"/>
                      <w:szCs w:val="21"/>
                      <w:lang w:eastAsia="zh-CN"/>
                    </w:rPr>
                  </w:pPr>
                  <w:r>
                    <w:rPr>
                      <w:rFonts w:hint="default" w:ascii="Times New Roman" w:hAnsi="Times New Roman" w:cs="Times New Roman"/>
                      <w:bCs/>
                      <w:color w:val="auto"/>
                      <w:spacing w:val="-10"/>
                      <w:sz w:val="21"/>
                      <w:szCs w:val="21"/>
                      <w:lang w:eastAsia="zh-CN"/>
                    </w:rPr>
                    <w:t>非正常排放原因</w:t>
                  </w:r>
                </w:p>
              </w:tc>
              <w:tc>
                <w:tcPr>
                  <w:tcW w:w="540" w:type="pct"/>
                  <w:vAlign w:val="center"/>
                </w:tcPr>
                <w:p w14:paraId="3EBFDD5B">
                  <w:pPr>
                    <w:adjustRightInd w:val="0"/>
                    <w:snapToGrid w:val="0"/>
                    <w:jc w:val="center"/>
                    <w:rPr>
                      <w:rFonts w:hint="default" w:ascii="Times New Roman" w:hAnsi="Times New Roman" w:cs="Times New Roman"/>
                      <w:bCs/>
                      <w:color w:val="auto"/>
                      <w:spacing w:val="-10"/>
                      <w:sz w:val="21"/>
                      <w:szCs w:val="21"/>
                    </w:rPr>
                  </w:pPr>
                  <w:r>
                    <w:rPr>
                      <w:rFonts w:hint="default" w:ascii="Times New Roman" w:hAnsi="Times New Roman" w:cs="Times New Roman"/>
                      <w:bCs/>
                      <w:color w:val="auto"/>
                      <w:spacing w:val="-10"/>
                      <w:sz w:val="21"/>
                      <w:szCs w:val="21"/>
                    </w:rPr>
                    <w:t>污染物名称</w:t>
                  </w:r>
                </w:p>
              </w:tc>
              <w:tc>
                <w:tcPr>
                  <w:tcW w:w="648" w:type="pct"/>
                  <w:vAlign w:val="center"/>
                </w:tcPr>
                <w:p w14:paraId="501CEDF9">
                  <w:pPr>
                    <w:adjustRightInd w:val="0"/>
                    <w:snapToGrid w:val="0"/>
                    <w:jc w:val="center"/>
                    <w:rPr>
                      <w:rFonts w:hint="default" w:ascii="Times New Roman" w:hAnsi="Times New Roman" w:eastAsia="宋体" w:cs="Times New Roman"/>
                      <w:bCs/>
                      <w:color w:val="auto"/>
                      <w:spacing w:val="-10"/>
                      <w:sz w:val="21"/>
                      <w:szCs w:val="21"/>
                      <w:lang w:eastAsia="zh-CN"/>
                    </w:rPr>
                  </w:pPr>
                  <w:r>
                    <w:rPr>
                      <w:rFonts w:hint="default" w:ascii="Times New Roman" w:hAnsi="Times New Roman" w:cs="Times New Roman"/>
                      <w:bCs/>
                      <w:color w:val="auto"/>
                      <w:spacing w:val="-10"/>
                      <w:sz w:val="21"/>
                      <w:szCs w:val="21"/>
                      <w:lang w:eastAsia="zh-CN"/>
                    </w:rPr>
                    <w:t>非正常排放浓度</w:t>
                  </w:r>
                  <w:r>
                    <w:rPr>
                      <w:rFonts w:hint="default" w:ascii="Times New Roman" w:hAnsi="Times New Roman" w:cs="Times New Roman"/>
                      <w:bCs/>
                      <w:color w:val="auto"/>
                      <w:spacing w:val="-10"/>
                      <w:sz w:val="21"/>
                      <w:szCs w:val="21"/>
                      <w:lang w:val="en-US" w:eastAsia="zh-CN"/>
                    </w:rPr>
                    <w:t>/</w:t>
                  </w:r>
                  <w:r>
                    <w:rPr>
                      <w:rFonts w:hint="default" w:ascii="Times New Roman" w:hAnsi="Times New Roman" w:cs="Times New Roman"/>
                      <w:bCs/>
                      <w:color w:val="auto"/>
                      <w:spacing w:val="-10"/>
                      <w:sz w:val="21"/>
                      <w:szCs w:val="21"/>
                      <w:lang w:eastAsia="zh-CN"/>
                    </w:rPr>
                    <w:t>（</w:t>
                  </w:r>
                  <w:r>
                    <w:rPr>
                      <w:rFonts w:hint="eastAsia" w:cs="Times New Roman"/>
                      <w:bCs/>
                      <w:color w:val="auto"/>
                      <w:spacing w:val="-10"/>
                      <w:sz w:val="21"/>
                      <w:szCs w:val="21"/>
                      <w:lang w:val="en-US" w:eastAsia="zh-CN"/>
                    </w:rPr>
                    <w:t>m</w:t>
                  </w:r>
                  <w:r>
                    <w:rPr>
                      <w:rFonts w:hint="default" w:ascii="Times New Roman" w:hAnsi="Times New Roman" w:cs="Times New Roman"/>
                      <w:bCs/>
                      <w:color w:val="auto"/>
                      <w:spacing w:val="-10"/>
                      <w:sz w:val="21"/>
                      <w:szCs w:val="21"/>
                      <w:lang w:val="en-US" w:eastAsia="zh-CN"/>
                    </w:rPr>
                    <w:t>g/m</w:t>
                  </w:r>
                  <w:r>
                    <w:rPr>
                      <w:rFonts w:hint="default" w:ascii="Times New Roman" w:hAnsi="Times New Roman" w:cs="Times New Roman"/>
                      <w:bCs/>
                      <w:color w:val="auto"/>
                      <w:spacing w:val="-10"/>
                      <w:sz w:val="21"/>
                      <w:szCs w:val="21"/>
                      <w:vertAlign w:val="superscript"/>
                      <w:lang w:val="en-US" w:eastAsia="zh-CN"/>
                    </w:rPr>
                    <w:t>3</w:t>
                  </w:r>
                  <w:r>
                    <w:rPr>
                      <w:rFonts w:hint="default" w:ascii="Times New Roman" w:hAnsi="Times New Roman" w:cs="Times New Roman"/>
                      <w:bCs/>
                      <w:color w:val="auto"/>
                      <w:spacing w:val="-10"/>
                      <w:sz w:val="21"/>
                      <w:szCs w:val="21"/>
                      <w:lang w:eastAsia="zh-CN"/>
                    </w:rPr>
                    <w:t>）</w:t>
                  </w:r>
                </w:p>
              </w:tc>
              <w:tc>
                <w:tcPr>
                  <w:tcW w:w="595" w:type="pct"/>
                  <w:vAlign w:val="center"/>
                </w:tcPr>
                <w:p w14:paraId="586AC6F3">
                  <w:pPr>
                    <w:adjustRightInd w:val="0"/>
                    <w:snapToGrid w:val="0"/>
                    <w:jc w:val="center"/>
                    <w:rPr>
                      <w:rFonts w:hint="default" w:ascii="Times New Roman" w:hAnsi="Times New Roman" w:cs="Times New Roman"/>
                      <w:bCs/>
                      <w:color w:val="auto"/>
                      <w:spacing w:val="-10"/>
                      <w:sz w:val="21"/>
                      <w:szCs w:val="21"/>
                    </w:rPr>
                  </w:pPr>
                  <w:r>
                    <w:rPr>
                      <w:rFonts w:hint="default" w:ascii="Times New Roman" w:hAnsi="Times New Roman" w:cs="Times New Roman"/>
                      <w:bCs/>
                      <w:color w:val="auto"/>
                      <w:spacing w:val="-10"/>
                      <w:sz w:val="21"/>
                      <w:szCs w:val="21"/>
                      <w:lang w:eastAsia="zh-CN"/>
                    </w:rPr>
                    <w:t>非正常</w:t>
                  </w:r>
                  <w:r>
                    <w:rPr>
                      <w:rFonts w:hint="default" w:ascii="Times New Roman" w:hAnsi="Times New Roman" w:cs="Times New Roman"/>
                      <w:bCs/>
                      <w:color w:val="auto"/>
                      <w:spacing w:val="-10"/>
                      <w:sz w:val="21"/>
                      <w:szCs w:val="21"/>
                    </w:rPr>
                    <w:t>排放速率</w:t>
                  </w:r>
                  <w:r>
                    <w:rPr>
                      <w:rFonts w:hint="default" w:ascii="Times New Roman" w:hAnsi="Times New Roman" w:cs="Times New Roman"/>
                      <w:bCs/>
                      <w:color w:val="auto"/>
                      <w:spacing w:val="-10"/>
                      <w:sz w:val="21"/>
                      <w:szCs w:val="21"/>
                      <w:lang w:val="en-US" w:eastAsia="zh-CN"/>
                    </w:rPr>
                    <w:t>/</w:t>
                  </w:r>
                  <w:r>
                    <w:rPr>
                      <w:rFonts w:hint="default" w:ascii="Times New Roman" w:hAnsi="Times New Roman" w:cs="Times New Roman"/>
                      <w:bCs/>
                      <w:color w:val="auto"/>
                      <w:spacing w:val="-10"/>
                      <w:sz w:val="21"/>
                      <w:szCs w:val="21"/>
                    </w:rPr>
                    <w:t>（kg/h）</w:t>
                  </w:r>
                </w:p>
              </w:tc>
              <w:tc>
                <w:tcPr>
                  <w:tcW w:w="468" w:type="pct"/>
                  <w:vAlign w:val="center"/>
                </w:tcPr>
                <w:p w14:paraId="261BC657">
                  <w:pPr>
                    <w:adjustRightInd w:val="0"/>
                    <w:snapToGrid w:val="0"/>
                    <w:jc w:val="center"/>
                    <w:rPr>
                      <w:rFonts w:hint="default" w:ascii="Times New Roman" w:hAnsi="Times New Roman" w:cs="Times New Roman"/>
                      <w:bCs/>
                      <w:color w:val="auto"/>
                      <w:spacing w:val="-10"/>
                      <w:sz w:val="21"/>
                      <w:szCs w:val="21"/>
                      <w:lang w:val="en-US" w:eastAsia="zh-CN"/>
                    </w:rPr>
                  </w:pPr>
                  <w:r>
                    <w:rPr>
                      <w:rFonts w:hint="eastAsia" w:cs="Times New Roman"/>
                      <w:bCs/>
                      <w:color w:val="auto"/>
                      <w:spacing w:val="-10"/>
                      <w:sz w:val="21"/>
                      <w:szCs w:val="21"/>
                      <w:lang w:eastAsia="zh-CN"/>
                    </w:rPr>
                    <w:t>排放量</w:t>
                  </w:r>
                  <w:r>
                    <w:rPr>
                      <w:rFonts w:hint="eastAsia" w:cs="Times New Roman"/>
                      <w:bCs/>
                      <w:color w:val="auto"/>
                      <w:spacing w:val="-10"/>
                      <w:sz w:val="21"/>
                      <w:szCs w:val="21"/>
                      <w:lang w:val="en-US" w:eastAsia="zh-CN"/>
                    </w:rPr>
                    <w:t>t/a</w:t>
                  </w:r>
                </w:p>
              </w:tc>
              <w:tc>
                <w:tcPr>
                  <w:tcW w:w="409" w:type="pct"/>
                  <w:vAlign w:val="center"/>
                </w:tcPr>
                <w:p w14:paraId="102BBB55">
                  <w:pPr>
                    <w:adjustRightInd w:val="0"/>
                    <w:snapToGrid w:val="0"/>
                    <w:jc w:val="center"/>
                    <w:rPr>
                      <w:rFonts w:hint="default" w:ascii="Times New Roman" w:hAnsi="Times New Roman" w:cs="Times New Roman"/>
                      <w:bCs/>
                      <w:color w:val="auto"/>
                      <w:spacing w:val="-10"/>
                      <w:sz w:val="21"/>
                      <w:szCs w:val="21"/>
                    </w:rPr>
                  </w:pPr>
                  <w:r>
                    <w:rPr>
                      <w:rFonts w:hint="default" w:ascii="Times New Roman" w:hAnsi="Times New Roman" w:cs="Times New Roman"/>
                      <w:bCs/>
                      <w:color w:val="auto"/>
                      <w:spacing w:val="-10"/>
                      <w:sz w:val="21"/>
                      <w:szCs w:val="21"/>
                      <w:lang w:eastAsia="zh-CN"/>
                    </w:rPr>
                    <w:t>单次</w:t>
                  </w:r>
                  <w:r>
                    <w:rPr>
                      <w:rFonts w:hint="default" w:ascii="Times New Roman" w:hAnsi="Times New Roman" w:cs="Times New Roman"/>
                      <w:bCs/>
                      <w:color w:val="auto"/>
                      <w:spacing w:val="-10"/>
                      <w:sz w:val="21"/>
                      <w:szCs w:val="21"/>
                    </w:rPr>
                    <w:t>持续时间</w:t>
                  </w:r>
                </w:p>
              </w:tc>
              <w:tc>
                <w:tcPr>
                  <w:tcW w:w="439" w:type="pct"/>
                  <w:vAlign w:val="center"/>
                </w:tcPr>
                <w:p w14:paraId="1055C6BA">
                  <w:pPr>
                    <w:adjustRightInd w:val="0"/>
                    <w:snapToGrid w:val="0"/>
                    <w:jc w:val="center"/>
                    <w:rPr>
                      <w:rFonts w:hint="default" w:ascii="Times New Roman" w:hAnsi="Times New Roman" w:eastAsia="宋体" w:cs="Times New Roman"/>
                      <w:bCs/>
                      <w:color w:val="auto"/>
                      <w:spacing w:val="-10"/>
                      <w:sz w:val="21"/>
                      <w:szCs w:val="21"/>
                      <w:lang w:val="en-US" w:eastAsia="zh-CN"/>
                    </w:rPr>
                  </w:pPr>
                  <w:r>
                    <w:rPr>
                      <w:rFonts w:hint="default" w:ascii="Times New Roman" w:hAnsi="Times New Roman" w:cs="Times New Roman"/>
                      <w:bCs/>
                      <w:color w:val="auto"/>
                      <w:spacing w:val="-10"/>
                      <w:sz w:val="21"/>
                      <w:szCs w:val="21"/>
                      <w:lang w:eastAsia="zh-CN"/>
                    </w:rPr>
                    <w:t>年发生频次</w:t>
                  </w:r>
                  <w:r>
                    <w:rPr>
                      <w:rFonts w:hint="default" w:ascii="Times New Roman" w:hAnsi="Times New Roman" w:cs="Times New Roman"/>
                      <w:bCs/>
                      <w:color w:val="auto"/>
                      <w:spacing w:val="-10"/>
                      <w:sz w:val="21"/>
                      <w:szCs w:val="21"/>
                      <w:lang w:val="en-US" w:eastAsia="zh-CN"/>
                    </w:rPr>
                    <w:t>/次</w:t>
                  </w:r>
                </w:p>
              </w:tc>
              <w:tc>
                <w:tcPr>
                  <w:tcW w:w="1087" w:type="pct"/>
                  <w:vAlign w:val="center"/>
                </w:tcPr>
                <w:p w14:paraId="6F901259">
                  <w:pPr>
                    <w:adjustRightInd w:val="0"/>
                    <w:snapToGrid w:val="0"/>
                    <w:jc w:val="center"/>
                    <w:rPr>
                      <w:rFonts w:hint="default" w:ascii="Times New Roman" w:hAnsi="Times New Roman" w:cs="Times New Roman"/>
                      <w:bCs/>
                      <w:color w:val="auto"/>
                      <w:spacing w:val="-10"/>
                      <w:sz w:val="21"/>
                      <w:szCs w:val="21"/>
                    </w:rPr>
                  </w:pPr>
                  <w:r>
                    <w:rPr>
                      <w:rFonts w:hint="default" w:ascii="Times New Roman" w:hAnsi="Times New Roman" w:cs="Times New Roman"/>
                      <w:bCs/>
                      <w:color w:val="auto"/>
                      <w:spacing w:val="-10"/>
                      <w:sz w:val="21"/>
                      <w:szCs w:val="21"/>
                      <w:lang w:eastAsia="zh-CN"/>
                    </w:rPr>
                    <w:t>应对</w:t>
                  </w:r>
                  <w:r>
                    <w:rPr>
                      <w:rFonts w:hint="default" w:ascii="Times New Roman" w:hAnsi="Times New Roman" w:cs="Times New Roman"/>
                      <w:bCs/>
                      <w:color w:val="auto"/>
                      <w:spacing w:val="-10"/>
                      <w:sz w:val="21"/>
                      <w:szCs w:val="21"/>
                    </w:rPr>
                    <w:t>措施</w:t>
                  </w:r>
                </w:p>
              </w:tc>
            </w:tr>
            <w:tr w14:paraId="2392B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327" w:type="pct"/>
                  <w:vMerge w:val="restart"/>
                  <w:vAlign w:val="center"/>
                </w:tcPr>
                <w:p w14:paraId="0142A99E">
                  <w:pPr>
                    <w:adjustRightInd w:val="0"/>
                    <w:snapToGrid w:val="0"/>
                    <w:jc w:val="center"/>
                    <w:rPr>
                      <w:rFonts w:hint="eastAsia" w:ascii="Times New Roman" w:hAnsi="Times New Roman" w:eastAsia="宋体" w:cs="Times New Roman"/>
                      <w:bCs/>
                      <w:color w:val="auto"/>
                      <w:spacing w:val="-10"/>
                      <w:sz w:val="21"/>
                      <w:szCs w:val="21"/>
                      <w:lang w:eastAsia="zh-CN"/>
                    </w:rPr>
                  </w:pPr>
                  <w:r>
                    <w:rPr>
                      <w:rFonts w:hint="default" w:ascii="Times New Roman" w:hAnsi="Times New Roman" w:cs="Times New Roman"/>
                      <w:bCs/>
                      <w:color w:val="auto"/>
                      <w:spacing w:val="-10"/>
                      <w:sz w:val="21"/>
                      <w:szCs w:val="21"/>
                    </w:rPr>
                    <w:t>DA00</w:t>
                  </w:r>
                  <w:r>
                    <w:rPr>
                      <w:rFonts w:hint="eastAsia" w:cs="Times New Roman"/>
                      <w:bCs/>
                      <w:color w:val="auto"/>
                      <w:spacing w:val="-10"/>
                      <w:sz w:val="21"/>
                      <w:szCs w:val="21"/>
                      <w:lang w:val="en-US" w:eastAsia="zh-CN"/>
                    </w:rPr>
                    <w:t>1</w:t>
                  </w:r>
                </w:p>
              </w:tc>
              <w:tc>
                <w:tcPr>
                  <w:tcW w:w="482" w:type="pct"/>
                  <w:vMerge w:val="restart"/>
                  <w:vAlign w:val="center"/>
                </w:tcPr>
                <w:p w14:paraId="32129B65">
                  <w:pPr>
                    <w:adjustRightInd w:val="0"/>
                    <w:snapToGrid w:val="0"/>
                    <w:jc w:val="center"/>
                    <w:rPr>
                      <w:rFonts w:hint="default" w:ascii="Times New Roman" w:hAnsi="Times New Roman" w:cs="Times New Roman"/>
                      <w:bCs/>
                      <w:color w:val="auto"/>
                      <w:spacing w:val="-10"/>
                      <w:sz w:val="21"/>
                      <w:szCs w:val="21"/>
                    </w:rPr>
                  </w:pPr>
                  <w:r>
                    <w:rPr>
                      <w:rFonts w:hint="default" w:ascii="Times New Roman" w:hAnsi="Times New Roman" w:cs="Times New Roman"/>
                      <w:bCs/>
                      <w:color w:val="auto"/>
                      <w:spacing w:val="-10"/>
                      <w:sz w:val="21"/>
                      <w:szCs w:val="21"/>
                    </w:rPr>
                    <w:t>废气处理系统异常</w:t>
                  </w:r>
                </w:p>
              </w:tc>
              <w:tc>
                <w:tcPr>
                  <w:tcW w:w="540" w:type="pct"/>
                  <w:vAlign w:val="center"/>
                </w:tcPr>
                <w:p w14:paraId="3501146B">
                  <w:pPr>
                    <w:adjustRightInd w:val="0"/>
                    <w:snapToGrid w:val="0"/>
                    <w:jc w:val="center"/>
                    <w:rPr>
                      <w:rFonts w:hint="default" w:ascii="Times New Roman" w:hAnsi="Times New Roman" w:cs="Times New Roman"/>
                      <w:bCs/>
                      <w:color w:val="auto"/>
                      <w:spacing w:val="-10"/>
                      <w:sz w:val="21"/>
                      <w:szCs w:val="21"/>
                    </w:rPr>
                  </w:pPr>
                  <w:r>
                    <w:rPr>
                      <w:rFonts w:hint="default" w:ascii="Times New Roman" w:hAnsi="Times New Roman" w:cs="Times New Roman"/>
                      <w:bCs/>
                      <w:color w:val="auto"/>
                      <w:spacing w:val="-10"/>
                      <w:sz w:val="21"/>
                      <w:szCs w:val="21"/>
                    </w:rPr>
                    <w:t>非甲烷总烃</w:t>
                  </w:r>
                </w:p>
              </w:tc>
              <w:tc>
                <w:tcPr>
                  <w:tcW w:w="648" w:type="pct"/>
                  <w:shd w:val="clear" w:color="auto" w:fill="auto"/>
                  <w:vAlign w:val="center"/>
                </w:tcPr>
                <w:p w14:paraId="195B0E53">
                  <w:pPr>
                    <w:pStyle w:val="101"/>
                    <w:rPr>
                      <w:rFonts w:hint="default" w:ascii="Calibri" w:hAnsi="Calibri"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134.95</w:t>
                  </w:r>
                </w:p>
              </w:tc>
              <w:tc>
                <w:tcPr>
                  <w:tcW w:w="595" w:type="pct"/>
                  <w:shd w:val="clear" w:color="auto" w:fill="auto"/>
                  <w:vAlign w:val="center"/>
                </w:tcPr>
                <w:p w14:paraId="2439D897">
                  <w:pPr>
                    <w:pStyle w:val="101"/>
                    <w:rPr>
                      <w:rFonts w:hint="default" w:ascii="Calibri" w:hAnsi="Calibri"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2.699</w:t>
                  </w:r>
                </w:p>
              </w:tc>
              <w:tc>
                <w:tcPr>
                  <w:tcW w:w="468" w:type="pct"/>
                  <w:vAlign w:val="center"/>
                </w:tcPr>
                <w:p w14:paraId="5784E148">
                  <w:pPr>
                    <w:keepNext w:val="0"/>
                    <w:keepLines w:val="0"/>
                    <w:widowControl/>
                    <w:suppressLineNumbers w:val="0"/>
                    <w:jc w:val="center"/>
                    <w:textAlignment w:val="center"/>
                    <w:rPr>
                      <w:rFonts w:hint="default" w:cs="Times New Roman"/>
                      <w:bCs/>
                      <w:color w:val="auto"/>
                      <w:spacing w:val="-10"/>
                      <w:sz w:val="21"/>
                      <w:szCs w:val="21"/>
                      <w:lang w:val="en-US" w:eastAsia="zh-CN"/>
                    </w:rPr>
                  </w:pPr>
                  <w:r>
                    <w:rPr>
                      <w:rFonts w:hint="eastAsia" w:cs="Times New Roman"/>
                      <w:bCs/>
                      <w:color w:val="auto"/>
                      <w:spacing w:val="-10"/>
                      <w:sz w:val="21"/>
                      <w:szCs w:val="21"/>
                      <w:lang w:val="en-US" w:eastAsia="zh-CN"/>
                    </w:rPr>
                    <w:t>0.0054</w:t>
                  </w:r>
                </w:p>
              </w:tc>
              <w:tc>
                <w:tcPr>
                  <w:tcW w:w="409" w:type="pct"/>
                  <w:vMerge w:val="restart"/>
                  <w:vAlign w:val="center"/>
                </w:tcPr>
                <w:p w14:paraId="5281C6BD">
                  <w:pPr>
                    <w:adjustRightInd w:val="0"/>
                    <w:snapToGrid w:val="0"/>
                    <w:jc w:val="center"/>
                    <w:rPr>
                      <w:rFonts w:hint="default" w:ascii="Times New Roman" w:hAnsi="Times New Roman" w:eastAsia="宋体" w:cs="Times New Roman"/>
                      <w:bCs/>
                      <w:color w:val="auto"/>
                      <w:spacing w:val="-10"/>
                      <w:sz w:val="21"/>
                      <w:szCs w:val="21"/>
                      <w:lang w:val="en-US" w:eastAsia="zh-CN"/>
                    </w:rPr>
                  </w:pPr>
                  <w:r>
                    <w:rPr>
                      <w:rFonts w:hint="eastAsia" w:ascii="Times New Roman" w:hAnsi="Times New Roman" w:eastAsia="宋体" w:cs="Times New Roman"/>
                      <w:bCs/>
                      <w:color w:val="auto"/>
                      <w:spacing w:val="-10"/>
                      <w:sz w:val="21"/>
                      <w:szCs w:val="21"/>
                      <w:lang w:val="en-US" w:eastAsia="zh-CN"/>
                    </w:rPr>
                    <w:t>2</w:t>
                  </w:r>
                  <w:r>
                    <w:rPr>
                      <w:rFonts w:hint="default" w:ascii="Times New Roman" w:hAnsi="Times New Roman" w:eastAsia="宋体" w:cs="Times New Roman"/>
                      <w:bCs/>
                      <w:color w:val="auto"/>
                      <w:spacing w:val="-10"/>
                      <w:sz w:val="21"/>
                      <w:szCs w:val="21"/>
                      <w:lang w:val="en-US" w:eastAsia="zh-CN"/>
                    </w:rPr>
                    <w:t>h</w:t>
                  </w:r>
                </w:p>
              </w:tc>
              <w:tc>
                <w:tcPr>
                  <w:tcW w:w="439" w:type="pct"/>
                  <w:vMerge w:val="restart"/>
                  <w:vAlign w:val="center"/>
                </w:tcPr>
                <w:p w14:paraId="20389CE0">
                  <w:pPr>
                    <w:adjustRightInd w:val="0"/>
                    <w:snapToGrid w:val="0"/>
                    <w:jc w:val="center"/>
                    <w:rPr>
                      <w:rFonts w:hint="default" w:ascii="Times New Roman" w:hAnsi="Times New Roman" w:eastAsia="宋体" w:cs="Times New Roman"/>
                      <w:bCs/>
                      <w:color w:val="auto"/>
                      <w:spacing w:val="-10"/>
                      <w:sz w:val="21"/>
                      <w:szCs w:val="21"/>
                      <w:lang w:val="en-US" w:eastAsia="zh-CN"/>
                    </w:rPr>
                  </w:pPr>
                  <w:r>
                    <w:rPr>
                      <w:rFonts w:hint="eastAsia" w:ascii="Times New Roman" w:hAnsi="Times New Roman" w:eastAsia="宋体" w:cs="Times New Roman"/>
                      <w:bCs/>
                      <w:color w:val="auto"/>
                      <w:spacing w:val="-10"/>
                      <w:sz w:val="21"/>
                      <w:szCs w:val="21"/>
                      <w:lang w:val="en-US" w:eastAsia="zh-CN"/>
                    </w:rPr>
                    <w:t>1</w:t>
                  </w:r>
                </w:p>
              </w:tc>
              <w:tc>
                <w:tcPr>
                  <w:tcW w:w="1087" w:type="pct"/>
                  <w:vMerge w:val="restart"/>
                  <w:vAlign w:val="center"/>
                </w:tcPr>
                <w:p w14:paraId="293C38F0">
                  <w:pPr>
                    <w:adjustRightInd w:val="0"/>
                    <w:snapToGrid w:val="0"/>
                    <w:jc w:val="center"/>
                    <w:rPr>
                      <w:rFonts w:hint="default" w:ascii="Times New Roman" w:hAnsi="Times New Roman" w:eastAsia="宋体" w:cs="Times New Roman"/>
                      <w:bCs/>
                      <w:color w:val="auto"/>
                      <w:spacing w:val="-10"/>
                      <w:sz w:val="21"/>
                      <w:szCs w:val="21"/>
                      <w:lang w:eastAsia="zh-CN"/>
                    </w:rPr>
                  </w:pPr>
                  <w:r>
                    <w:rPr>
                      <w:rFonts w:hint="default" w:ascii="Times New Roman" w:hAnsi="Times New Roman" w:eastAsia="宋体" w:cs="Times New Roman"/>
                      <w:bCs/>
                      <w:color w:val="auto"/>
                      <w:spacing w:val="-10"/>
                      <w:sz w:val="21"/>
                      <w:szCs w:val="21"/>
                      <w:lang w:eastAsia="zh-CN"/>
                    </w:rPr>
                    <w:t>定期对设备进行维修和保养。生产设施启动前先开启废气治理措施，生产设施停机后再关闭废气治理措施。</w:t>
                  </w:r>
                </w:p>
              </w:tc>
            </w:tr>
            <w:tr w14:paraId="4A15B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327" w:type="pct"/>
                  <w:vMerge w:val="continue"/>
                  <w:vAlign w:val="center"/>
                </w:tcPr>
                <w:p w14:paraId="271249F6">
                  <w:pPr>
                    <w:adjustRightInd w:val="0"/>
                    <w:snapToGrid w:val="0"/>
                    <w:jc w:val="center"/>
                    <w:rPr>
                      <w:color w:val="auto"/>
                    </w:rPr>
                  </w:pPr>
                </w:p>
              </w:tc>
              <w:tc>
                <w:tcPr>
                  <w:tcW w:w="482" w:type="pct"/>
                  <w:vMerge w:val="continue"/>
                  <w:vAlign w:val="center"/>
                </w:tcPr>
                <w:p w14:paraId="0BBEF038">
                  <w:pPr>
                    <w:adjustRightInd w:val="0"/>
                    <w:snapToGrid w:val="0"/>
                    <w:jc w:val="center"/>
                    <w:rPr>
                      <w:color w:val="auto"/>
                    </w:rPr>
                  </w:pPr>
                </w:p>
              </w:tc>
              <w:tc>
                <w:tcPr>
                  <w:tcW w:w="540" w:type="pct"/>
                  <w:vAlign w:val="center"/>
                </w:tcPr>
                <w:p w14:paraId="6FFACCDD">
                  <w:pPr>
                    <w:adjustRightInd w:val="0"/>
                    <w:snapToGrid w:val="0"/>
                    <w:jc w:val="center"/>
                    <w:rPr>
                      <w:rFonts w:hint="eastAsia" w:ascii="Times New Roman" w:hAnsi="Times New Roman" w:eastAsia="宋体" w:cs="Times New Roman"/>
                      <w:bCs/>
                      <w:color w:val="auto"/>
                      <w:spacing w:val="-10"/>
                      <w:sz w:val="21"/>
                      <w:szCs w:val="21"/>
                      <w:lang w:eastAsia="zh-CN"/>
                    </w:rPr>
                  </w:pPr>
                  <w:r>
                    <w:rPr>
                      <w:rFonts w:hint="eastAsia" w:cs="Times New Roman"/>
                      <w:bCs/>
                      <w:color w:val="auto"/>
                      <w:spacing w:val="-10"/>
                      <w:sz w:val="21"/>
                      <w:szCs w:val="21"/>
                      <w:lang w:eastAsia="zh-CN"/>
                    </w:rPr>
                    <w:t>氨气</w:t>
                  </w:r>
                </w:p>
              </w:tc>
              <w:tc>
                <w:tcPr>
                  <w:tcW w:w="648" w:type="pct"/>
                  <w:shd w:val="clear" w:color="auto" w:fill="auto"/>
                  <w:vAlign w:val="center"/>
                </w:tcPr>
                <w:p w14:paraId="1DD9CA01">
                  <w:pPr>
                    <w:pStyle w:val="101"/>
                    <w:rPr>
                      <w:rFonts w:hint="default" w:ascii="Calibri" w:hAnsi="Calibri"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7.95</w:t>
                  </w:r>
                </w:p>
              </w:tc>
              <w:tc>
                <w:tcPr>
                  <w:tcW w:w="595" w:type="pct"/>
                  <w:shd w:val="clear" w:color="auto" w:fill="auto"/>
                  <w:vAlign w:val="center"/>
                </w:tcPr>
                <w:p w14:paraId="5FCDF0CE">
                  <w:pPr>
                    <w:pStyle w:val="101"/>
                    <w:rPr>
                      <w:rFonts w:hint="default" w:ascii="Calibri" w:hAnsi="Calibri"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0.159</w:t>
                  </w:r>
                </w:p>
              </w:tc>
              <w:tc>
                <w:tcPr>
                  <w:tcW w:w="468" w:type="pct"/>
                  <w:vAlign w:val="center"/>
                </w:tcPr>
                <w:p w14:paraId="62DB34C9">
                  <w:pPr>
                    <w:adjustRightInd w:val="0"/>
                    <w:snapToGrid w:val="0"/>
                    <w:jc w:val="center"/>
                    <w:rPr>
                      <w:rFonts w:hint="default" w:cs="Times New Roman"/>
                      <w:bCs/>
                      <w:color w:val="auto"/>
                      <w:spacing w:val="-10"/>
                      <w:sz w:val="21"/>
                      <w:szCs w:val="21"/>
                      <w:lang w:val="en-US" w:eastAsia="zh-CN"/>
                    </w:rPr>
                  </w:pPr>
                  <w:r>
                    <w:rPr>
                      <w:rFonts w:hint="eastAsia" w:cs="Times New Roman"/>
                      <w:bCs/>
                      <w:color w:val="auto"/>
                      <w:spacing w:val="-10"/>
                      <w:sz w:val="21"/>
                      <w:szCs w:val="21"/>
                      <w:lang w:val="en-US" w:eastAsia="zh-CN"/>
                    </w:rPr>
                    <w:t>0.0003</w:t>
                  </w:r>
                </w:p>
              </w:tc>
              <w:tc>
                <w:tcPr>
                  <w:tcW w:w="409" w:type="pct"/>
                  <w:vMerge w:val="continue"/>
                  <w:vAlign w:val="center"/>
                </w:tcPr>
                <w:p w14:paraId="5809ADE9">
                  <w:pPr>
                    <w:adjustRightInd w:val="0"/>
                    <w:snapToGrid w:val="0"/>
                    <w:jc w:val="center"/>
                    <w:rPr>
                      <w:rFonts w:hint="default" w:ascii="Times New Roman" w:hAnsi="Times New Roman" w:cs="Times New Roman"/>
                      <w:bCs/>
                      <w:color w:val="auto"/>
                      <w:spacing w:val="-10"/>
                      <w:sz w:val="21"/>
                      <w:szCs w:val="21"/>
                    </w:rPr>
                  </w:pPr>
                </w:p>
              </w:tc>
              <w:tc>
                <w:tcPr>
                  <w:tcW w:w="439" w:type="pct"/>
                  <w:vMerge w:val="continue"/>
                  <w:vAlign w:val="center"/>
                </w:tcPr>
                <w:p w14:paraId="5D47ED89">
                  <w:pPr>
                    <w:adjustRightInd w:val="0"/>
                    <w:snapToGrid w:val="0"/>
                    <w:jc w:val="center"/>
                    <w:rPr>
                      <w:rFonts w:hint="default" w:ascii="Times New Roman" w:hAnsi="Times New Roman" w:cs="Times New Roman"/>
                      <w:bCs/>
                      <w:color w:val="auto"/>
                      <w:spacing w:val="-10"/>
                      <w:sz w:val="21"/>
                      <w:szCs w:val="21"/>
                    </w:rPr>
                  </w:pPr>
                </w:p>
              </w:tc>
              <w:tc>
                <w:tcPr>
                  <w:tcW w:w="1087" w:type="pct"/>
                  <w:vMerge w:val="continue"/>
                  <w:vAlign w:val="center"/>
                </w:tcPr>
                <w:p w14:paraId="7BBB30C4">
                  <w:pPr>
                    <w:adjustRightInd w:val="0"/>
                    <w:snapToGrid w:val="0"/>
                    <w:jc w:val="center"/>
                    <w:rPr>
                      <w:rFonts w:hint="default" w:ascii="Times New Roman" w:hAnsi="Times New Roman" w:cs="Times New Roman"/>
                      <w:bCs/>
                      <w:color w:val="auto"/>
                      <w:spacing w:val="-10"/>
                      <w:sz w:val="21"/>
                      <w:szCs w:val="21"/>
                    </w:rPr>
                  </w:pPr>
                </w:p>
              </w:tc>
            </w:tr>
            <w:tr w14:paraId="40861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327" w:type="pct"/>
                  <w:vMerge w:val="continue"/>
                  <w:vAlign w:val="center"/>
                </w:tcPr>
                <w:p w14:paraId="114DC54B">
                  <w:pPr>
                    <w:adjustRightInd w:val="0"/>
                    <w:snapToGrid w:val="0"/>
                    <w:jc w:val="center"/>
                    <w:rPr>
                      <w:rFonts w:hint="default" w:ascii="Times New Roman" w:hAnsi="Times New Roman" w:cs="Times New Roman"/>
                      <w:bCs/>
                      <w:color w:val="auto"/>
                      <w:spacing w:val="-10"/>
                      <w:sz w:val="21"/>
                      <w:szCs w:val="21"/>
                    </w:rPr>
                  </w:pPr>
                </w:p>
              </w:tc>
              <w:tc>
                <w:tcPr>
                  <w:tcW w:w="482" w:type="pct"/>
                  <w:vMerge w:val="continue"/>
                  <w:vAlign w:val="center"/>
                </w:tcPr>
                <w:p w14:paraId="2A2D0B5B">
                  <w:pPr>
                    <w:adjustRightInd w:val="0"/>
                    <w:snapToGrid w:val="0"/>
                    <w:jc w:val="center"/>
                    <w:rPr>
                      <w:rFonts w:hint="default" w:ascii="Times New Roman" w:hAnsi="Times New Roman" w:cs="Times New Roman"/>
                      <w:bCs/>
                      <w:color w:val="auto"/>
                      <w:spacing w:val="-10"/>
                      <w:sz w:val="21"/>
                      <w:szCs w:val="21"/>
                    </w:rPr>
                  </w:pPr>
                </w:p>
              </w:tc>
              <w:tc>
                <w:tcPr>
                  <w:tcW w:w="540" w:type="pct"/>
                  <w:vAlign w:val="center"/>
                </w:tcPr>
                <w:p w14:paraId="6466ED4C">
                  <w:pPr>
                    <w:adjustRightInd w:val="0"/>
                    <w:snapToGrid w:val="0"/>
                    <w:jc w:val="center"/>
                    <w:rPr>
                      <w:rFonts w:hint="eastAsia" w:ascii="Times New Roman" w:hAnsi="Times New Roman" w:eastAsia="宋体" w:cs="Times New Roman"/>
                      <w:bCs/>
                      <w:color w:val="auto"/>
                      <w:spacing w:val="-10"/>
                      <w:sz w:val="21"/>
                      <w:szCs w:val="21"/>
                      <w:lang w:eastAsia="zh-CN"/>
                    </w:rPr>
                  </w:pPr>
                  <w:r>
                    <w:rPr>
                      <w:rFonts w:hint="eastAsia" w:cs="Times New Roman"/>
                      <w:bCs/>
                      <w:color w:val="auto"/>
                      <w:spacing w:val="-10"/>
                      <w:sz w:val="21"/>
                      <w:szCs w:val="21"/>
                      <w:lang w:eastAsia="zh-CN"/>
                    </w:rPr>
                    <w:t>硫化氢</w:t>
                  </w:r>
                </w:p>
              </w:tc>
              <w:tc>
                <w:tcPr>
                  <w:tcW w:w="648" w:type="pct"/>
                  <w:shd w:val="clear" w:color="auto" w:fill="auto"/>
                  <w:vAlign w:val="center"/>
                </w:tcPr>
                <w:p w14:paraId="364DA1C0">
                  <w:pPr>
                    <w:pStyle w:val="101"/>
                    <w:rPr>
                      <w:rFonts w:hint="default" w:ascii="Calibri" w:hAnsi="Calibri"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0.360</w:t>
                  </w:r>
                </w:p>
              </w:tc>
              <w:tc>
                <w:tcPr>
                  <w:tcW w:w="595" w:type="pct"/>
                  <w:shd w:val="clear" w:color="auto" w:fill="auto"/>
                  <w:vAlign w:val="center"/>
                </w:tcPr>
                <w:p w14:paraId="0E2A6C4E">
                  <w:pPr>
                    <w:pStyle w:val="101"/>
                    <w:rPr>
                      <w:rFonts w:hint="default" w:ascii="Calibri" w:hAnsi="Calibri"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0.007</w:t>
                  </w:r>
                </w:p>
              </w:tc>
              <w:tc>
                <w:tcPr>
                  <w:tcW w:w="468" w:type="pct"/>
                  <w:vAlign w:val="center"/>
                </w:tcPr>
                <w:p w14:paraId="295CEC2C">
                  <w:pPr>
                    <w:adjustRightInd w:val="0"/>
                    <w:snapToGrid w:val="0"/>
                    <w:jc w:val="center"/>
                    <w:rPr>
                      <w:rFonts w:hint="default" w:cs="Times New Roman"/>
                      <w:bCs/>
                      <w:color w:val="auto"/>
                      <w:spacing w:val="-10"/>
                      <w:sz w:val="21"/>
                      <w:szCs w:val="21"/>
                      <w:lang w:val="en-US" w:eastAsia="zh-CN"/>
                    </w:rPr>
                  </w:pPr>
                  <w:r>
                    <w:rPr>
                      <w:rFonts w:hint="eastAsia" w:cs="Times New Roman"/>
                      <w:bCs/>
                      <w:color w:val="auto"/>
                      <w:spacing w:val="-10"/>
                      <w:sz w:val="21"/>
                      <w:szCs w:val="21"/>
                      <w:lang w:val="en-US" w:eastAsia="zh-CN"/>
                    </w:rPr>
                    <w:t>0.000014</w:t>
                  </w:r>
                </w:p>
              </w:tc>
              <w:tc>
                <w:tcPr>
                  <w:tcW w:w="409" w:type="pct"/>
                  <w:vMerge w:val="continue"/>
                  <w:vAlign w:val="center"/>
                </w:tcPr>
                <w:p w14:paraId="48BF1C95">
                  <w:pPr>
                    <w:adjustRightInd w:val="0"/>
                    <w:snapToGrid w:val="0"/>
                    <w:jc w:val="center"/>
                    <w:rPr>
                      <w:rFonts w:hint="default" w:ascii="Times New Roman" w:hAnsi="Times New Roman" w:cs="Times New Roman"/>
                      <w:bCs/>
                      <w:color w:val="auto"/>
                      <w:spacing w:val="-10"/>
                      <w:sz w:val="21"/>
                      <w:szCs w:val="21"/>
                    </w:rPr>
                  </w:pPr>
                </w:p>
              </w:tc>
              <w:tc>
                <w:tcPr>
                  <w:tcW w:w="439" w:type="pct"/>
                  <w:vMerge w:val="continue"/>
                  <w:vAlign w:val="center"/>
                </w:tcPr>
                <w:p w14:paraId="31C8848F">
                  <w:pPr>
                    <w:adjustRightInd w:val="0"/>
                    <w:snapToGrid w:val="0"/>
                    <w:jc w:val="center"/>
                    <w:rPr>
                      <w:rFonts w:hint="default" w:ascii="Times New Roman" w:hAnsi="Times New Roman" w:cs="Times New Roman"/>
                      <w:bCs/>
                      <w:color w:val="auto"/>
                      <w:spacing w:val="-10"/>
                      <w:sz w:val="21"/>
                      <w:szCs w:val="21"/>
                    </w:rPr>
                  </w:pPr>
                </w:p>
              </w:tc>
              <w:tc>
                <w:tcPr>
                  <w:tcW w:w="1087" w:type="pct"/>
                  <w:vMerge w:val="continue"/>
                  <w:vAlign w:val="center"/>
                </w:tcPr>
                <w:p w14:paraId="7AFCCF38">
                  <w:pPr>
                    <w:adjustRightInd w:val="0"/>
                    <w:snapToGrid w:val="0"/>
                    <w:jc w:val="center"/>
                    <w:rPr>
                      <w:rFonts w:hint="default" w:ascii="Times New Roman" w:hAnsi="Times New Roman" w:cs="Times New Roman"/>
                      <w:bCs/>
                      <w:color w:val="auto"/>
                      <w:spacing w:val="-10"/>
                      <w:sz w:val="21"/>
                      <w:szCs w:val="21"/>
                    </w:rPr>
                  </w:pPr>
                </w:p>
              </w:tc>
            </w:tr>
          </w:tbl>
          <w:p w14:paraId="03768747">
            <w:pPr>
              <w:spacing w:line="360" w:lineRule="auto"/>
              <w:ind w:firstLine="482" w:firstLineChars="200"/>
              <w:rPr>
                <w:b/>
                <w:bCs/>
                <w:color w:val="auto"/>
                <w:sz w:val="24"/>
              </w:rPr>
            </w:pPr>
            <w:r>
              <w:rPr>
                <w:b/>
                <w:bCs/>
                <w:color w:val="auto"/>
                <w:sz w:val="24"/>
              </w:rPr>
              <w:t>4</w:t>
            </w:r>
            <w:r>
              <w:rPr>
                <w:rFonts w:hint="eastAsia"/>
                <w:b/>
                <w:bCs/>
                <w:color w:val="auto"/>
                <w:sz w:val="24"/>
              </w:rPr>
              <w:t>废气</w:t>
            </w:r>
            <w:r>
              <w:rPr>
                <w:b/>
                <w:bCs/>
                <w:color w:val="auto"/>
                <w:sz w:val="24"/>
              </w:rPr>
              <w:t>环境</w:t>
            </w:r>
            <w:r>
              <w:rPr>
                <w:rFonts w:hint="eastAsia"/>
                <w:b/>
                <w:bCs/>
                <w:color w:val="auto"/>
                <w:sz w:val="24"/>
              </w:rPr>
              <w:t>保护</w:t>
            </w:r>
            <w:r>
              <w:rPr>
                <w:b/>
                <w:bCs/>
                <w:color w:val="auto"/>
                <w:sz w:val="24"/>
              </w:rPr>
              <w:t>措施可行性分析：</w:t>
            </w:r>
          </w:p>
          <w:p w14:paraId="01253CD3">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jc w:val="left"/>
              <w:textAlignment w:val="auto"/>
              <w:rPr>
                <w:rFonts w:hint="eastAsia"/>
                <w:color w:val="auto"/>
                <w:sz w:val="24"/>
                <w:szCs w:val="24"/>
                <w:lang w:val="en-US" w:eastAsia="zh-CN"/>
              </w:rPr>
            </w:pPr>
            <w:r>
              <w:rPr>
                <w:rFonts w:hint="eastAsia" w:eastAsia="宋体"/>
                <w:color w:val="auto"/>
                <w:sz w:val="24"/>
                <w:szCs w:val="24"/>
                <w:lang w:eastAsia="zh-CN"/>
              </w:rPr>
              <w:t>根据</w:t>
            </w:r>
            <w:r>
              <w:rPr>
                <w:rFonts w:hint="eastAsia"/>
                <w:color w:val="auto"/>
                <w:sz w:val="24"/>
                <w:szCs w:val="24"/>
                <w:lang w:val="en-US" w:eastAsia="zh-CN"/>
              </w:rPr>
              <w:t>《</w:t>
            </w:r>
            <w:r>
              <w:rPr>
                <w:rFonts w:hint="eastAsia"/>
                <w:b/>
                <w:bCs/>
                <w:color w:val="auto"/>
                <w:sz w:val="24"/>
                <w:szCs w:val="24"/>
                <w:lang w:val="en-US" w:eastAsia="zh-CN"/>
              </w:rPr>
              <w:t>排污许可证申请与核发技术规范 环境卫生管理业》（HJ 1106—2020）</w:t>
            </w:r>
            <w:r>
              <w:rPr>
                <w:rFonts w:hint="eastAsia"/>
                <w:color w:val="auto"/>
                <w:sz w:val="24"/>
                <w:szCs w:val="24"/>
                <w:lang w:val="en-US" w:eastAsia="zh-CN"/>
              </w:rPr>
              <w:t>附录A中关于废气处理技术与本项目处理技术对比如下：</w:t>
            </w:r>
          </w:p>
          <w:p w14:paraId="41F39149">
            <w:pPr>
              <w:spacing w:line="240" w:lineRule="auto"/>
              <w:jc w:val="center"/>
              <w:rPr>
                <w:rFonts w:hint="default"/>
                <w:b/>
                <w:bCs/>
                <w:color w:val="auto"/>
                <w:sz w:val="21"/>
                <w:szCs w:val="16"/>
                <w:lang w:val="en-US" w:eastAsia="zh-CN"/>
              </w:rPr>
            </w:pPr>
            <w:r>
              <w:rPr>
                <w:rFonts w:hint="eastAsia"/>
                <w:b/>
                <w:bCs/>
                <w:color w:val="auto"/>
                <w:lang w:val="en-US" w:eastAsia="zh-CN"/>
              </w:rPr>
              <w:t>表4-13</w:t>
            </w:r>
            <w:r>
              <w:rPr>
                <w:rFonts w:hint="eastAsia"/>
                <w:b/>
                <w:bCs/>
                <w:color w:val="auto"/>
                <w:sz w:val="21"/>
                <w:szCs w:val="16"/>
                <w:lang w:val="en-US" w:eastAsia="zh-CN"/>
              </w:rPr>
              <w:t>与《排污许可证申请与核发技术规范 环境卫生管理业》（HJ 1106—2020）推荐技术符合性分析</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3"/>
              <w:gridCol w:w="1704"/>
              <w:gridCol w:w="1704"/>
              <w:gridCol w:w="1704"/>
              <w:gridCol w:w="1704"/>
            </w:tblGrid>
            <w:tr w14:paraId="6F7A9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03" w:type="dxa"/>
                  <w:noWrap w:val="0"/>
                  <w:vAlign w:val="center"/>
                </w:tcPr>
                <w:p w14:paraId="6A708B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生产单元</w:t>
                  </w:r>
                </w:p>
              </w:tc>
              <w:tc>
                <w:tcPr>
                  <w:tcW w:w="1704" w:type="dxa"/>
                  <w:noWrap w:val="0"/>
                  <w:vAlign w:val="center"/>
                </w:tcPr>
                <w:p w14:paraId="36F00C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产污环节</w:t>
                  </w:r>
                </w:p>
              </w:tc>
              <w:tc>
                <w:tcPr>
                  <w:tcW w:w="1704" w:type="dxa"/>
                  <w:noWrap w:val="0"/>
                  <w:vAlign w:val="center"/>
                </w:tcPr>
                <w:p w14:paraId="5D0D256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规范可行技术</w:t>
                  </w:r>
                </w:p>
              </w:tc>
              <w:tc>
                <w:tcPr>
                  <w:tcW w:w="1704" w:type="dxa"/>
                  <w:noWrap w:val="0"/>
                  <w:vAlign w:val="center"/>
                </w:tcPr>
                <w:p w14:paraId="24719E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本项目处理技术</w:t>
                  </w:r>
                </w:p>
              </w:tc>
              <w:tc>
                <w:tcPr>
                  <w:tcW w:w="1704" w:type="dxa"/>
                  <w:noWrap w:val="0"/>
                  <w:vAlign w:val="center"/>
                </w:tcPr>
                <w:p w14:paraId="4E51A4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符合</w:t>
                  </w:r>
                </w:p>
              </w:tc>
            </w:tr>
            <w:tr w14:paraId="6ED01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03" w:type="dxa"/>
                  <w:noWrap w:val="0"/>
                  <w:vAlign w:val="center"/>
                </w:tcPr>
                <w:p w14:paraId="6BA0A2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接收单元</w:t>
                  </w:r>
                </w:p>
              </w:tc>
              <w:tc>
                <w:tcPr>
                  <w:tcW w:w="1704" w:type="dxa"/>
                  <w:noWrap w:val="0"/>
                  <w:vAlign w:val="center"/>
                </w:tcPr>
                <w:p w14:paraId="0C824D0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卸料</w:t>
                  </w:r>
                </w:p>
              </w:tc>
              <w:tc>
                <w:tcPr>
                  <w:tcW w:w="1704" w:type="dxa"/>
                  <w:noWrap w:val="0"/>
                  <w:vAlign w:val="center"/>
                </w:tcPr>
                <w:p w14:paraId="5CC8BF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生物过滤、化学洗涤、活性炭吸附</w:t>
                  </w:r>
                </w:p>
              </w:tc>
              <w:tc>
                <w:tcPr>
                  <w:tcW w:w="1704" w:type="dxa"/>
                  <w:vMerge w:val="restart"/>
                  <w:noWrap w:val="0"/>
                  <w:vAlign w:val="center"/>
                </w:tcPr>
                <w:p w14:paraId="6E7A482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油雾净化器+</w:t>
                  </w:r>
                  <w:r>
                    <w:rPr>
                      <w:rFonts w:hint="eastAsia"/>
                      <w:color w:val="auto"/>
                      <w:sz w:val="21"/>
                      <w:szCs w:val="21"/>
                      <w:u w:val="none"/>
                      <w:lang w:val="en-US" w:eastAsia="zh-CN"/>
                    </w:rPr>
                    <w:t>管式热交换器+</w:t>
                  </w:r>
                  <w:r>
                    <w:rPr>
                      <w:rFonts w:hint="eastAsia" w:ascii="宋体" w:hAnsi="宋体" w:eastAsia="宋体" w:cs="宋体"/>
                      <w:color w:val="auto"/>
                      <w:sz w:val="21"/>
                      <w:szCs w:val="21"/>
                      <w:vertAlign w:val="baseline"/>
                      <w:lang w:val="en-US" w:eastAsia="zh-CN"/>
                    </w:rPr>
                    <w:t>化学洗涤+生物滤池</w:t>
                  </w:r>
                  <w:r>
                    <w:rPr>
                      <w:rFonts w:hint="eastAsia" w:ascii="宋体" w:hAnsi="宋体" w:cs="宋体"/>
                      <w:color w:val="auto"/>
                      <w:sz w:val="21"/>
                      <w:szCs w:val="21"/>
                      <w:vertAlign w:val="baseline"/>
                      <w:lang w:val="en-US" w:eastAsia="zh-CN"/>
                    </w:rPr>
                    <w:t>+次氯酸钠洗+干式过滤器+一级活性炭</w:t>
                  </w:r>
                </w:p>
              </w:tc>
              <w:tc>
                <w:tcPr>
                  <w:tcW w:w="1704" w:type="dxa"/>
                  <w:vMerge w:val="restart"/>
                  <w:noWrap w:val="0"/>
                  <w:vAlign w:val="center"/>
                </w:tcPr>
                <w:p w14:paraId="4ECC62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是,项目采用的化学洗涤（20%酸洗、10%碱洗15%次氯酸钠洗）和</w:t>
                  </w:r>
                  <w:r>
                    <w:rPr>
                      <w:rFonts w:hint="eastAsia" w:ascii="宋体" w:hAnsi="宋体" w:cs="宋体"/>
                      <w:color w:val="auto"/>
                      <w:sz w:val="21"/>
                      <w:szCs w:val="21"/>
                      <w:vertAlign w:val="baseline"/>
                      <w:lang w:val="en-US" w:eastAsia="zh-CN"/>
                    </w:rPr>
                    <w:t>活性炭吸附</w:t>
                  </w:r>
                  <w:r>
                    <w:rPr>
                      <w:rFonts w:hint="eastAsia" w:ascii="宋体" w:hAnsi="宋体" w:eastAsia="宋体" w:cs="宋体"/>
                      <w:color w:val="auto"/>
                      <w:sz w:val="21"/>
                      <w:szCs w:val="21"/>
                      <w:vertAlign w:val="baseline"/>
                      <w:lang w:val="en-US" w:eastAsia="zh-CN"/>
                    </w:rPr>
                    <w:t>均为推荐技术。</w:t>
                  </w:r>
                </w:p>
              </w:tc>
            </w:tr>
            <w:tr w14:paraId="659D3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03" w:type="dxa"/>
                  <w:noWrap w:val="0"/>
                  <w:vAlign w:val="center"/>
                </w:tcPr>
                <w:p w14:paraId="21570B7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预处理</w:t>
                  </w:r>
                </w:p>
              </w:tc>
              <w:tc>
                <w:tcPr>
                  <w:tcW w:w="1704" w:type="dxa"/>
                  <w:noWrap w:val="0"/>
                  <w:vAlign w:val="center"/>
                </w:tcPr>
                <w:p w14:paraId="34D592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rPr>
                  </w:pPr>
                  <w:r>
                    <w:rPr>
                      <w:rFonts w:hint="eastAsia" w:ascii="宋体" w:hAnsi="宋体" w:eastAsia="宋体" w:cs="宋体"/>
                      <w:color w:val="auto"/>
                      <w:sz w:val="21"/>
                      <w:szCs w:val="21"/>
                      <w:vertAlign w:val="baseline"/>
                      <w:lang w:val="en-US" w:eastAsia="zh-CN"/>
                    </w:rPr>
                    <w:t>破碎、分选、</w:t>
                  </w:r>
                  <w:r>
                    <w:rPr>
                      <w:rFonts w:hint="eastAsia" w:ascii="宋体" w:hAnsi="宋体" w:cs="宋体"/>
                      <w:color w:val="auto"/>
                      <w:sz w:val="21"/>
                      <w:szCs w:val="21"/>
                      <w:vertAlign w:val="baseline"/>
                      <w:lang w:val="en-US" w:eastAsia="zh-CN"/>
                    </w:rPr>
                    <w:t>三相</w:t>
                  </w:r>
                  <w:r>
                    <w:rPr>
                      <w:rFonts w:hint="eastAsia" w:ascii="宋体" w:hAnsi="宋体" w:eastAsia="宋体" w:cs="宋体"/>
                      <w:color w:val="auto"/>
                      <w:sz w:val="21"/>
                      <w:szCs w:val="21"/>
                      <w:vertAlign w:val="baseline"/>
                      <w:lang w:val="en-US" w:eastAsia="zh-CN"/>
                    </w:rPr>
                    <w:t>分离</w:t>
                  </w:r>
                </w:p>
              </w:tc>
              <w:tc>
                <w:tcPr>
                  <w:tcW w:w="1704" w:type="dxa"/>
                  <w:noWrap w:val="0"/>
                  <w:vAlign w:val="center"/>
                </w:tcPr>
                <w:p w14:paraId="43BF07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rPr>
                  </w:pPr>
                  <w:r>
                    <w:rPr>
                      <w:rFonts w:hint="eastAsia" w:ascii="宋体" w:hAnsi="宋体" w:eastAsia="宋体" w:cs="宋体"/>
                      <w:color w:val="auto"/>
                      <w:sz w:val="21"/>
                      <w:szCs w:val="21"/>
                      <w:vertAlign w:val="baseline"/>
                      <w:lang w:val="en-US" w:eastAsia="zh-CN"/>
                    </w:rPr>
                    <w:t>生物过滤、化学洗涤、活性炭吸附</w:t>
                  </w:r>
                </w:p>
              </w:tc>
              <w:tc>
                <w:tcPr>
                  <w:tcW w:w="1704" w:type="dxa"/>
                  <w:vMerge w:val="continue"/>
                  <w:noWrap w:val="0"/>
                  <w:vAlign w:val="center"/>
                </w:tcPr>
                <w:p w14:paraId="4E23CF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rPr>
                  </w:pPr>
                </w:p>
              </w:tc>
              <w:tc>
                <w:tcPr>
                  <w:tcW w:w="1704" w:type="dxa"/>
                  <w:vMerge w:val="continue"/>
                  <w:noWrap w:val="0"/>
                  <w:vAlign w:val="center"/>
                </w:tcPr>
                <w:p w14:paraId="391162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rPr>
                  </w:pPr>
                </w:p>
              </w:tc>
            </w:tr>
            <w:tr w14:paraId="57039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03" w:type="dxa"/>
                  <w:noWrap w:val="0"/>
                  <w:vAlign w:val="center"/>
                </w:tcPr>
                <w:p w14:paraId="44F9209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油脂处理单元</w:t>
                  </w:r>
                </w:p>
              </w:tc>
              <w:tc>
                <w:tcPr>
                  <w:tcW w:w="1704" w:type="dxa"/>
                  <w:noWrap w:val="0"/>
                  <w:vAlign w:val="center"/>
                </w:tcPr>
                <w:p w14:paraId="1E2D126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油水分离</w:t>
                  </w:r>
                </w:p>
              </w:tc>
              <w:tc>
                <w:tcPr>
                  <w:tcW w:w="1704" w:type="dxa"/>
                  <w:noWrap w:val="0"/>
                  <w:vAlign w:val="center"/>
                </w:tcPr>
                <w:p w14:paraId="163C9C9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pacing w:val="-2"/>
                      <w:sz w:val="21"/>
                      <w:szCs w:val="21"/>
                      <w:vertAlign w:val="baseline"/>
                      <w:lang w:val="en-US" w:eastAsia="zh-CN" w:bidi="ar-SA"/>
                    </w:rPr>
                  </w:pPr>
                  <w:r>
                    <w:rPr>
                      <w:rFonts w:hint="eastAsia" w:ascii="宋体" w:hAnsi="宋体" w:eastAsia="宋体" w:cs="宋体"/>
                      <w:color w:val="auto"/>
                      <w:sz w:val="21"/>
                      <w:szCs w:val="21"/>
                      <w:vertAlign w:val="baseline"/>
                      <w:lang w:val="en-US" w:eastAsia="zh-CN"/>
                    </w:rPr>
                    <w:t>生物过滤、化学洗涤、活性炭吸附</w:t>
                  </w:r>
                </w:p>
              </w:tc>
              <w:tc>
                <w:tcPr>
                  <w:tcW w:w="1704" w:type="dxa"/>
                  <w:vMerge w:val="continue"/>
                  <w:noWrap w:val="0"/>
                  <w:vAlign w:val="center"/>
                </w:tcPr>
                <w:p w14:paraId="7318F42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rPr>
                  </w:pPr>
                </w:p>
              </w:tc>
              <w:tc>
                <w:tcPr>
                  <w:tcW w:w="1704" w:type="dxa"/>
                  <w:vMerge w:val="continue"/>
                  <w:noWrap w:val="0"/>
                  <w:vAlign w:val="center"/>
                </w:tcPr>
                <w:p w14:paraId="737FC7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rPr>
                  </w:pPr>
                </w:p>
              </w:tc>
            </w:tr>
          </w:tbl>
          <w:p w14:paraId="64B2A7EB">
            <w:pPr>
              <w:adjustRightInd w:val="0"/>
              <w:snapToGrid w:val="0"/>
              <w:spacing w:line="360" w:lineRule="auto"/>
              <w:ind w:firstLine="480" w:firstLineChars="200"/>
              <w:rPr>
                <w:rFonts w:hint="eastAsia"/>
                <w:color w:val="auto"/>
                <w:sz w:val="24"/>
                <w:lang w:eastAsia="zh-CN"/>
              </w:rPr>
            </w:pPr>
          </w:p>
          <w:p w14:paraId="3DE070F2">
            <w:pPr>
              <w:adjustRightInd w:val="0"/>
              <w:snapToGrid w:val="0"/>
              <w:spacing w:line="360" w:lineRule="auto"/>
              <w:rPr>
                <w:rFonts w:hint="default" w:ascii="宋体" w:hAnsi="宋体"/>
                <w:color w:val="auto"/>
                <w:sz w:val="24"/>
                <w:lang w:val="en-US" w:eastAsia="zh-CN"/>
              </w:rPr>
            </w:pPr>
            <w:r>
              <w:rPr>
                <w:rFonts w:hint="default" w:ascii="宋体" w:hAnsi="宋体"/>
                <w:color w:val="auto"/>
                <w:sz w:val="24"/>
                <w:lang w:val="en-US" w:eastAsia="zh-CN"/>
              </w:rPr>
              <w:drawing>
                <wp:inline distT="0" distB="0" distL="114300" distR="114300">
                  <wp:extent cx="5249545" cy="2110105"/>
                  <wp:effectExtent l="90805" t="73025" r="107950" b="12192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249545" cy="2110105"/>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D5CC506">
            <w:pPr>
              <w:pStyle w:val="2"/>
              <w:jc w:val="center"/>
              <w:rPr>
                <w:rFonts w:hint="default"/>
                <w:b/>
                <w:bCs/>
                <w:color w:val="auto"/>
                <w:lang w:val="en-US" w:eastAsia="zh-CN"/>
              </w:rPr>
            </w:pPr>
            <w:r>
              <w:rPr>
                <w:rFonts w:hint="eastAsia" w:ascii="宋体" w:hAnsi="宋体"/>
                <w:b/>
                <w:bCs/>
                <w:color w:val="auto"/>
                <w:sz w:val="24"/>
                <w:lang w:val="en-US" w:eastAsia="zh-CN"/>
              </w:rPr>
              <w:t>图4-1 废气处理措施图</w:t>
            </w:r>
          </w:p>
          <w:p w14:paraId="562C8F64">
            <w:pPr>
              <w:adjustRightInd w:val="0"/>
              <w:snapToGrid w:val="0"/>
              <w:spacing w:line="360" w:lineRule="auto"/>
              <w:ind w:firstLine="480" w:firstLineChars="200"/>
              <w:rPr>
                <w:rFonts w:hint="eastAsia"/>
                <w:color w:val="auto"/>
                <w:sz w:val="24"/>
                <w:lang w:val="en-US" w:eastAsia="zh-CN"/>
              </w:rPr>
            </w:pPr>
            <w:r>
              <w:rPr>
                <w:rFonts w:hint="eastAsia"/>
                <w:color w:val="auto"/>
                <w:sz w:val="24"/>
                <w:lang w:eastAsia="zh-CN"/>
              </w:rPr>
              <w:t>①</w:t>
            </w:r>
            <w:r>
              <w:rPr>
                <w:rFonts w:hint="eastAsia"/>
                <w:color w:val="auto"/>
                <w:sz w:val="24"/>
                <w:lang w:val="en-US" w:eastAsia="zh-CN"/>
              </w:rPr>
              <w:t>油雾净化器</w:t>
            </w:r>
          </w:p>
          <w:p w14:paraId="30DB0698">
            <w:pPr>
              <w:adjustRightInd w:val="0"/>
              <w:snapToGrid w:val="0"/>
              <w:spacing w:line="360" w:lineRule="auto"/>
              <w:ind w:firstLine="480" w:firstLineChars="200"/>
              <w:rPr>
                <w:rFonts w:hint="eastAsia"/>
                <w:color w:val="auto"/>
                <w:sz w:val="24"/>
              </w:rPr>
            </w:pPr>
            <w:r>
              <w:rPr>
                <w:rFonts w:hint="eastAsia"/>
                <w:color w:val="auto"/>
                <w:sz w:val="24"/>
                <w:lang w:val="en-US" w:eastAsia="zh-CN"/>
              </w:rPr>
              <w:t>本项目餐厨垃圾及餐厨油脂在处理过程中产生的非甲烷总烃主要是油脂，利用油雾净化器进行处理。</w:t>
            </w:r>
            <w:r>
              <w:rPr>
                <w:rFonts w:hint="eastAsia"/>
                <w:color w:val="auto"/>
                <w:sz w:val="24"/>
              </w:rPr>
              <w:t>工作原理</w:t>
            </w:r>
            <w:r>
              <w:rPr>
                <w:rFonts w:hint="eastAsia"/>
                <w:color w:val="auto"/>
                <w:sz w:val="24"/>
                <w:lang w:eastAsia="zh-CN"/>
              </w:rPr>
              <w:t>：</w:t>
            </w:r>
            <w:r>
              <w:rPr>
                <w:rFonts w:hint="eastAsia"/>
                <w:color w:val="auto"/>
                <w:sz w:val="24"/>
              </w:rPr>
              <w:t>吸入空气中的油烟油雾等污染物，经过前置过滤箱后，较大的微粒被前置过滤器分离出来；在随后通过电离器时，电离器电晕放电使工业污染空气中的微粒带电；带电的微粒在通过收集器时，会受到电场中的库仑力发生转向而被吸附等到金属板上，从而把污染微粒从空气中分离出来；空气在通过后置过滤器，中和溢出空气中的带电微粒，形成净化空气，通过风机排出。</w:t>
            </w:r>
          </w:p>
          <w:p w14:paraId="153E5688">
            <w:pPr>
              <w:spacing w:line="480" w:lineRule="auto"/>
              <w:jc w:val="center"/>
              <w:rPr>
                <w:rFonts w:hint="eastAsia" w:ascii="宋体" w:hAnsi="宋体" w:eastAsia="宋体"/>
                <w:color w:val="auto"/>
                <w:sz w:val="24"/>
                <w:lang w:eastAsia="zh-CN"/>
              </w:rPr>
            </w:pPr>
            <w:r>
              <w:rPr>
                <w:rFonts w:hint="eastAsia" w:ascii="宋体" w:hAnsi="宋体" w:eastAsia="宋体"/>
                <w:color w:val="auto"/>
                <w:sz w:val="24"/>
                <w:lang w:eastAsia="zh-CN"/>
              </w:rPr>
              <w:drawing>
                <wp:inline distT="0" distB="0" distL="114300" distR="114300">
                  <wp:extent cx="3999230" cy="1581785"/>
                  <wp:effectExtent l="0" t="0" r="1270" b="18415"/>
                  <wp:docPr id="23" name="图片 23" descr="744248c294324e125f26eba0de8a9c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744248c294324e125f26eba0de8a9c81"/>
                          <pic:cNvPicPr>
                            <a:picLocks noChangeAspect="1"/>
                          </pic:cNvPicPr>
                        </pic:nvPicPr>
                        <pic:blipFill>
                          <a:blip r:embed="rId24"/>
                          <a:stretch>
                            <a:fillRect/>
                          </a:stretch>
                        </pic:blipFill>
                        <pic:spPr>
                          <a:xfrm>
                            <a:off x="0" y="0"/>
                            <a:ext cx="3999230" cy="1581785"/>
                          </a:xfrm>
                          <a:prstGeom prst="rect">
                            <a:avLst/>
                          </a:prstGeom>
                        </pic:spPr>
                      </pic:pic>
                    </a:graphicData>
                  </a:graphic>
                </wp:inline>
              </w:drawing>
            </w:r>
          </w:p>
          <w:p w14:paraId="1AA1D918">
            <w:pPr>
              <w:spacing w:line="240" w:lineRule="auto"/>
              <w:jc w:val="center"/>
              <w:rPr>
                <w:rFonts w:hint="eastAsia" w:ascii="宋体" w:hAnsi="宋体" w:eastAsia="宋体"/>
                <w:color w:val="auto"/>
                <w:sz w:val="24"/>
                <w:u w:val="single"/>
                <w:lang w:eastAsia="zh-CN"/>
              </w:rPr>
            </w:pPr>
            <w:r>
              <w:rPr>
                <w:rFonts w:hint="eastAsia"/>
                <w:b/>
                <w:bCs/>
                <w:color w:val="auto"/>
                <w:sz w:val="24"/>
                <w:lang w:eastAsia="zh-CN"/>
              </w:rPr>
              <w:t>图</w:t>
            </w:r>
            <w:r>
              <w:rPr>
                <w:rFonts w:hint="eastAsia"/>
                <w:b/>
                <w:bCs/>
                <w:color w:val="auto"/>
                <w:sz w:val="24"/>
                <w:lang w:val="en-US" w:eastAsia="zh-CN"/>
              </w:rPr>
              <w:t>4-2 油雾净化器设备图</w:t>
            </w:r>
            <w:r>
              <w:rPr>
                <w:rFonts w:hint="eastAsia" w:ascii="宋体" w:hAnsi="宋体" w:eastAsia="宋体"/>
                <w:color w:val="auto"/>
                <w:sz w:val="24"/>
                <w:u w:val="single"/>
                <w:lang w:eastAsia="zh-CN"/>
              </w:rPr>
              <w:drawing>
                <wp:inline distT="0" distB="0" distL="114300" distR="114300">
                  <wp:extent cx="4438650" cy="2838450"/>
                  <wp:effectExtent l="0" t="0" r="0" b="0"/>
                  <wp:docPr id="24" name="图片 24" descr="3345236c129ec15c1df7730f25cd54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3345236c129ec15c1df7730f25cd54e8"/>
                          <pic:cNvPicPr>
                            <a:picLocks noChangeAspect="1"/>
                          </pic:cNvPicPr>
                        </pic:nvPicPr>
                        <pic:blipFill>
                          <a:blip r:embed="rId25"/>
                          <a:stretch>
                            <a:fillRect/>
                          </a:stretch>
                        </pic:blipFill>
                        <pic:spPr>
                          <a:xfrm>
                            <a:off x="0" y="0"/>
                            <a:ext cx="4438650" cy="2838450"/>
                          </a:xfrm>
                          <a:prstGeom prst="rect">
                            <a:avLst/>
                          </a:prstGeom>
                        </pic:spPr>
                      </pic:pic>
                    </a:graphicData>
                  </a:graphic>
                </wp:inline>
              </w:drawing>
            </w:r>
          </w:p>
          <w:p w14:paraId="7506069D">
            <w:pPr>
              <w:spacing w:line="240" w:lineRule="auto"/>
              <w:jc w:val="center"/>
              <w:rPr>
                <w:rFonts w:hint="default" w:ascii="宋体" w:hAnsi="宋体" w:eastAsia="宋体"/>
                <w:b/>
                <w:bCs/>
                <w:color w:val="auto"/>
                <w:sz w:val="24"/>
                <w:u w:val="none"/>
                <w:lang w:val="en-US" w:eastAsia="zh-CN"/>
              </w:rPr>
            </w:pPr>
            <w:r>
              <w:rPr>
                <w:rFonts w:hint="eastAsia"/>
                <w:b/>
                <w:bCs/>
                <w:color w:val="auto"/>
                <w:sz w:val="24"/>
                <w:lang w:eastAsia="zh-CN"/>
              </w:rPr>
              <w:t>图</w:t>
            </w:r>
            <w:r>
              <w:rPr>
                <w:rFonts w:hint="eastAsia"/>
                <w:b/>
                <w:bCs/>
                <w:color w:val="auto"/>
                <w:sz w:val="24"/>
                <w:lang w:val="en-US" w:eastAsia="zh-CN"/>
              </w:rPr>
              <w:t>4-3 设备工作原理图示</w:t>
            </w:r>
          </w:p>
          <w:p w14:paraId="0E331014">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eastAsia="宋体"/>
                <w:b/>
                <w:bCs/>
                <w:color w:val="auto"/>
                <w:lang w:eastAsia="zh-CN"/>
              </w:rPr>
            </w:pPr>
            <w:r>
              <w:rPr>
                <w:rFonts w:hint="eastAsia"/>
                <w:b/>
                <w:bCs/>
                <w:color w:val="auto"/>
                <w:sz w:val="24"/>
                <w:lang w:eastAsia="zh-CN"/>
              </w:rPr>
              <w:t>二、废水</w:t>
            </w:r>
          </w:p>
          <w:p w14:paraId="2C5C2FB0">
            <w:pPr>
              <w:adjustRightInd w:val="0"/>
              <w:snapToGrid w:val="0"/>
              <w:spacing w:line="360" w:lineRule="auto"/>
              <w:rPr>
                <w:b/>
                <w:bCs/>
                <w:color w:val="auto"/>
                <w:sz w:val="24"/>
              </w:rPr>
            </w:pPr>
            <w:r>
              <w:rPr>
                <w:b/>
                <w:bCs/>
                <w:color w:val="auto"/>
                <w:sz w:val="24"/>
              </w:rPr>
              <w:t>1．废水污染物</w:t>
            </w:r>
          </w:p>
          <w:p w14:paraId="278021C5">
            <w:pPr>
              <w:adjustRightInd w:val="0"/>
              <w:snapToGrid w:val="0"/>
              <w:spacing w:line="360" w:lineRule="auto"/>
              <w:ind w:firstLine="480" w:firstLineChars="200"/>
              <w:rPr>
                <w:color w:val="auto"/>
                <w:sz w:val="24"/>
              </w:rPr>
            </w:pPr>
            <w:r>
              <w:rPr>
                <w:color w:val="auto"/>
                <w:sz w:val="24"/>
              </w:rPr>
              <w:t>本项目废水污染物主要来源于劳动定员的生活污水、</w:t>
            </w:r>
            <w:r>
              <w:rPr>
                <w:rFonts w:hint="eastAsia"/>
                <w:color w:val="auto"/>
                <w:sz w:val="24"/>
                <w:lang w:eastAsia="zh-CN"/>
              </w:rPr>
              <w:t>循环冷却排水、</w:t>
            </w:r>
            <w:r>
              <w:rPr>
                <w:rFonts w:hint="eastAsia"/>
                <w:strike w:val="0"/>
                <w:dstrike w:val="0"/>
                <w:color w:val="auto"/>
                <w:sz w:val="24"/>
                <w:highlight w:val="none"/>
                <w:lang w:eastAsia="zh-CN"/>
              </w:rPr>
              <w:t>高浓废</w:t>
            </w:r>
            <w:r>
              <w:rPr>
                <w:rFonts w:hint="eastAsia"/>
                <w:color w:val="auto"/>
                <w:sz w:val="24"/>
                <w:lang w:eastAsia="zh-CN"/>
              </w:rPr>
              <w:t>水（三相分离后的废水（含沉降罐的沥水）和喷淋废水）和初期雨水，本</w:t>
            </w:r>
            <w:r>
              <w:rPr>
                <w:color w:val="auto"/>
                <w:sz w:val="24"/>
              </w:rPr>
              <w:t>项目的废水产生情况见下表：</w:t>
            </w:r>
          </w:p>
          <w:p w14:paraId="6F62241A">
            <w:pPr>
              <w:adjustRightInd w:val="0"/>
              <w:snapToGrid w:val="0"/>
              <w:jc w:val="center"/>
              <w:rPr>
                <w:b/>
                <w:bCs/>
                <w:color w:val="auto"/>
                <w:sz w:val="21"/>
                <w:szCs w:val="21"/>
              </w:rPr>
            </w:pPr>
            <w:r>
              <w:rPr>
                <w:b/>
                <w:bCs/>
                <w:color w:val="auto"/>
                <w:sz w:val="21"/>
                <w:szCs w:val="21"/>
              </w:rPr>
              <w:t>表4</w:t>
            </w:r>
            <w:r>
              <w:rPr>
                <w:rFonts w:hint="eastAsia"/>
                <w:b/>
                <w:bCs/>
                <w:color w:val="auto"/>
                <w:sz w:val="21"/>
                <w:szCs w:val="21"/>
              </w:rPr>
              <w:t>-</w:t>
            </w:r>
            <w:r>
              <w:rPr>
                <w:rFonts w:hint="eastAsia"/>
                <w:b/>
                <w:bCs/>
                <w:color w:val="auto"/>
                <w:sz w:val="21"/>
                <w:szCs w:val="21"/>
                <w:lang w:val="en-US" w:eastAsia="zh-CN"/>
              </w:rPr>
              <w:t>14</w:t>
            </w:r>
            <w:r>
              <w:rPr>
                <w:b/>
                <w:bCs/>
                <w:color w:val="auto"/>
                <w:sz w:val="21"/>
                <w:szCs w:val="21"/>
              </w:rPr>
              <w:t xml:space="preserve"> 项目废水产生及排放情况一览表</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56"/>
              <w:gridCol w:w="956"/>
              <w:gridCol w:w="1795"/>
              <w:gridCol w:w="1245"/>
              <w:gridCol w:w="1206"/>
              <w:gridCol w:w="2281"/>
            </w:tblGrid>
            <w:tr w14:paraId="4F060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18" w:type="pct"/>
                  <w:vMerge w:val="restart"/>
                  <w:noWrap w:val="0"/>
                  <w:vAlign w:val="center"/>
                </w:tcPr>
                <w:p w14:paraId="3C8850A0">
                  <w:pPr>
                    <w:spacing w:line="240" w:lineRule="auto"/>
                    <w:ind w:firstLine="0" w:firstLineChars="0"/>
                    <w:jc w:val="center"/>
                    <w:rPr>
                      <w:color w:val="auto"/>
                      <w:sz w:val="21"/>
                      <w:szCs w:val="21"/>
                    </w:rPr>
                  </w:pPr>
                  <w:r>
                    <w:rPr>
                      <w:color w:val="auto"/>
                      <w:sz w:val="21"/>
                      <w:szCs w:val="21"/>
                    </w:rPr>
                    <w:t>污染源名称</w:t>
                  </w:r>
                </w:p>
              </w:tc>
              <w:tc>
                <w:tcPr>
                  <w:tcW w:w="559" w:type="pct"/>
                  <w:vMerge w:val="restart"/>
                  <w:noWrap w:val="0"/>
                  <w:vAlign w:val="center"/>
                </w:tcPr>
                <w:p w14:paraId="6321FCE2">
                  <w:pPr>
                    <w:spacing w:line="240" w:lineRule="auto"/>
                    <w:ind w:firstLine="0" w:firstLineChars="0"/>
                    <w:jc w:val="center"/>
                    <w:rPr>
                      <w:color w:val="auto"/>
                      <w:sz w:val="21"/>
                      <w:szCs w:val="21"/>
                    </w:rPr>
                  </w:pPr>
                  <w:r>
                    <w:rPr>
                      <w:color w:val="auto"/>
                      <w:sz w:val="21"/>
                      <w:szCs w:val="21"/>
                    </w:rPr>
                    <w:t>废水量m</w:t>
                  </w:r>
                  <w:r>
                    <w:rPr>
                      <w:color w:val="auto"/>
                      <w:sz w:val="21"/>
                      <w:szCs w:val="21"/>
                      <w:vertAlign w:val="superscript"/>
                    </w:rPr>
                    <w:t>3</w:t>
                  </w:r>
                  <w:r>
                    <w:rPr>
                      <w:color w:val="auto"/>
                      <w:sz w:val="21"/>
                      <w:szCs w:val="21"/>
                    </w:rPr>
                    <w:t>/a</w:t>
                  </w:r>
                </w:p>
              </w:tc>
              <w:tc>
                <w:tcPr>
                  <w:tcW w:w="1051" w:type="pct"/>
                  <w:vMerge w:val="restart"/>
                  <w:noWrap w:val="0"/>
                  <w:vAlign w:val="center"/>
                </w:tcPr>
                <w:p w14:paraId="2E5C450B">
                  <w:pPr>
                    <w:spacing w:line="240" w:lineRule="auto"/>
                    <w:ind w:firstLine="0" w:firstLineChars="0"/>
                    <w:jc w:val="center"/>
                    <w:rPr>
                      <w:color w:val="auto"/>
                      <w:sz w:val="21"/>
                      <w:szCs w:val="21"/>
                    </w:rPr>
                  </w:pPr>
                  <w:r>
                    <w:rPr>
                      <w:color w:val="auto"/>
                      <w:sz w:val="21"/>
                      <w:szCs w:val="21"/>
                    </w:rPr>
                    <w:t>污染物名称</w:t>
                  </w:r>
                </w:p>
              </w:tc>
              <w:tc>
                <w:tcPr>
                  <w:tcW w:w="1435" w:type="pct"/>
                  <w:gridSpan w:val="2"/>
                  <w:noWrap w:val="0"/>
                  <w:vAlign w:val="center"/>
                </w:tcPr>
                <w:p w14:paraId="537BC1F5">
                  <w:pPr>
                    <w:spacing w:line="240" w:lineRule="auto"/>
                    <w:ind w:firstLine="0" w:firstLineChars="0"/>
                    <w:jc w:val="center"/>
                    <w:rPr>
                      <w:color w:val="auto"/>
                      <w:sz w:val="21"/>
                      <w:szCs w:val="21"/>
                    </w:rPr>
                  </w:pPr>
                  <w:r>
                    <w:rPr>
                      <w:color w:val="auto"/>
                      <w:sz w:val="21"/>
                      <w:szCs w:val="21"/>
                    </w:rPr>
                    <w:t>产生情况</w:t>
                  </w:r>
                </w:p>
              </w:tc>
              <w:tc>
                <w:tcPr>
                  <w:tcW w:w="1335" w:type="pct"/>
                  <w:vMerge w:val="restart"/>
                  <w:noWrap w:val="0"/>
                  <w:vAlign w:val="center"/>
                </w:tcPr>
                <w:p w14:paraId="658298C5">
                  <w:pPr>
                    <w:spacing w:line="240" w:lineRule="auto"/>
                    <w:ind w:firstLine="0" w:firstLineChars="0"/>
                    <w:jc w:val="center"/>
                    <w:rPr>
                      <w:color w:val="auto"/>
                      <w:sz w:val="21"/>
                      <w:szCs w:val="21"/>
                    </w:rPr>
                  </w:pPr>
                  <w:r>
                    <w:rPr>
                      <w:color w:val="auto"/>
                      <w:sz w:val="21"/>
                      <w:szCs w:val="21"/>
                    </w:rPr>
                    <w:t>拟采取的处理方式</w:t>
                  </w:r>
                </w:p>
              </w:tc>
            </w:tr>
            <w:tr w14:paraId="0594B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18" w:type="pct"/>
                  <w:vMerge w:val="continue"/>
                  <w:noWrap w:val="0"/>
                  <w:vAlign w:val="center"/>
                </w:tcPr>
                <w:p w14:paraId="06DFBD9F">
                  <w:pPr>
                    <w:widowControl/>
                    <w:spacing w:line="240" w:lineRule="auto"/>
                    <w:ind w:firstLine="0" w:firstLineChars="0"/>
                    <w:jc w:val="center"/>
                    <w:rPr>
                      <w:color w:val="auto"/>
                      <w:sz w:val="21"/>
                      <w:szCs w:val="21"/>
                    </w:rPr>
                  </w:pPr>
                </w:p>
              </w:tc>
              <w:tc>
                <w:tcPr>
                  <w:tcW w:w="559" w:type="pct"/>
                  <w:vMerge w:val="continue"/>
                  <w:noWrap w:val="0"/>
                  <w:vAlign w:val="center"/>
                </w:tcPr>
                <w:p w14:paraId="46AAD8A2">
                  <w:pPr>
                    <w:widowControl/>
                    <w:spacing w:line="240" w:lineRule="auto"/>
                    <w:ind w:firstLine="0" w:firstLineChars="0"/>
                    <w:jc w:val="center"/>
                    <w:rPr>
                      <w:color w:val="auto"/>
                      <w:sz w:val="21"/>
                      <w:szCs w:val="21"/>
                    </w:rPr>
                  </w:pPr>
                </w:p>
              </w:tc>
              <w:tc>
                <w:tcPr>
                  <w:tcW w:w="1051" w:type="pct"/>
                  <w:vMerge w:val="continue"/>
                  <w:noWrap w:val="0"/>
                  <w:vAlign w:val="center"/>
                </w:tcPr>
                <w:p w14:paraId="13A68723">
                  <w:pPr>
                    <w:widowControl/>
                    <w:spacing w:line="240" w:lineRule="auto"/>
                    <w:ind w:firstLine="0" w:firstLineChars="0"/>
                    <w:jc w:val="center"/>
                    <w:rPr>
                      <w:color w:val="auto"/>
                      <w:sz w:val="21"/>
                      <w:szCs w:val="21"/>
                    </w:rPr>
                  </w:pPr>
                </w:p>
              </w:tc>
              <w:tc>
                <w:tcPr>
                  <w:tcW w:w="729" w:type="pct"/>
                  <w:noWrap w:val="0"/>
                  <w:vAlign w:val="center"/>
                </w:tcPr>
                <w:p w14:paraId="52E36074">
                  <w:pPr>
                    <w:spacing w:line="240" w:lineRule="auto"/>
                    <w:ind w:firstLine="0" w:firstLineChars="0"/>
                    <w:jc w:val="center"/>
                    <w:rPr>
                      <w:color w:val="auto"/>
                      <w:sz w:val="21"/>
                      <w:szCs w:val="21"/>
                    </w:rPr>
                  </w:pPr>
                  <w:r>
                    <w:rPr>
                      <w:color w:val="auto"/>
                      <w:sz w:val="21"/>
                      <w:szCs w:val="21"/>
                    </w:rPr>
                    <w:t>mg/L</w:t>
                  </w:r>
                </w:p>
              </w:tc>
              <w:tc>
                <w:tcPr>
                  <w:tcW w:w="706" w:type="pct"/>
                  <w:noWrap w:val="0"/>
                  <w:vAlign w:val="center"/>
                </w:tcPr>
                <w:p w14:paraId="648EDC91">
                  <w:pPr>
                    <w:spacing w:line="240" w:lineRule="auto"/>
                    <w:ind w:firstLine="0" w:firstLineChars="0"/>
                    <w:jc w:val="center"/>
                    <w:rPr>
                      <w:color w:val="auto"/>
                      <w:sz w:val="21"/>
                      <w:szCs w:val="21"/>
                    </w:rPr>
                  </w:pPr>
                  <w:r>
                    <w:rPr>
                      <w:color w:val="auto"/>
                      <w:sz w:val="21"/>
                      <w:szCs w:val="21"/>
                    </w:rPr>
                    <w:t>t/a</w:t>
                  </w:r>
                </w:p>
              </w:tc>
              <w:tc>
                <w:tcPr>
                  <w:tcW w:w="1335" w:type="pct"/>
                  <w:vMerge w:val="continue"/>
                  <w:noWrap w:val="0"/>
                  <w:vAlign w:val="center"/>
                </w:tcPr>
                <w:p w14:paraId="1D784A7C">
                  <w:pPr>
                    <w:spacing w:line="240" w:lineRule="auto"/>
                    <w:ind w:firstLine="0" w:firstLineChars="0"/>
                    <w:jc w:val="center"/>
                    <w:rPr>
                      <w:color w:val="auto"/>
                      <w:sz w:val="21"/>
                      <w:szCs w:val="21"/>
                    </w:rPr>
                  </w:pPr>
                </w:p>
              </w:tc>
            </w:tr>
            <w:tr w14:paraId="1EE8A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 w:hRule="atLeast"/>
                <w:jc w:val="center"/>
              </w:trPr>
              <w:tc>
                <w:tcPr>
                  <w:tcW w:w="618" w:type="pct"/>
                  <w:vMerge w:val="restart"/>
                  <w:noWrap w:val="0"/>
                  <w:vAlign w:val="center"/>
                </w:tcPr>
                <w:p w14:paraId="1199094D">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生活污水</w:t>
                  </w:r>
                </w:p>
              </w:tc>
              <w:tc>
                <w:tcPr>
                  <w:tcW w:w="559" w:type="pct"/>
                  <w:vMerge w:val="restart"/>
                  <w:noWrap w:val="0"/>
                  <w:vAlign w:val="center"/>
                </w:tcPr>
                <w:p w14:paraId="17A0E1B6">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240</w:t>
                  </w:r>
                </w:p>
              </w:tc>
              <w:tc>
                <w:tcPr>
                  <w:tcW w:w="1051" w:type="pct"/>
                  <w:noWrap w:val="0"/>
                  <w:vAlign w:val="center"/>
                </w:tcPr>
                <w:p w14:paraId="5C4699B9">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COD</w:t>
                  </w:r>
                </w:p>
              </w:tc>
              <w:tc>
                <w:tcPr>
                  <w:tcW w:w="729" w:type="pct"/>
                  <w:noWrap w:val="0"/>
                  <w:vAlign w:val="center"/>
                </w:tcPr>
                <w:p w14:paraId="3620F709">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350</w:t>
                  </w:r>
                </w:p>
              </w:tc>
              <w:tc>
                <w:tcPr>
                  <w:tcW w:w="706" w:type="pct"/>
                  <w:noWrap w:val="0"/>
                  <w:vAlign w:val="center"/>
                </w:tcPr>
                <w:p w14:paraId="56CE5778">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0.084</w:t>
                  </w:r>
                </w:p>
              </w:tc>
              <w:tc>
                <w:tcPr>
                  <w:tcW w:w="1335" w:type="pct"/>
                  <w:vMerge w:val="restart"/>
                  <w:noWrap w:val="0"/>
                  <w:vAlign w:val="center"/>
                </w:tcPr>
                <w:p w14:paraId="30C89E36">
                  <w:pPr>
                    <w:spacing w:line="240" w:lineRule="auto"/>
                    <w:ind w:firstLine="0" w:firstLineChars="0"/>
                    <w:jc w:val="center"/>
                    <w:rPr>
                      <w:rFonts w:hint="default" w:eastAsia="宋体"/>
                      <w:color w:val="auto"/>
                      <w:sz w:val="21"/>
                      <w:szCs w:val="21"/>
                      <w:highlight w:val="none"/>
                      <w:lang w:val="en-US" w:eastAsia="zh-CN"/>
                    </w:rPr>
                  </w:pPr>
                  <w:r>
                    <w:rPr>
                      <w:rFonts w:hint="eastAsia" w:eastAsia="宋体"/>
                      <w:color w:val="auto"/>
                      <w:sz w:val="21"/>
                      <w:szCs w:val="21"/>
                      <w:highlight w:val="none"/>
                      <w:lang w:val="en-US" w:eastAsia="zh-CN"/>
                    </w:rPr>
                    <w:t>化粪池</w:t>
                  </w:r>
                  <w:r>
                    <w:rPr>
                      <w:rFonts w:hint="eastAsia"/>
                      <w:color w:val="auto"/>
                      <w:sz w:val="21"/>
                      <w:szCs w:val="21"/>
                      <w:highlight w:val="none"/>
                      <w:lang w:val="en-US" w:eastAsia="zh-CN"/>
                    </w:rPr>
                    <w:t>收集</w:t>
                  </w:r>
                  <w:r>
                    <w:rPr>
                      <w:rFonts w:hint="eastAsia" w:eastAsia="宋体"/>
                      <w:color w:val="auto"/>
                      <w:sz w:val="21"/>
                      <w:szCs w:val="21"/>
                      <w:highlight w:val="none"/>
                      <w:lang w:val="en-US" w:eastAsia="zh-CN"/>
                    </w:rPr>
                    <w:t>后</w:t>
                  </w:r>
                  <w:r>
                    <w:rPr>
                      <w:rFonts w:hint="eastAsia"/>
                      <w:color w:val="auto"/>
                      <w:sz w:val="21"/>
                      <w:szCs w:val="21"/>
                      <w:highlight w:val="none"/>
                      <w:lang w:val="en-US" w:eastAsia="zh-CN"/>
                    </w:rPr>
                    <w:t>利用管道进入到池州中器环境科技有限公司的污水处理设施进行处理</w:t>
                  </w:r>
                </w:p>
              </w:tc>
            </w:tr>
            <w:tr w14:paraId="0CDA8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646D6AA0">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1CA455A3">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p>
              </w:tc>
              <w:tc>
                <w:tcPr>
                  <w:tcW w:w="1051" w:type="pct"/>
                  <w:noWrap w:val="0"/>
                  <w:vAlign w:val="center"/>
                </w:tcPr>
                <w:p w14:paraId="754CED81">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BOD5</w:t>
                  </w:r>
                </w:p>
              </w:tc>
              <w:tc>
                <w:tcPr>
                  <w:tcW w:w="729" w:type="pct"/>
                  <w:noWrap w:val="0"/>
                  <w:vAlign w:val="center"/>
                </w:tcPr>
                <w:p w14:paraId="417F2730">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200</w:t>
                  </w:r>
                </w:p>
              </w:tc>
              <w:tc>
                <w:tcPr>
                  <w:tcW w:w="706" w:type="pct"/>
                  <w:noWrap w:val="0"/>
                  <w:vAlign w:val="center"/>
                </w:tcPr>
                <w:p w14:paraId="47F7CDEA">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0.048</w:t>
                  </w:r>
                </w:p>
              </w:tc>
              <w:tc>
                <w:tcPr>
                  <w:tcW w:w="1335" w:type="pct"/>
                  <w:vMerge w:val="continue"/>
                  <w:noWrap w:val="0"/>
                  <w:vAlign w:val="center"/>
                </w:tcPr>
                <w:p w14:paraId="66A7D252">
                  <w:pPr>
                    <w:spacing w:line="240" w:lineRule="auto"/>
                    <w:ind w:firstLine="0" w:firstLineChars="0"/>
                    <w:jc w:val="center"/>
                    <w:rPr>
                      <w:color w:val="auto"/>
                      <w:sz w:val="21"/>
                      <w:szCs w:val="21"/>
                    </w:rPr>
                  </w:pPr>
                </w:p>
              </w:tc>
            </w:tr>
            <w:tr w14:paraId="2A0C0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2F3300EB">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6914352C">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p>
              </w:tc>
              <w:tc>
                <w:tcPr>
                  <w:tcW w:w="1051" w:type="pct"/>
                  <w:noWrap w:val="0"/>
                  <w:vAlign w:val="center"/>
                </w:tcPr>
                <w:p w14:paraId="6A423E5E">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SS</w:t>
                  </w:r>
                </w:p>
              </w:tc>
              <w:tc>
                <w:tcPr>
                  <w:tcW w:w="729" w:type="pct"/>
                  <w:noWrap w:val="0"/>
                  <w:vAlign w:val="center"/>
                </w:tcPr>
                <w:p w14:paraId="40ED8CC0">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200</w:t>
                  </w:r>
                </w:p>
              </w:tc>
              <w:tc>
                <w:tcPr>
                  <w:tcW w:w="706" w:type="pct"/>
                  <w:noWrap w:val="0"/>
                  <w:vAlign w:val="center"/>
                </w:tcPr>
                <w:p w14:paraId="097CA388">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0.048</w:t>
                  </w:r>
                </w:p>
              </w:tc>
              <w:tc>
                <w:tcPr>
                  <w:tcW w:w="1335" w:type="pct"/>
                  <w:vMerge w:val="continue"/>
                  <w:noWrap w:val="0"/>
                  <w:vAlign w:val="center"/>
                </w:tcPr>
                <w:p w14:paraId="0FFA74B2">
                  <w:pPr>
                    <w:spacing w:line="240" w:lineRule="auto"/>
                    <w:ind w:firstLine="0" w:firstLineChars="0"/>
                    <w:jc w:val="center"/>
                    <w:rPr>
                      <w:color w:val="auto"/>
                      <w:sz w:val="21"/>
                      <w:szCs w:val="21"/>
                    </w:rPr>
                  </w:pPr>
                </w:p>
              </w:tc>
            </w:tr>
            <w:tr w14:paraId="16AD0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2CC32961">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0202E95A">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p>
              </w:tc>
              <w:tc>
                <w:tcPr>
                  <w:tcW w:w="1051" w:type="pct"/>
                  <w:noWrap w:val="0"/>
                  <w:vAlign w:val="center"/>
                </w:tcPr>
                <w:p w14:paraId="0862AC93">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氨氮</w:t>
                  </w:r>
                </w:p>
              </w:tc>
              <w:tc>
                <w:tcPr>
                  <w:tcW w:w="729" w:type="pct"/>
                  <w:noWrap w:val="0"/>
                  <w:vAlign w:val="center"/>
                </w:tcPr>
                <w:p w14:paraId="6C602A6D">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25</w:t>
                  </w:r>
                </w:p>
              </w:tc>
              <w:tc>
                <w:tcPr>
                  <w:tcW w:w="706" w:type="pct"/>
                  <w:noWrap w:val="0"/>
                  <w:vAlign w:val="center"/>
                </w:tcPr>
                <w:p w14:paraId="32D21A1D">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0.006</w:t>
                  </w:r>
                </w:p>
              </w:tc>
              <w:tc>
                <w:tcPr>
                  <w:tcW w:w="1335" w:type="pct"/>
                  <w:vMerge w:val="continue"/>
                  <w:noWrap w:val="0"/>
                  <w:vAlign w:val="center"/>
                </w:tcPr>
                <w:p w14:paraId="7FD08FF2">
                  <w:pPr>
                    <w:spacing w:line="240" w:lineRule="auto"/>
                    <w:ind w:firstLine="0" w:firstLineChars="0"/>
                    <w:jc w:val="center"/>
                    <w:rPr>
                      <w:color w:val="auto"/>
                      <w:sz w:val="21"/>
                      <w:szCs w:val="21"/>
                    </w:rPr>
                  </w:pPr>
                </w:p>
              </w:tc>
            </w:tr>
            <w:tr w14:paraId="6F4C0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2" w:hRule="atLeast"/>
                <w:jc w:val="center"/>
              </w:trPr>
              <w:tc>
                <w:tcPr>
                  <w:tcW w:w="618" w:type="pct"/>
                  <w:vMerge w:val="continue"/>
                  <w:noWrap w:val="0"/>
                  <w:vAlign w:val="center"/>
                </w:tcPr>
                <w:p w14:paraId="4B0AB0F3">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246D98F3">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p>
              </w:tc>
              <w:tc>
                <w:tcPr>
                  <w:tcW w:w="1051" w:type="pct"/>
                  <w:noWrap w:val="0"/>
                  <w:vAlign w:val="center"/>
                </w:tcPr>
                <w:p w14:paraId="5C3D7AE9">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动植物油</w:t>
                  </w:r>
                </w:p>
              </w:tc>
              <w:tc>
                <w:tcPr>
                  <w:tcW w:w="729" w:type="pct"/>
                  <w:noWrap w:val="0"/>
                  <w:vAlign w:val="center"/>
                </w:tcPr>
                <w:p w14:paraId="11C4117A">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50</w:t>
                  </w:r>
                </w:p>
              </w:tc>
              <w:tc>
                <w:tcPr>
                  <w:tcW w:w="706" w:type="pct"/>
                  <w:noWrap w:val="0"/>
                  <w:vAlign w:val="center"/>
                </w:tcPr>
                <w:p w14:paraId="74E35AA3">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0.012</w:t>
                  </w:r>
                </w:p>
              </w:tc>
              <w:tc>
                <w:tcPr>
                  <w:tcW w:w="1335" w:type="pct"/>
                  <w:vMerge w:val="continue"/>
                  <w:noWrap w:val="0"/>
                  <w:vAlign w:val="center"/>
                </w:tcPr>
                <w:p w14:paraId="57A78E32">
                  <w:pPr>
                    <w:spacing w:line="240" w:lineRule="auto"/>
                    <w:ind w:firstLine="0" w:firstLineChars="0"/>
                    <w:jc w:val="center"/>
                    <w:rPr>
                      <w:color w:val="auto"/>
                      <w:sz w:val="21"/>
                      <w:szCs w:val="21"/>
                    </w:rPr>
                  </w:pPr>
                </w:p>
              </w:tc>
            </w:tr>
            <w:tr w14:paraId="237AA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1504E1FD">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3BD64308">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p>
              </w:tc>
              <w:tc>
                <w:tcPr>
                  <w:tcW w:w="1051" w:type="pct"/>
                  <w:noWrap w:val="0"/>
                  <w:vAlign w:val="center"/>
                </w:tcPr>
                <w:p w14:paraId="411E28A9">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TP</w:t>
                  </w:r>
                </w:p>
              </w:tc>
              <w:tc>
                <w:tcPr>
                  <w:tcW w:w="729" w:type="pct"/>
                  <w:noWrap w:val="0"/>
                  <w:vAlign w:val="center"/>
                </w:tcPr>
                <w:p w14:paraId="1703E914">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w:t>
                  </w:r>
                </w:p>
              </w:tc>
              <w:tc>
                <w:tcPr>
                  <w:tcW w:w="706" w:type="pct"/>
                  <w:noWrap w:val="0"/>
                  <w:vAlign w:val="center"/>
                </w:tcPr>
                <w:p w14:paraId="25A4E790">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0.0012</w:t>
                  </w:r>
                </w:p>
              </w:tc>
              <w:tc>
                <w:tcPr>
                  <w:tcW w:w="1335" w:type="pct"/>
                  <w:vMerge w:val="continue"/>
                  <w:noWrap w:val="0"/>
                  <w:vAlign w:val="center"/>
                </w:tcPr>
                <w:p w14:paraId="1FEB7D3E">
                  <w:pPr>
                    <w:spacing w:line="240" w:lineRule="auto"/>
                    <w:ind w:firstLine="0" w:firstLineChars="0"/>
                    <w:jc w:val="center"/>
                    <w:rPr>
                      <w:color w:val="auto"/>
                      <w:sz w:val="21"/>
                      <w:szCs w:val="21"/>
                    </w:rPr>
                  </w:pPr>
                </w:p>
              </w:tc>
            </w:tr>
            <w:tr w14:paraId="126B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0DD7356E">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49967E83">
                  <w:pPr>
                    <w:spacing w:line="240" w:lineRule="auto"/>
                    <w:ind w:firstLine="0" w:firstLineChars="0"/>
                    <w:jc w:val="center"/>
                    <w:rPr>
                      <w:rFonts w:hint="eastAsia" w:ascii="Times New Roman" w:hAnsi="Times New Roman" w:eastAsia="宋体" w:cs="Times New Roman"/>
                      <w:color w:val="auto"/>
                      <w:sz w:val="21"/>
                      <w:szCs w:val="21"/>
                      <w:highlight w:val="none"/>
                      <w:lang w:val="en-US" w:eastAsia="zh-CN"/>
                    </w:rPr>
                  </w:pPr>
                </w:p>
              </w:tc>
              <w:tc>
                <w:tcPr>
                  <w:tcW w:w="1051" w:type="pct"/>
                  <w:noWrap w:val="0"/>
                  <w:vAlign w:val="center"/>
                </w:tcPr>
                <w:p w14:paraId="45DE7E4C">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TN</w:t>
                  </w:r>
                </w:p>
              </w:tc>
              <w:tc>
                <w:tcPr>
                  <w:tcW w:w="729" w:type="pct"/>
                  <w:noWrap w:val="0"/>
                  <w:vAlign w:val="center"/>
                </w:tcPr>
                <w:p w14:paraId="34F6ABE5">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28</w:t>
                  </w:r>
                </w:p>
              </w:tc>
              <w:tc>
                <w:tcPr>
                  <w:tcW w:w="706" w:type="pct"/>
                  <w:noWrap w:val="0"/>
                  <w:vAlign w:val="center"/>
                </w:tcPr>
                <w:p w14:paraId="599FF94D">
                  <w:pPr>
                    <w:spacing w:line="240" w:lineRule="auto"/>
                    <w:ind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0.0067</w:t>
                  </w:r>
                </w:p>
              </w:tc>
              <w:tc>
                <w:tcPr>
                  <w:tcW w:w="1335" w:type="pct"/>
                  <w:vMerge w:val="continue"/>
                  <w:noWrap w:val="0"/>
                  <w:vAlign w:val="center"/>
                </w:tcPr>
                <w:p w14:paraId="0F695365">
                  <w:pPr>
                    <w:spacing w:line="240" w:lineRule="auto"/>
                    <w:ind w:firstLine="0" w:firstLineChars="0"/>
                    <w:jc w:val="center"/>
                    <w:rPr>
                      <w:color w:val="auto"/>
                      <w:sz w:val="21"/>
                      <w:szCs w:val="21"/>
                    </w:rPr>
                  </w:pPr>
                </w:p>
              </w:tc>
            </w:tr>
            <w:tr w14:paraId="43732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6" w:hRule="atLeast"/>
                <w:jc w:val="center"/>
              </w:trPr>
              <w:tc>
                <w:tcPr>
                  <w:tcW w:w="618" w:type="pct"/>
                  <w:vMerge w:val="restart"/>
                  <w:noWrap w:val="0"/>
                  <w:vAlign w:val="center"/>
                </w:tcPr>
                <w:p w14:paraId="02509EBD">
                  <w:pPr>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高浓废水（三相分离后的废水（含沉降罐沥水）、喷淋废水）</w:t>
                  </w:r>
                </w:p>
              </w:tc>
              <w:tc>
                <w:tcPr>
                  <w:tcW w:w="559" w:type="pct"/>
                  <w:vMerge w:val="restart"/>
                  <w:noWrap w:val="0"/>
                  <w:vAlign w:val="center"/>
                </w:tcPr>
                <w:p w14:paraId="3F45D9AD">
                  <w:pPr>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6354..077</w:t>
                  </w:r>
                </w:p>
              </w:tc>
              <w:tc>
                <w:tcPr>
                  <w:tcW w:w="1051" w:type="pct"/>
                  <w:shd w:val="clear" w:color="auto" w:fill="auto"/>
                  <w:noWrap w:val="0"/>
                  <w:vAlign w:val="center"/>
                </w:tcPr>
                <w:p w14:paraId="3651290D">
                  <w:pPr>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 xml:space="preserve">COD </w:t>
                  </w:r>
                </w:p>
              </w:tc>
              <w:tc>
                <w:tcPr>
                  <w:tcW w:w="729" w:type="pct"/>
                  <w:shd w:val="clear" w:color="auto" w:fill="auto"/>
                  <w:noWrap w:val="0"/>
                  <w:vAlign w:val="center"/>
                </w:tcPr>
                <w:p w14:paraId="4EA8FDE1">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13800</w:t>
                  </w:r>
                </w:p>
              </w:tc>
              <w:tc>
                <w:tcPr>
                  <w:tcW w:w="706" w:type="pct"/>
                  <w:shd w:val="clear" w:color="auto" w:fill="auto"/>
                  <w:noWrap w:val="0"/>
                  <w:vAlign w:val="center"/>
                </w:tcPr>
                <w:p w14:paraId="2FE9ED95">
                  <w:pPr>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87.69</w:t>
                  </w:r>
                </w:p>
              </w:tc>
              <w:tc>
                <w:tcPr>
                  <w:tcW w:w="1335" w:type="pct"/>
                  <w:vMerge w:val="continue"/>
                  <w:noWrap w:val="0"/>
                  <w:vAlign w:val="center"/>
                </w:tcPr>
                <w:p w14:paraId="3781162F">
                  <w:pPr>
                    <w:spacing w:line="240" w:lineRule="auto"/>
                    <w:ind w:firstLine="0" w:firstLineChars="0"/>
                    <w:jc w:val="center"/>
                    <w:rPr>
                      <w:rFonts w:hint="eastAsia"/>
                      <w:color w:val="auto"/>
                      <w:sz w:val="21"/>
                      <w:szCs w:val="21"/>
                    </w:rPr>
                  </w:pPr>
                </w:p>
              </w:tc>
            </w:tr>
            <w:tr w14:paraId="0F469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3E63E174">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2D1B2DA2">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602D2242">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BOD5</w:t>
                  </w:r>
                </w:p>
              </w:tc>
              <w:tc>
                <w:tcPr>
                  <w:tcW w:w="729" w:type="pct"/>
                  <w:shd w:val="clear" w:color="auto" w:fill="auto"/>
                  <w:noWrap w:val="0"/>
                  <w:vAlign w:val="center"/>
                </w:tcPr>
                <w:p w14:paraId="0B202FE6">
                  <w:pPr>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5600</w:t>
                  </w:r>
                </w:p>
              </w:tc>
              <w:tc>
                <w:tcPr>
                  <w:tcW w:w="706" w:type="pct"/>
                  <w:shd w:val="clear" w:color="auto" w:fill="auto"/>
                  <w:noWrap w:val="0"/>
                  <w:vAlign w:val="center"/>
                </w:tcPr>
                <w:p w14:paraId="4C2176EF">
                  <w:pPr>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35.59</w:t>
                  </w:r>
                </w:p>
              </w:tc>
              <w:tc>
                <w:tcPr>
                  <w:tcW w:w="1335" w:type="pct"/>
                  <w:vMerge w:val="continue"/>
                  <w:noWrap w:val="0"/>
                  <w:vAlign w:val="center"/>
                </w:tcPr>
                <w:p w14:paraId="4E0378FD">
                  <w:pPr>
                    <w:spacing w:line="240" w:lineRule="auto"/>
                    <w:ind w:firstLine="0" w:firstLineChars="0"/>
                    <w:jc w:val="center"/>
                    <w:rPr>
                      <w:rFonts w:hint="eastAsia"/>
                      <w:color w:val="auto"/>
                      <w:sz w:val="21"/>
                      <w:szCs w:val="21"/>
                    </w:rPr>
                  </w:pPr>
                </w:p>
              </w:tc>
            </w:tr>
            <w:tr w14:paraId="2D720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jc w:val="center"/>
              </w:trPr>
              <w:tc>
                <w:tcPr>
                  <w:tcW w:w="618" w:type="pct"/>
                  <w:vMerge w:val="continue"/>
                  <w:noWrap w:val="0"/>
                  <w:vAlign w:val="center"/>
                </w:tcPr>
                <w:p w14:paraId="1C2F5A4F">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551CED11">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19CC1036">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SS</w:t>
                  </w:r>
                </w:p>
              </w:tc>
              <w:tc>
                <w:tcPr>
                  <w:tcW w:w="729" w:type="pct"/>
                  <w:shd w:val="clear" w:color="auto" w:fill="auto"/>
                  <w:noWrap w:val="0"/>
                  <w:vAlign w:val="center"/>
                </w:tcPr>
                <w:p w14:paraId="01FD4BED">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1000</w:t>
                  </w:r>
                </w:p>
              </w:tc>
              <w:tc>
                <w:tcPr>
                  <w:tcW w:w="706" w:type="pct"/>
                  <w:shd w:val="clear" w:color="auto" w:fill="auto"/>
                  <w:noWrap w:val="0"/>
                  <w:vAlign w:val="center"/>
                </w:tcPr>
                <w:p w14:paraId="74F9D671">
                  <w:pPr>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6.35</w:t>
                  </w:r>
                </w:p>
              </w:tc>
              <w:tc>
                <w:tcPr>
                  <w:tcW w:w="1335" w:type="pct"/>
                  <w:vMerge w:val="continue"/>
                  <w:noWrap w:val="0"/>
                  <w:vAlign w:val="center"/>
                </w:tcPr>
                <w:p w14:paraId="34370D2D">
                  <w:pPr>
                    <w:spacing w:line="240" w:lineRule="auto"/>
                    <w:ind w:firstLine="0" w:firstLineChars="0"/>
                    <w:jc w:val="center"/>
                    <w:rPr>
                      <w:rFonts w:hint="eastAsia"/>
                      <w:color w:val="auto"/>
                      <w:sz w:val="21"/>
                      <w:szCs w:val="21"/>
                    </w:rPr>
                  </w:pPr>
                </w:p>
              </w:tc>
            </w:tr>
            <w:tr w14:paraId="469B8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62D58F85">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2F7C6CDB">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084B8A8A">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氨氮</w:t>
                  </w:r>
                </w:p>
              </w:tc>
              <w:tc>
                <w:tcPr>
                  <w:tcW w:w="729" w:type="pct"/>
                  <w:shd w:val="clear" w:color="auto" w:fill="auto"/>
                  <w:noWrap w:val="0"/>
                  <w:vAlign w:val="center"/>
                </w:tcPr>
                <w:p w14:paraId="72F8AC31">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1600</w:t>
                  </w:r>
                </w:p>
              </w:tc>
              <w:tc>
                <w:tcPr>
                  <w:tcW w:w="706" w:type="pct"/>
                  <w:shd w:val="clear" w:color="auto" w:fill="auto"/>
                  <w:noWrap w:val="0"/>
                  <w:vAlign w:val="center"/>
                </w:tcPr>
                <w:p w14:paraId="7CCAEDB2">
                  <w:pPr>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10.17</w:t>
                  </w:r>
                </w:p>
              </w:tc>
              <w:tc>
                <w:tcPr>
                  <w:tcW w:w="1335" w:type="pct"/>
                  <w:vMerge w:val="continue"/>
                  <w:noWrap w:val="0"/>
                  <w:vAlign w:val="center"/>
                </w:tcPr>
                <w:p w14:paraId="4100572D">
                  <w:pPr>
                    <w:spacing w:line="240" w:lineRule="auto"/>
                    <w:ind w:firstLine="0" w:firstLineChars="0"/>
                    <w:jc w:val="center"/>
                    <w:rPr>
                      <w:rFonts w:hint="eastAsia"/>
                      <w:color w:val="auto"/>
                      <w:sz w:val="21"/>
                      <w:szCs w:val="21"/>
                    </w:rPr>
                  </w:pPr>
                </w:p>
              </w:tc>
            </w:tr>
            <w:tr w14:paraId="1213C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3EC9947E">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2D2D092F">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0567B429">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动植物油</w:t>
                  </w:r>
                </w:p>
              </w:tc>
              <w:tc>
                <w:tcPr>
                  <w:tcW w:w="729" w:type="pct"/>
                  <w:shd w:val="clear" w:color="auto" w:fill="auto"/>
                  <w:noWrap w:val="0"/>
                  <w:vAlign w:val="center"/>
                </w:tcPr>
                <w:p w14:paraId="641E42ED">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2167</w:t>
                  </w:r>
                </w:p>
              </w:tc>
              <w:tc>
                <w:tcPr>
                  <w:tcW w:w="706" w:type="pct"/>
                  <w:shd w:val="clear" w:color="auto" w:fill="auto"/>
                  <w:noWrap w:val="0"/>
                  <w:vAlign w:val="center"/>
                </w:tcPr>
                <w:p w14:paraId="314991D0">
                  <w:pPr>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13.77</w:t>
                  </w:r>
                </w:p>
              </w:tc>
              <w:tc>
                <w:tcPr>
                  <w:tcW w:w="1335" w:type="pct"/>
                  <w:vMerge w:val="continue"/>
                  <w:noWrap w:val="0"/>
                  <w:vAlign w:val="center"/>
                </w:tcPr>
                <w:p w14:paraId="31F73B05">
                  <w:pPr>
                    <w:spacing w:line="240" w:lineRule="auto"/>
                    <w:ind w:firstLine="0" w:firstLineChars="0"/>
                    <w:jc w:val="center"/>
                    <w:rPr>
                      <w:rFonts w:hint="eastAsia"/>
                      <w:color w:val="auto"/>
                      <w:sz w:val="21"/>
                      <w:szCs w:val="21"/>
                    </w:rPr>
                  </w:pPr>
                </w:p>
              </w:tc>
            </w:tr>
            <w:tr w14:paraId="235E2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3EFA1BF7">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60BA3CC6">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7A1F1804">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TP</w:t>
                  </w:r>
                </w:p>
              </w:tc>
              <w:tc>
                <w:tcPr>
                  <w:tcW w:w="729" w:type="pct"/>
                  <w:shd w:val="clear" w:color="auto" w:fill="auto"/>
                  <w:noWrap w:val="0"/>
                  <w:vAlign w:val="center"/>
                </w:tcPr>
                <w:p w14:paraId="4615F21D">
                  <w:pPr>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60</w:t>
                  </w:r>
                </w:p>
              </w:tc>
              <w:tc>
                <w:tcPr>
                  <w:tcW w:w="706" w:type="pct"/>
                  <w:shd w:val="clear" w:color="auto" w:fill="auto"/>
                  <w:noWrap w:val="0"/>
                  <w:vAlign w:val="center"/>
                </w:tcPr>
                <w:p w14:paraId="060A0B0F">
                  <w:pPr>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0.38</w:t>
                  </w:r>
                </w:p>
              </w:tc>
              <w:tc>
                <w:tcPr>
                  <w:tcW w:w="1335" w:type="pct"/>
                  <w:vMerge w:val="continue"/>
                  <w:noWrap w:val="0"/>
                  <w:vAlign w:val="center"/>
                </w:tcPr>
                <w:p w14:paraId="6A704E70">
                  <w:pPr>
                    <w:spacing w:line="240" w:lineRule="auto"/>
                    <w:ind w:firstLine="0" w:firstLineChars="0"/>
                    <w:jc w:val="center"/>
                    <w:rPr>
                      <w:rFonts w:hint="eastAsia"/>
                      <w:color w:val="auto"/>
                      <w:sz w:val="21"/>
                      <w:szCs w:val="21"/>
                    </w:rPr>
                  </w:pPr>
                </w:p>
              </w:tc>
            </w:tr>
            <w:tr w14:paraId="75DFD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04E8FC06">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10DF886C">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7548B0A8">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TN</w:t>
                  </w:r>
                </w:p>
              </w:tc>
              <w:tc>
                <w:tcPr>
                  <w:tcW w:w="729" w:type="pct"/>
                  <w:shd w:val="clear" w:color="auto" w:fill="auto"/>
                  <w:noWrap w:val="0"/>
                  <w:vAlign w:val="center"/>
                </w:tcPr>
                <w:p w14:paraId="466CA397">
                  <w:pPr>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2300</w:t>
                  </w:r>
                </w:p>
              </w:tc>
              <w:tc>
                <w:tcPr>
                  <w:tcW w:w="706" w:type="pct"/>
                  <w:shd w:val="clear" w:color="auto" w:fill="auto"/>
                  <w:noWrap w:val="0"/>
                  <w:vAlign w:val="center"/>
                </w:tcPr>
                <w:p w14:paraId="73C57D2A">
                  <w:pPr>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14.62</w:t>
                  </w:r>
                </w:p>
              </w:tc>
              <w:tc>
                <w:tcPr>
                  <w:tcW w:w="1335" w:type="pct"/>
                  <w:vMerge w:val="continue"/>
                  <w:noWrap w:val="0"/>
                  <w:vAlign w:val="center"/>
                </w:tcPr>
                <w:p w14:paraId="77589E26">
                  <w:pPr>
                    <w:spacing w:line="240" w:lineRule="auto"/>
                    <w:ind w:firstLine="0" w:firstLineChars="0"/>
                    <w:jc w:val="center"/>
                    <w:rPr>
                      <w:rFonts w:hint="eastAsia"/>
                      <w:color w:val="auto"/>
                      <w:sz w:val="21"/>
                      <w:szCs w:val="21"/>
                    </w:rPr>
                  </w:pPr>
                </w:p>
              </w:tc>
            </w:tr>
            <w:tr w14:paraId="4DEDE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restart"/>
                  <w:noWrap w:val="0"/>
                  <w:vAlign w:val="center"/>
                </w:tcPr>
                <w:p w14:paraId="70D480E6">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初期雨水</w:t>
                  </w:r>
                </w:p>
              </w:tc>
              <w:tc>
                <w:tcPr>
                  <w:tcW w:w="559" w:type="pct"/>
                  <w:vMerge w:val="restart"/>
                  <w:noWrap w:val="0"/>
                  <w:vAlign w:val="center"/>
                </w:tcPr>
                <w:p w14:paraId="4AADBE1B">
                  <w:pPr>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3409.875</w:t>
                  </w:r>
                </w:p>
              </w:tc>
              <w:tc>
                <w:tcPr>
                  <w:tcW w:w="1051" w:type="pct"/>
                  <w:shd w:val="clear" w:color="auto" w:fill="auto"/>
                  <w:noWrap w:val="0"/>
                  <w:vAlign w:val="center"/>
                </w:tcPr>
                <w:p w14:paraId="78620FBD">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 xml:space="preserve">COD </w:t>
                  </w:r>
                </w:p>
              </w:tc>
              <w:tc>
                <w:tcPr>
                  <w:tcW w:w="729" w:type="pct"/>
                  <w:shd w:val="clear" w:color="auto" w:fill="auto"/>
                  <w:noWrap w:val="0"/>
                  <w:vAlign w:val="center"/>
                </w:tcPr>
                <w:p w14:paraId="44D4F84C">
                  <w:pPr>
                    <w:keepNext w:val="0"/>
                    <w:keepLines w:val="0"/>
                    <w:widowControl/>
                    <w:suppressLineNumbers w:val="0"/>
                    <w:jc w:val="center"/>
                    <w:textAlignment w:val="center"/>
                    <w:rPr>
                      <w:rFonts w:hint="default"/>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80</w:t>
                  </w:r>
                </w:p>
              </w:tc>
              <w:tc>
                <w:tcPr>
                  <w:tcW w:w="706" w:type="pct"/>
                  <w:shd w:val="clear" w:color="auto" w:fill="auto"/>
                  <w:noWrap w:val="0"/>
                  <w:vAlign w:val="center"/>
                </w:tcPr>
                <w:p w14:paraId="01B0B48F">
                  <w:pPr>
                    <w:keepNext w:val="0"/>
                    <w:keepLines w:val="0"/>
                    <w:widowControl/>
                    <w:suppressLineNumbers w:val="0"/>
                    <w:jc w:val="center"/>
                    <w:textAlignment w:val="center"/>
                    <w:rPr>
                      <w:rFonts w:hint="default"/>
                      <w:color w:val="auto"/>
                      <w:sz w:val="21"/>
                      <w:szCs w:val="21"/>
                      <w:highlight w:val="none"/>
                      <w:lang w:val="en-US" w:eastAsia="zh-CN"/>
                    </w:rPr>
                  </w:pPr>
                  <w:r>
                    <w:rPr>
                      <w:rFonts w:hint="eastAsia"/>
                      <w:color w:val="auto"/>
                      <w:sz w:val="21"/>
                      <w:szCs w:val="21"/>
                      <w:highlight w:val="none"/>
                      <w:lang w:val="en-US" w:eastAsia="zh-CN"/>
                    </w:rPr>
                    <w:t>0.27</w:t>
                  </w:r>
                </w:p>
              </w:tc>
              <w:tc>
                <w:tcPr>
                  <w:tcW w:w="1335" w:type="pct"/>
                  <w:vMerge w:val="continue"/>
                  <w:noWrap w:val="0"/>
                  <w:vAlign w:val="center"/>
                </w:tcPr>
                <w:p w14:paraId="29000E1F">
                  <w:pPr>
                    <w:spacing w:line="240" w:lineRule="auto"/>
                    <w:ind w:firstLine="0" w:firstLineChars="0"/>
                    <w:jc w:val="center"/>
                    <w:rPr>
                      <w:rFonts w:hint="eastAsia"/>
                      <w:color w:val="auto"/>
                      <w:sz w:val="21"/>
                      <w:szCs w:val="21"/>
                    </w:rPr>
                  </w:pPr>
                </w:p>
              </w:tc>
            </w:tr>
            <w:tr w14:paraId="3E5B0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30B4FF1D">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47143A8E">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1139D817">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BOD5</w:t>
                  </w:r>
                </w:p>
              </w:tc>
              <w:tc>
                <w:tcPr>
                  <w:tcW w:w="729" w:type="pct"/>
                  <w:shd w:val="clear" w:color="auto" w:fill="auto"/>
                  <w:noWrap w:val="0"/>
                  <w:vAlign w:val="center"/>
                </w:tcPr>
                <w:p w14:paraId="2B0A3E4A">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100</w:t>
                  </w:r>
                </w:p>
              </w:tc>
              <w:tc>
                <w:tcPr>
                  <w:tcW w:w="706" w:type="pct"/>
                  <w:shd w:val="clear" w:color="auto" w:fill="auto"/>
                  <w:noWrap w:val="0"/>
                  <w:vAlign w:val="center"/>
                </w:tcPr>
                <w:p w14:paraId="79C06229">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0.34</w:t>
                  </w:r>
                </w:p>
              </w:tc>
              <w:tc>
                <w:tcPr>
                  <w:tcW w:w="1335" w:type="pct"/>
                  <w:vMerge w:val="continue"/>
                  <w:noWrap w:val="0"/>
                  <w:vAlign w:val="center"/>
                </w:tcPr>
                <w:p w14:paraId="2DE90BDF">
                  <w:pPr>
                    <w:spacing w:line="240" w:lineRule="auto"/>
                    <w:ind w:firstLine="0" w:firstLineChars="0"/>
                    <w:jc w:val="center"/>
                    <w:rPr>
                      <w:rFonts w:hint="eastAsia"/>
                      <w:color w:val="auto"/>
                      <w:sz w:val="21"/>
                      <w:szCs w:val="21"/>
                    </w:rPr>
                  </w:pPr>
                </w:p>
              </w:tc>
            </w:tr>
            <w:tr w14:paraId="6B256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28233B28">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63D79887">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4769D8EF">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SS</w:t>
                  </w:r>
                </w:p>
              </w:tc>
              <w:tc>
                <w:tcPr>
                  <w:tcW w:w="729" w:type="pct"/>
                  <w:shd w:val="clear" w:color="auto" w:fill="auto"/>
                  <w:noWrap w:val="0"/>
                  <w:vAlign w:val="center"/>
                </w:tcPr>
                <w:p w14:paraId="4E25CABB">
                  <w:pPr>
                    <w:keepNext w:val="0"/>
                    <w:keepLines w:val="0"/>
                    <w:widowControl/>
                    <w:suppressLineNumbers w:val="0"/>
                    <w:jc w:val="center"/>
                    <w:textAlignment w:val="center"/>
                    <w:rPr>
                      <w:rFonts w:hint="default"/>
                      <w:color w:val="auto"/>
                      <w:sz w:val="21"/>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200</w:t>
                  </w:r>
                </w:p>
              </w:tc>
              <w:tc>
                <w:tcPr>
                  <w:tcW w:w="706" w:type="pct"/>
                  <w:shd w:val="clear" w:color="auto" w:fill="auto"/>
                  <w:noWrap w:val="0"/>
                  <w:vAlign w:val="center"/>
                </w:tcPr>
                <w:p w14:paraId="47966352">
                  <w:pPr>
                    <w:keepNext w:val="0"/>
                    <w:keepLines w:val="0"/>
                    <w:widowControl/>
                    <w:suppressLineNumbers w:val="0"/>
                    <w:jc w:val="center"/>
                    <w:textAlignment w:val="center"/>
                    <w:rPr>
                      <w:rFonts w:hint="default"/>
                      <w:color w:val="auto"/>
                      <w:sz w:val="21"/>
                      <w:szCs w:val="21"/>
                      <w:highlight w:val="none"/>
                      <w:lang w:val="en-US" w:eastAsia="zh-CN"/>
                    </w:rPr>
                  </w:pPr>
                  <w:r>
                    <w:rPr>
                      <w:rFonts w:hint="eastAsia"/>
                      <w:color w:val="auto"/>
                      <w:sz w:val="21"/>
                      <w:szCs w:val="21"/>
                      <w:highlight w:val="none"/>
                      <w:lang w:val="en-US" w:eastAsia="zh-CN"/>
                    </w:rPr>
                    <w:t>0.68</w:t>
                  </w:r>
                </w:p>
              </w:tc>
              <w:tc>
                <w:tcPr>
                  <w:tcW w:w="1335" w:type="pct"/>
                  <w:vMerge w:val="continue"/>
                  <w:noWrap w:val="0"/>
                  <w:vAlign w:val="center"/>
                </w:tcPr>
                <w:p w14:paraId="5A7D1573">
                  <w:pPr>
                    <w:spacing w:line="240" w:lineRule="auto"/>
                    <w:ind w:firstLine="0" w:firstLineChars="0"/>
                    <w:jc w:val="center"/>
                    <w:rPr>
                      <w:rFonts w:hint="eastAsia"/>
                      <w:color w:val="auto"/>
                      <w:sz w:val="21"/>
                      <w:szCs w:val="21"/>
                    </w:rPr>
                  </w:pPr>
                </w:p>
              </w:tc>
            </w:tr>
            <w:tr w14:paraId="5BAF0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7F40DF80">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5CD0A960">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4762C28A">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氨氮</w:t>
                  </w:r>
                </w:p>
              </w:tc>
              <w:tc>
                <w:tcPr>
                  <w:tcW w:w="729" w:type="pct"/>
                  <w:shd w:val="clear" w:color="auto" w:fill="auto"/>
                  <w:noWrap w:val="0"/>
                  <w:vAlign w:val="center"/>
                </w:tcPr>
                <w:p w14:paraId="669C7A09">
                  <w:pPr>
                    <w:spacing w:line="240" w:lineRule="auto"/>
                    <w:ind w:firstLine="0" w:firstLineChars="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w:t>
                  </w:r>
                </w:p>
              </w:tc>
              <w:tc>
                <w:tcPr>
                  <w:tcW w:w="706" w:type="pct"/>
                  <w:shd w:val="clear" w:color="auto" w:fill="auto"/>
                  <w:noWrap w:val="0"/>
                  <w:vAlign w:val="center"/>
                </w:tcPr>
                <w:p w14:paraId="6E2BC23F">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0.02</w:t>
                  </w:r>
                </w:p>
              </w:tc>
              <w:tc>
                <w:tcPr>
                  <w:tcW w:w="1335" w:type="pct"/>
                  <w:vMerge w:val="continue"/>
                  <w:noWrap w:val="0"/>
                  <w:vAlign w:val="center"/>
                </w:tcPr>
                <w:p w14:paraId="5E0F0484">
                  <w:pPr>
                    <w:spacing w:line="240" w:lineRule="auto"/>
                    <w:ind w:firstLine="0" w:firstLineChars="0"/>
                    <w:jc w:val="center"/>
                    <w:rPr>
                      <w:rFonts w:hint="eastAsia"/>
                      <w:color w:val="auto"/>
                      <w:sz w:val="21"/>
                      <w:szCs w:val="21"/>
                    </w:rPr>
                  </w:pPr>
                </w:p>
              </w:tc>
            </w:tr>
            <w:tr w14:paraId="6C8B3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728497C1">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6D6101FD">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7897BDF3">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动植物油</w:t>
                  </w:r>
                </w:p>
              </w:tc>
              <w:tc>
                <w:tcPr>
                  <w:tcW w:w="729" w:type="pct"/>
                  <w:shd w:val="clear" w:color="auto" w:fill="auto"/>
                  <w:noWrap w:val="0"/>
                  <w:vAlign w:val="center"/>
                </w:tcPr>
                <w:p w14:paraId="24145866">
                  <w:pPr>
                    <w:spacing w:line="240" w:lineRule="auto"/>
                    <w:ind w:firstLine="0" w:firstLineChars="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80</w:t>
                  </w:r>
                </w:p>
              </w:tc>
              <w:tc>
                <w:tcPr>
                  <w:tcW w:w="706" w:type="pct"/>
                  <w:shd w:val="clear" w:color="auto" w:fill="auto"/>
                  <w:noWrap w:val="0"/>
                  <w:vAlign w:val="center"/>
                </w:tcPr>
                <w:p w14:paraId="20A76D11">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0.27</w:t>
                  </w:r>
                </w:p>
              </w:tc>
              <w:tc>
                <w:tcPr>
                  <w:tcW w:w="1335" w:type="pct"/>
                  <w:vMerge w:val="continue"/>
                  <w:noWrap w:val="0"/>
                  <w:vAlign w:val="center"/>
                </w:tcPr>
                <w:p w14:paraId="698309B6">
                  <w:pPr>
                    <w:spacing w:line="240" w:lineRule="auto"/>
                    <w:ind w:firstLine="0" w:firstLineChars="0"/>
                    <w:jc w:val="center"/>
                    <w:rPr>
                      <w:rFonts w:hint="eastAsia"/>
                      <w:color w:val="auto"/>
                      <w:sz w:val="21"/>
                      <w:szCs w:val="21"/>
                    </w:rPr>
                  </w:pPr>
                </w:p>
              </w:tc>
            </w:tr>
            <w:tr w14:paraId="4CE1B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4B982D67">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67570367">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42693DA8">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TP</w:t>
                  </w:r>
                </w:p>
              </w:tc>
              <w:tc>
                <w:tcPr>
                  <w:tcW w:w="729" w:type="pct"/>
                  <w:shd w:val="clear" w:color="auto" w:fill="auto"/>
                  <w:noWrap w:val="0"/>
                  <w:vAlign w:val="center"/>
                </w:tcPr>
                <w:p w14:paraId="698FA9D1">
                  <w:pPr>
                    <w:spacing w:line="240" w:lineRule="auto"/>
                    <w:ind w:firstLine="0" w:firstLineChars="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p>
              </w:tc>
              <w:tc>
                <w:tcPr>
                  <w:tcW w:w="706" w:type="pct"/>
                  <w:shd w:val="clear" w:color="auto" w:fill="auto"/>
                  <w:noWrap w:val="0"/>
                  <w:vAlign w:val="center"/>
                </w:tcPr>
                <w:p w14:paraId="710F7DAB">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0.007</w:t>
                  </w:r>
                </w:p>
              </w:tc>
              <w:tc>
                <w:tcPr>
                  <w:tcW w:w="1335" w:type="pct"/>
                  <w:vMerge w:val="continue"/>
                  <w:noWrap w:val="0"/>
                  <w:vAlign w:val="center"/>
                </w:tcPr>
                <w:p w14:paraId="7134D2BA">
                  <w:pPr>
                    <w:spacing w:line="240" w:lineRule="auto"/>
                    <w:ind w:firstLine="0" w:firstLineChars="0"/>
                    <w:jc w:val="center"/>
                    <w:rPr>
                      <w:rFonts w:hint="eastAsia"/>
                      <w:color w:val="auto"/>
                      <w:sz w:val="21"/>
                      <w:szCs w:val="21"/>
                    </w:rPr>
                  </w:pPr>
                </w:p>
              </w:tc>
            </w:tr>
            <w:tr w14:paraId="1FF24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48FEA407">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55C6CA1F">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7B01BB20">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TN</w:t>
                  </w:r>
                </w:p>
              </w:tc>
              <w:tc>
                <w:tcPr>
                  <w:tcW w:w="729" w:type="pct"/>
                  <w:shd w:val="clear" w:color="auto" w:fill="auto"/>
                  <w:noWrap w:val="0"/>
                  <w:vAlign w:val="center"/>
                </w:tcPr>
                <w:p w14:paraId="3ABFDDDA">
                  <w:pPr>
                    <w:spacing w:line="240" w:lineRule="auto"/>
                    <w:ind w:firstLine="0" w:firstLineChars="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w:t>
                  </w:r>
                </w:p>
              </w:tc>
              <w:tc>
                <w:tcPr>
                  <w:tcW w:w="706" w:type="pct"/>
                  <w:shd w:val="clear" w:color="auto" w:fill="auto"/>
                  <w:noWrap w:val="0"/>
                  <w:vAlign w:val="center"/>
                </w:tcPr>
                <w:p w14:paraId="3F6AC0E8">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0.03</w:t>
                  </w:r>
                </w:p>
              </w:tc>
              <w:tc>
                <w:tcPr>
                  <w:tcW w:w="1335" w:type="pct"/>
                  <w:vMerge w:val="continue"/>
                  <w:noWrap w:val="0"/>
                  <w:vAlign w:val="center"/>
                </w:tcPr>
                <w:p w14:paraId="703BF0EE">
                  <w:pPr>
                    <w:spacing w:line="240" w:lineRule="auto"/>
                    <w:ind w:firstLine="0" w:firstLineChars="0"/>
                    <w:jc w:val="center"/>
                    <w:rPr>
                      <w:rFonts w:hint="eastAsia"/>
                      <w:color w:val="auto"/>
                      <w:sz w:val="21"/>
                      <w:szCs w:val="21"/>
                    </w:rPr>
                  </w:pPr>
                </w:p>
              </w:tc>
            </w:tr>
            <w:tr w14:paraId="4D3A1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restart"/>
                  <w:noWrap w:val="0"/>
                  <w:vAlign w:val="center"/>
                </w:tcPr>
                <w:p w14:paraId="35DC4F23">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循环冷却排水</w:t>
                  </w:r>
                </w:p>
              </w:tc>
              <w:tc>
                <w:tcPr>
                  <w:tcW w:w="559" w:type="pct"/>
                  <w:vMerge w:val="restart"/>
                  <w:noWrap w:val="0"/>
                  <w:vAlign w:val="center"/>
                </w:tcPr>
                <w:p w14:paraId="6F2B3005">
                  <w:pPr>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12</w:t>
                  </w:r>
                </w:p>
              </w:tc>
              <w:tc>
                <w:tcPr>
                  <w:tcW w:w="1051" w:type="pct"/>
                  <w:shd w:val="clear" w:color="auto" w:fill="auto"/>
                  <w:noWrap w:val="0"/>
                  <w:vAlign w:val="center"/>
                </w:tcPr>
                <w:p w14:paraId="3C291EAE">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COD</w:t>
                  </w:r>
                </w:p>
              </w:tc>
              <w:tc>
                <w:tcPr>
                  <w:tcW w:w="729" w:type="pct"/>
                  <w:shd w:val="clear" w:color="auto" w:fill="auto"/>
                  <w:noWrap w:val="0"/>
                  <w:vAlign w:val="center"/>
                </w:tcPr>
                <w:p w14:paraId="557B82B1">
                  <w:pPr>
                    <w:spacing w:line="240" w:lineRule="auto"/>
                    <w:ind w:firstLine="0" w:firstLineChars="0"/>
                    <w:jc w:val="center"/>
                    <w:rPr>
                      <w:rFonts w:hint="eastAsia" w:ascii="宋体" w:hAnsi="宋体" w:eastAsia="宋体" w:cs="宋体"/>
                      <w:i w:val="0"/>
                      <w:iCs w:val="0"/>
                      <w:color w:val="auto"/>
                      <w:kern w:val="0"/>
                      <w:sz w:val="21"/>
                      <w:szCs w:val="21"/>
                      <w:u w:val="none"/>
                      <w:lang w:val="en-US" w:eastAsia="zh-CN" w:bidi="ar"/>
                    </w:rPr>
                  </w:pPr>
                  <w:r>
                    <w:rPr>
                      <w:rFonts w:hint="eastAsia"/>
                      <w:color w:val="auto"/>
                      <w:sz w:val="21"/>
                      <w:szCs w:val="21"/>
                      <w:lang w:val="en-US" w:eastAsia="zh-CN"/>
                    </w:rPr>
                    <w:t>80</w:t>
                  </w:r>
                </w:p>
              </w:tc>
              <w:tc>
                <w:tcPr>
                  <w:tcW w:w="706" w:type="pct"/>
                  <w:shd w:val="clear" w:color="auto" w:fill="auto"/>
                  <w:noWrap w:val="0"/>
                  <w:vAlign w:val="center"/>
                </w:tcPr>
                <w:p w14:paraId="10FEF48C">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0.0010</w:t>
                  </w:r>
                </w:p>
              </w:tc>
              <w:tc>
                <w:tcPr>
                  <w:tcW w:w="1335" w:type="pct"/>
                  <w:vMerge w:val="continue"/>
                  <w:noWrap w:val="0"/>
                  <w:vAlign w:val="center"/>
                </w:tcPr>
                <w:p w14:paraId="416C227B">
                  <w:pPr>
                    <w:spacing w:line="240" w:lineRule="auto"/>
                    <w:ind w:firstLine="0" w:firstLineChars="0"/>
                    <w:jc w:val="center"/>
                    <w:rPr>
                      <w:rFonts w:hint="eastAsia"/>
                      <w:color w:val="auto"/>
                      <w:sz w:val="21"/>
                      <w:szCs w:val="21"/>
                    </w:rPr>
                  </w:pPr>
                </w:p>
              </w:tc>
            </w:tr>
            <w:tr w14:paraId="1129A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28554A26">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7C5D584F">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1E00A0B9">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BOD5</w:t>
                  </w:r>
                </w:p>
              </w:tc>
              <w:tc>
                <w:tcPr>
                  <w:tcW w:w="729" w:type="pct"/>
                  <w:shd w:val="clear" w:color="auto" w:fill="auto"/>
                  <w:noWrap w:val="0"/>
                  <w:vAlign w:val="center"/>
                </w:tcPr>
                <w:p w14:paraId="4441620D">
                  <w:pPr>
                    <w:spacing w:line="240" w:lineRule="auto"/>
                    <w:ind w:firstLine="0" w:firstLineChars="0"/>
                    <w:jc w:val="center"/>
                    <w:rPr>
                      <w:rFonts w:hint="eastAsia" w:ascii="宋体" w:hAnsi="宋体" w:eastAsia="宋体" w:cs="宋体"/>
                      <w:i w:val="0"/>
                      <w:iCs w:val="0"/>
                      <w:color w:val="auto"/>
                      <w:kern w:val="0"/>
                      <w:sz w:val="21"/>
                      <w:szCs w:val="21"/>
                      <w:u w:val="none"/>
                      <w:lang w:val="en-US" w:eastAsia="zh-CN" w:bidi="ar"/>
                    </w:rPr>
                  </w:pPr>
                  <w:r>
                    <w:rPr>
                      <w:rFonts w:hint="eastAsia"/>
                      <w:color w:val="auto"/>
                      <w:sz w:val="21"/>
                      <w:szCs w:val="21"/>
                      <w:lang w:val="en-US" w:eastAsia="zh-CN"/>
                    </w:rPr>
                    <w:t>40</w:t>
                  </w:r>
                </w:p>
              </w:tc>
              <w:tc>
                <w:tcPr>
                  <w:tcW w:w="706" w:type="pct"/>
                  <w:shd w:val="clear" w:color="auto" w:fill="auto"/>
                  <w:noWrap w:val="0"/>
                  <w:vAlign w:val="center"/>
                </w:tcPr>
                <w:p w14:paraId="4715BF4F">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0.0005</w:t>
                  </w:r>
                </w:p>
              </w:tc>
              <w:tc>
                <w:tcPr>
                  <w:tcW w:w="1335" w:type="pct"/>
                  <w:vMerge w:val="continue"/>
                  <w:noWrap w:val="0"/>
                  <w:vAlign w:val="center"/>
                </w:tcPr>
                <w:p w14:paraId="1974F01F">
                  <w:pPr>
                    <w:spacing w:line="240" w:lineRule="auto"/>
                    <w:ind w:firstLine="0" w:firstLineChars="0"/>
                    <w:jc w:val="center"/>
                    <w:rPr>
                      <w:rFonts w:hint="eastAsia"/>
                      <w:color w:val="auto"/>
                      <w:sz w:val="21"/>
                      <w:szCs w:val="21"/>
                    </w:rPr>
                  </w:pPr>
                </w:p>
              </w:tc>
            </w:tr>
            <w:tr w14:paraId="2F678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38747C4F">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481012DC">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5BAC7ED1">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SS</w:t>
                  </w:r>
                </w:p>
              </w:tc>
              <w:tc>
                <w:tcPr>
                  <w:tcW w:w="729" w:type="pct"/>
                  <w:shd w:val="clear" w:color="auto" w:fill="auto"/>
                  <w:noWrap w:val="0"/>
                  <w:vAlign w:val="center"/>
                </w:tcPr>
                <w:p w14:paraId="2A06593F">
                  <w:pPr>
                    <w:spacing w:line="240" w:lineRule="auto"/>
                    <w:ind w:firstLine="0" w:firstLineChars="0"/>
                    <w:jc w:val="center"/>
                    <w:rPr>
                      <w:rFonts w:hint="eastAsia" w:ascii="宋体" w:hAnsi="宋体" w:eastAsia="宋体" w:cs="宋体"/>
                      <w:i w:val="0"/>
                      <w:iCs w:val="0"/>
                      <w:color w:val="auto"/>
                      <w:kern w:val="0"/>
                      <w:sz w:val="21"/>
                      <w:szCs w:val="21"/>
                      <w:u w:val="none"/>
                      <w:lang w:val="en-US" w:eastAsia="zh-CN" w:bidi="ar"/>
                    </w:rPr>
                  </w:pPr>
                  <w:r>
                    <w:rPr>
                      <w:rFonts w:hint="eastAsia"/>
                      <w:color w:val="auto"/>
                      <w:sz w:val="21"/>
                      <w:szCs w:val="21"/>
                      <w:lang w:val="en-US" w:eastAsia="zh-CN"/>
                    </w:rPr>
                    <w:t>150</w:t>
                  </w:r>
                </w:p>
              </w:tc>
              <w:tc>
                <w:tcPr>
                  <w:tcW w:w="706" w:type="pct"/>
                  <w:shd w:val="clear" w:color="auto" w:fill="auto"/>
                  <w:noWrap w:val="0"/>
                  <w:vAlign w:val="center"/>
                </w:tcPr>
                <w:p w14:paraId="11144D09">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0.0018</w:t>
                  </w:r>
                </w:p>
              </w:tc>
              <w:tc>
                <w:tcPr>
                  <w:tcW w:w="1335" w:type="pct"/>
                  <w:vMerge w:val="continue"/>
                  <w:noWrap w:val="0"/>
                  <w:vAlign w:val="center"/>
                </w:tcPr>
                <w:p w14:paraId="139A7E2B">
                  <w:pPr>
                    <w:spacing w:line="240" w:lineRule="auto"/>
                    <w:ind w:firstLine="0" w:firstLineChars="0"/>
                    <w:jc w:val="center"/>
                    <w:rPr>
                      <w:rFonts w:hint="eastAsia"/>
                      <w:color w:val="auto"/>
                      <w:sz w:val="21"/>
                      <w:szCs w:val="21"/>
                    </w:rPr>
                  </w:pPr>
                </w:p>
              </w:tc>
            </w:tr>
            <w:tr w14:paraId="39EC3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50AD3070">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32658352">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071A51DA">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氨氮</w:t>
                  </w:r>
                </w:p>
              </w:tc>
              <w:tc>
                <w:tcPr>
                  <w:tcW w:w="729" w:type="pct"/>
                  <w:shd w:val="clear" w:color="auto" w:fill="auto"/>
                  <w:noWrap w:val="0"/>
                  <w:vAlign w:val="center"/>
                </w:tcPr>
                <w:p w14:paraId="56FE994E">
                  <w:pPr>
                    <w:spacing w:line="240" w:lineRule="auto"/>
                    <w:ind w:firstLine="0" w:firstLineChars="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w:t>
                  </w:r>
                </w:p>
              </w:tc>
              <w:tc>
                <w:tcPr>
                  <w:tcW w:w="706" w:type="pct"/>
                  <w:shd w:val="clear" w:color="auto" w:fill="auto"/>
                  <w:noWrap w:val="0"/>
                  <w:vAlign w:val="center"/>
                </w:tcPr>
                <w:p w14:paraId="16FB1C24">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0.00006</w:t>
                  </w:r>
                </w:p>
              </w:tc>
              <w:tc>
                <w:tcPr>
                  <w:tcW w:w="1335" w:type="pct"/>
                  <w:vMerge w:val="continue"/>
                  <w:noWrap w:val="0"/>
                  <w:vAlign w:val="center"/>
                </w:tcPr>
                <w:p w14:paraId="68309DB9">
                  <w:pPr>
                    <w:spacing w:line="240" w:lineRule="auto"/>
                    <w:ind w:firstLine="0" w:firstLineChars="0"/>
                    <w:jc w:val="center"/>
                    <w:rPr>
                      <w:rFonts w:hint="eastAsia"/>
                      <w:color w:val="auto"/>
                      <w:sz w:val="21"/>
                      <w:szCs w:val="21"/>
                    </w:rPr>
                  </w:pPr>
                </w:p>
              </w:tc>
            </w:tr>
            <w:tr w14:paraId="5E9E0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64A27375">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2125CBC2">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67980792">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TP</w:t>
                  </w:r>
                </w:p>
              </w:tc>
              <w:tc>
                <w:tcPr>
                  <w:tcW w:w="729" w:type="pct"/>
                  <w:shd w:val="clear" w:color="auto" w:fill="auto"/>
                  <w:noWrap w:val="0"/>
                  <w:vAlign w:val="center"/>
                </w:tcPr>
                <w:p w14:paraId="1F61CAB8">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p>
              </w:tc>
              <w:tc>
                <w:tcPr>
                  <w:tcW w:w="706" w:type="pct"/>
                  <w:shd w:val="clear" w:color="auto" w:fill="auto"/>
                  <w:noWrap w:val="0"/>
                  <w:vAlign w:val="center"/>
                </w:tcPr>
                <w:p w14:paraId="77CF8DDC">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0.00002</w:t>
                  </w:r>
                </w:p>
              </w:tc>
              <w:tc>
                <w:tcPr>
                  <w:tcW w:w="1335" w:type="pct"/>
                  <w:vMerge w:val="continue"/>
                  <w:noWrap w:val="0"/>
                  <w:vAlign w:val="center"/>
                </w:tcPr>
                <w:p w14:paraId="05A5B3E1">
                  <w:pPr>
                    <w:spacing w:line="240" w:lineRule="auto"/>
                    <w:ind w:firstLine="0" w:firstLineChars="0"/>
                    <w:jc w:val="center"/>
                    <w:rPr>
                      <w:rFonts w:hint="eastAsia"/>
                      <w:color w:val="auto"/>
                      <w:sz w:val="21"/>
                      <w:szCs w:val="21"/>
                    </w:rPr>
                  </w:pPr>
                </w:p>
              </w:tc>
            </w:tr>
            <w:tr w14:paraId="6CA5E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5597BA9B">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6E656C44">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2402D4D9">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TN</w:t>
                  </w:r>
                </w:p>
              </w:tc>
              <w:tc>
                <w:tcPr>
                  <w:tcW w:w="729" w:type="pct"/>
                  <w:shd w:val="clear" w:color="auto" w:fill="auto"/>
                  <w:noWrap w:val="0"/>
                  <w:vAlign w:val="center"/>
                </w:tcPr>
                <w:p w14:paraId="2D707C57">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w:t>
                  </w:r>
                </w:p>
              </w:tc>
              <w:tc>
                <w:tcPr>
                  <w:tcW w:w="706" w:type="pct"/>
                  <w:shd w:val="clear" w:color="auto" w:fill="auto"/>
                  <w:noWrap w:val="0"/>
                  <w:vAlign w:val="center"/>
                </w:tcPr>
                <w:p w14:paraId="5CF2D4A9">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0.0010</w:t>
                  </w:r>
                </w:p>
              </w:tc>
              <w:tc>
                <w:tcPr>
                  <w:tcW w:w="1335" w:type="pct"/>
                  <w:vMerge w:val="continue"/>
                  <w:noWrap w:val="0"/>
                  <w:vAlign w:val="center"/>
                </w:tcPr>
                <w:p w14:paraId="59E4BEF1">
                  <w:pPr>
                    <w:spacing w:line="240" w:lineRule="auto"/>
                    <w:ind w:firstLine="0" w:firstLineChars="0"/>
                    <w:jc w:val="center"/>
                    <w:rPr>
                      <w:rFonts w:hint="eastAsia"/>
                      <w:color w:val="auto"/>
                      <w:sz w:val="21"/>
                      <w:szCs w:val="21"/>
                    </w:rPr>
                  </w:pPr>
                </w:p>
              </w:tc>
            </w:tr>
            <w:tr w14:paraId="4ADFF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restart"/>
                  <w:noWrap w:val="0"/>
                  <w:vAlign w:val="center"/>
                </w:tcPr>
                <w:p w14:paraId="4A8B778F">
                  <w:pPr>
                    <w:spacing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综合废水</w:t>
                  </w:r>
                </w:p>
              </w:tc>
              <w:tc>
                <w:tcPr>
                  <w:tcW w:w="559" w:type="pct"/>
                  <w:vMerge w:val="restart"/>
                  <w:noWrap w:val="0"/>
                  <w:vAlign w:val="center"/>
                </w:tcPr>
                <w:p w14:paraId="463828F4">
                  <w:pPr>
                    <w:spacing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10015.952</w:t>
                  </w:r>
                </w:p>
              </w:tc>
              <w:tc>
                <w:tcPr>
                  <w:tcW w:w="1051" w:type="pct"/>
                  <w:shd w:val="clear" w:color="auto" w:fill="auto"/>
                  <w:noWrap w:val="0"/>
                  <w:vAlign w:val="center"/>
                </w:tcPr>
                <w:p w14:paraId="6BC229B9">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 xml:space="preserve">COD </w:t>
                  </w:r>
                </w:p>
              </w:tc>
              <w:tc>
                <w:tcPr>
                  <w:tcW w:w="729" w:type="pct"/>
                  <w:shd w:val="clear" w:color="auto" w:fill="auto"/>
                  <w:noWrap w:val="0"/>
                  <w:vAlign w:val="center"/>
                </w:tcPr>
                <w:p w14:paraId="6E26B8C8">
                  <w:pPr>
                    <w:keepNext w:val="0"/>
                    <w:keepLines w:val="0"/>
                    <w:widowControl/>
                    <w:suppressLineNumbers w:val="0"/>
                    <w:jc w:val="center"/>
                    <w:textAlignment w:val="center"/>
                    <w:rPr>
                      <w:rFonts w:hint="default"/>
                      <w:color w:val="auto"/>
                      <w:sz w:val="21"/>
                      <w:szCs w:val="21"/>
                      <w:highlight w:val="none"/>
                      <w:lang w:val="en-US" w:eastAsia="zh-CN"/>
                    </w:rPr>
                  </w:pPr>
                  <w:r>
                    <w:rPr>
                      <w:rFonts w:hint="eastAsia"/>
                      <w:color w:val="auto"/>
                      <w:sz w:val="21"/>
                      <w:szCs w:val="21"/>
                      <w:highlight w:val="none"/>
                      <w:lang w:val="en-US" w:eastAsia="zh-CN"/>
                    </w:rPr>
                    <w:t>8790.45</w:t>
                  </w:r>
                </w:p>
              </w:tc>
              <w:tc>
                <w:tcPr>
                  <w:tcW w:w="706" w:type="pct"/>
                  <w:shd w:val="clear" w:color="auto" w:fill="auto"/>
                  <w:noWrap w:val="0"/>
                  <w:vAlign w:val="center"/>
                </w:tcPr>
                <w:p w14:paraId="4509D4E1">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88.04</w:t>
                  </w:r>
                </w:p>
              </w:tc>
              <w:tc>
                <w:tcPr>
                  <w:tcW w:w="1335" w:type="pct"/>
                  <w:vMerge w:val="restart"/>
                  <w:shd w:val="clear" w:color="auto" w:fill="auto"/>
                  <w:noWrap w:val="0"/>
                  <w:vAlign w:val="center"/>
                </w:tcPr>
                <w:p w14:paraId="2DAC9791">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利用新建管道输送至池州中器环保科技有限公司的污水处理设施进行处理</w:t>
                  </w:r>
                </w:p>
              </w:tc>
            </w:tr>
            <w:tr w14:paraId="0AE96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78A61459">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64F09840">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5662CBBB">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BOD5</w:t>
                  </w:r>
                </w:p>
              </w:tc>
              <w:tc>
                <w:tcPr>
                  <w:tcW w:w="729" w:type="pct"/>
                  <w:shd w:val="clear" w:color="auto" w:fill="auto"/>
                  <w:noWrap w:val="0"/>
                  <w:vAlign w:val="center"/>
                </w:tcPr>
                <w:p w14:paraId="1835E858">
                  <w:pPr>
                    <w:keepNext w:val="0"/>
                    <w:keepLines w:val="0"/>
                    <w:widowControl/>
                    <w:suppressLineNumbers w:val="0"/>
                    <w:jc w:val="center"/>
                    <w:textAlignment w:val="center"/>
                    <w:rPr>
                      <w:rFonts w:hint="default"/>
                      <w:color w:val="auto"/>
                      <w:sz w:val="21"/>
                      <w:szCs w:val="21"/>
                      <w:highlight w:val="none"/>
                      <w:lang w:val="en-US" w:eastAsia="zh-CN"/>
                    </w:rPr>
                  </w:pPr>
                  <w:r>
                    <w:rPr>
                      <w:rFonts w:hint="eastAsia"/>
                      <w:color w:val="auto"/>
                      <w:sz w:val="21"/>
                      <w:szCs w:val="21"/>
                      <w:highlight w:val="none"/>
                      <w:lang w:val="en-US" w:eastAsia="zh-CN"/>
                    </w:rPr>
                    <w:t>3591.53</w:t>
                  </w:r>
                </w:p>
              </w:tc>
              <w:tc>
                <w:tcPr>
                  <w:tcW w:w="706" w:type="pct"/>
                  <w:shd w:val="clear" w:color="auto" w:fill="auto"/>
                  <w:noWrap w:val="0"/>
                  <w:vAlign w:val="center"/>
                </w:tcPr>
                <w:p w14:paraId="6888CA08">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30.98</w:t>
                  </w:r>
                </w:p>
              </w:tc>
              <w:tc>
                <w:tcPr>
                  <w:tcW w:w="1335" w:type="pct"/>
                  <w:vMerge w:val="continue"/>
                  <w:noWrap w:val="0"/>
                  <w:vAlign w:val="center"/>
                </w:tcPr>
                <w:p w14:paraId="5F52F1DA">
                  <w:pPr>
                    <w:spacing w:line="240" w:lineRule="auto"/>
                    <w:ind w:firstLine="0" w:firstLineChars="0"/>
                    <w:jc w:val="center"/>
                    <w:rPr>
                      <w:rFonts w:hint="eastAsia"/>
                      <w:color w:val="auto"/>
                      <w:sz w:val="21"/>
                      <w:szCs w:val="21"/>
                    </w:rPr>
                  </w:pPr>
                </w:p>
              </w:tc>
            </w:tr>
            <w:tr w14:paraId="5E6BF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71CF79B8">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2D546E15">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32C98CC4">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SS</w:t>
                  </w:r>
                </w:p>
              </w:tc>
              <w:tc>
                <w:tcPr>
                  <w:tcW w:w="729" w:type="pct"/>
                  <w:shd w:val="clear" w:color="auto" w:fill="auto"/>
                  <w:noWrap w:val="0"/>
                  <w:vAlign w:val="center"/>
                </w:tcPr>
                <w:p w14:paraId="264218B0">
                  <w:pPr>
                    <w:keepNext w:val="0"/>
                    <w:keepLines w:val="0"/>
                    <w:widowControl/>
                    <w:suppressLineNumbers w:val="0"/>
                    <w:jc w:val="center"/>
                    <w:textAlignment w:val="center"/>
                    <w:rPr>
                      <w:rFonts w:hint="default"/>
                      <w:color w:val="auto"/>
                      <w:sz w:val="21"/>
                      <w:szCs w:val="21"/>
                      <w:highlight w:val="none"/>
                      <w:lang w:val="en-US" w:eastAsia="zh-CN"/>
                    </w:rPr>
                  </w:pPr>
                  <w:r>
                    <w:rPr>
                      <w:rFonts w:hint="eastAsia"/>
                      <w:color w:val="auto"/>
                      <w:sz w:val="21"/>
                      <w:szCs w:val="21"/>
                      <w:highlight w:val="none"/>
                      <w:lang w:val="en-US" w:eastAsia="zh-CN"/>
                    </w:rPr>
                    <w:t>707.46</w:t>
                  </w:r>
                </w:p>
              </w:tc>
              <w:tc>
                <w:tcPr>
                  <w:tcW w:w="706" w:type="pct"/>
                  <w:shd w:val="clear" w:color="auto" w:fill="auto"/>
                  <w:noWrap w:val="0"/>
                  <w:vAlign w:val="center"/>
                </w:tcPr>
                <w:p w14:paraId="50E510C8">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6.10</w:t>
                  </w:r>
                </w:p>
              </w:tc>
              <w:tc>
                <w:tcPr>
                  <w:tcW w:w="1335" w:type="pct"/>
                  <w:vMerge w:val="continue"/>
                  <w:noWrap w:val="0"/>
                  <w:vAlign w:val="center"/>
                </w:tcPr>
                <w:p w14:paraId="422B35B3">
                  <w:pPr>
                    <w:spacing w:line="240" w:lineRule="auto"/>
                    <w:ind w:firstLine="0" w:firstLineChars="0"/>
                    <w:jc w:val="center"/>
                    <w:rPr>
                      <w:rFonts w:hint="eastAsia"/>
                      <w:color w:val="auto"/>
                      <w:sz w:val="21"/>
                      <w:szCs w:val="21"/>
                    </w:rPr>
                  </w:pPr>
                </w:p>
              </w:tc>
            </w:tr>
            <w:tr w14:paraId="6FF86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421FF48C">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1F3F6203">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5011D402">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氨氮</w:t>
                  </w:r>
                </w:p>
              </w:tc>
              <w:tc>
                <w:tcPr>
                  <w:tcW w:w="729" w:type="pct"/>
                  <w:shd w:val="clear" w:color="auto" w:fill="auto"/>
                  <w:noWrap w:val="0"/>
                  <w:vAlign w:val="center"/>
                </w:tcPr>
                <w:p w14:paraId="4A981707">
                  <w:pPr>
                    <w:keepNext w:val="0"/>
                    <w:keepLines w:val="0"/>
                    <w:widowControl/>
                    <w:suppressLineNumbers w:val="0"/>
                    <w:jc w:val="center"/>
                    <w:textAlignment w:val="center"/>
                    <w:rPr>
                      <w:rFonts w:hint="default"/>
                      <w:color w:val="auto"/>
                      <w:sz w:val="21"/>
                      <w:szCs w:val="21"/>
                      <w:highlight w:val="none"/>
                      <w:lang w:val="en-US" w:eastAsia="zh-CN"/>
                    </w:rPr>
                  </w:pPr>
                  <w:r>
                    <w:rPr>
                      <w:rFonts w:hint="eastAsia"/>
                      <w:color w:val="auto"/>
                      <w:sz w:val="21"/>
                      <w:szCs w:val="21"/>
                      <w:highlight w:val="none"/>
                      <w:lang w:val="en-US" w:eastAsia="zh-CN"/>
                    </w:rPr>
                    <w:t>1017.35</w:t>
                  </w:r>
                </w:p>
              </w:tc>
              <w:tc>
                <w:tcPr>
                  <w:tcW w:w="706" w:type="pct"/>
                  <w:shd w:val="clear" w:color="auto" w:fill="auto"/>
                  <w:noWrap w:val="0"/>
                  <w:vAlign w:val="center"/>
                </w:tcPr>
                <w:p w14:paraId="10D3207D">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8.77</w:t>
                  </w:r>
                </w:p>
              </w:tc>
              <w:tc>
                <w:tcPr>
                  <w:tcW w:w="1335" w:type="pct"/>
                  <w:vMerge w:val="continue"/>
                  <w:noWrap w:val="0"/>
                  <w:vAlign w:val="center"/>
                </w:tcPr>
                <w:p w14:paraId="5DEFF18B">
                  <w:pPr>
                    <w:spacing w:line="240" w:lineRule="auto"/>
                    <w:ind w:firstLine="0" w:firstLineChars="0"/>
                    <w:jc w:val="center"/>
                    <w:rPr>
                      <w:rFonts w:hint="eastAsia"/>
                      <w:color w:val="auto"/>
                      <w:sz w:val="21"/>
                      <w:szCs w:val="21"/>
                    </w:rPr>
                  </w:pPr>
                </w:p>
              </w:tc>
            </w:tr>
            <w:tr w14:paraId="60DB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49BED1DD">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2FE1BE86">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57FCC98E">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动植物油</w:t>
                  </w:r>
                </w:p>
              </w:tc>
              <w:tc>
                <w:tcPr>
                  <w:tcW w:w="729" w:type="pct"/>
                  <w:shd w:val="clear" w:color="auto" w:fill="auto"/>
                  <w:noWrap w:val="0"/>
                  <w:vAlign w:val="center"/>
                </w:tcPr>
                <w:p w14:paraId="55795145">
                  <w:pPr>
                    <w:keepNext w:val="0"/>
                    <w:keepLines w:val="0"/>
                    <w:widowControl/>
                    <w:suppressLineNumbers w:val="0"/>
                    <w:jc w:val="center"/>
                    <w:textAlignment w:val="center"/>
                    <w:rPr>
                      <w:rFonts w:hint="default"/>
                      <w:color w:val="auto"/>
                      <w:sz w:val="21"/>
                      <w:szCs w:val="21"/>
                      <w:highlight w:val="none"/>
                      <w:lang w:val="en-US" w:eastAsia="zh-CN"/>
                    </w:rPr>
                  </w:pPr>
                  <w:r>
                    <w:rPr>
                      <w:rFonts w:hint="eastAsia"/>
                      <w:color w:val="auto"/>
                      <w:sz w:val="21"/>
                      <w:szCs w:val="21"/>
                      <w:highlight w:val="none"/>
                      <w:lang w:val="en-US" w:eastAsia="zh-CN"/>
                    </w:rPr>
                    <w:t>1403.18</w:t>
                  </w:r>
                </w:p>
              </w:tc>
              <w:tc>
                <w:tcPr>
                  <w:tcW w:w="706" w:type="pct"/>
                  <w:shd w:val="clear" w:color="auto" w:fill="auto"/>
                  <w:noWrap w:val="0"/>
                  <w:vAlign w:val="center"/>
                </w:tcPr>
                <w:p w14:paraId="47A51AD3">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12.10</w:t>
                  </w:r>
                </w:p>
              </w:tc>
              <w:tc>
                <w:tcPr>
                  <w:tcW w:w="1335" w:type="pct"/>
                  <w:vMerge w:val="continue"/>
                  <w:noWrap w:val="0"/>
                  <w:vAlign w:val="center"/>
                </w:tcPr>
                <w:p w14:paraId="4CE72FA9">
                  <w:pPr>
                    <w:spacing w:line="240" w:lineRule="auto"/>
                    <w:ind w:firstLine="0" w:firstLineChars="0"/>
                    <w:jc w:val="center"/>
                    <w:rPr>
                      <w:rFonts w:hint="eastAsia"/>
                      <w:color w:val="auto"/>
                      <w:sz w:val="21"/>
                      <w:szCs w:val="21"/>
                    </w:rPr>
                  </w:pPr>
                </w:p>
              </w:tc>
            </w:tr>
            <w:tr w14:paraId="172C5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08FF241A">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4A046B6D">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7961E6E8">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TP</w:t>
                  </w:r>
                </w:p>
              </w:tc>
              <w:tc>
                <w:tcPr>
                  <w:tcW w:w="729" w:type="pct"/>
                  <w:shd w:val="clear" w:color="auto" w:fill="auto"/>
                  <w:noWrap w:val="0"/>
                  <w:vAlign w:val="center"/>
                </w:tcPr>
                <w:p w14:paraId="205B3391">
                  <w:pPr>
                    <w:keepNext w:val="0"/>
                    <w:keepLines w:val="0"/>
                    <w:widowControl/>
                    <w:suppressLineNumbers w:val="0"/>
                    <w:jc w:val="center"/>
                    <w:textAlignment w:val="center"/>
                    <w:rPr>
                      <w:rFonts w:hint="default"/>
                      <w:color w:val="auto"/>
                      <w:sz w:val="21"/>
                      <w:szCs w:val="21"/>
                      <w:highlight w:val="none"/>
                      <w:lang w:val="en-US" w:eastAsia="zh-CN"/>
                    </w:rPr>
                  </w:pPr>
                  <w:r>
                    <w:rPr>
                      <w:rFonts w:hint="eastAsia"/>
                      <w:color w:val="auto"/>
                      <w:sz w:val="21"/>
                      <w:szCs w:val="21"/>
                      <w:highlight w:val="none"/>
                      <w:lang w:val="en-US" w:eastAsia="zh-CN"/>
                    </w:rPr>
                    <w:t>38.87</w:t>
                  </w:r>
                </w:p>
              </w:tc>
              <w:tc>
                <w:tcPr>
                  <w:tcW w:w="706" w:type="pct"/>
                  <w:shd w:val="clear" w:color="auto" w:fill="auto"/>
                  <w:noWrap w:val="0"/>
                  <w:vAlign w:val="center"/>
                </w:tcPr>
                <w:p w14:paraId="416AD9C5">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0.34</w:t>
                  </w:r>
                </w:p>
              </w:tc>
              <w:tc>
                <w:tcPr>
                  <w:tcW w:w="1335" w:type="pct"/>
                  <w:vMerge w:val="continue"/>
                  <w:noWrap w:val="0"/>
                  <w:vAlign w:val="center"/>
                </w:tcPr>
                <w:p w14:paraId="5AD26E79">
                  <w:pPr>
                    <w:spacing w:line="240" w:lineRule="auto"/>
                    <w:ind w:firstLine="0" w:firstLineChars="0"/>
                    <w:jc w:val="center"/>
                    <w:rPr>
                      <w:rFonts w:hint="eastAsia"/>
                      <w:color w:val="auto"/>
                      <w:sz w:val="21"/>
                      <w:szCs w:val="21"/>
                    </w:rPr>
                  </w:pPr>
                </w:p>
              </w:tc>
            </w:tr>
            <w:tr w14:paraId="65C07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18" w:type="pct"/>
                  <w:vMerge w:val="continue"/>
                  <w:noWrap w:val="0"/>
                  <w:vAlign w:val="center"/>
                </w:tcPr>
                <w:p w14:paraId="61D14420">
                  <w:pPr>
                    <w:spacing w:line="240" w:lineRule="auto"/>
                    <w:ind w:firstLine="0" w:firstLineChars="0"/>
                    <w:jc w:val="center"/>
                    <w:rPr>
                      <w:rFonts w:hint="eastAsia"/>
                      <w:color w:val="auto"/>
                      <w:sz w:val="21"/>
                      <w:szCs w:val="21"/>
                      <w:highlight w:val="none"/>
                      <w:lang w:val="en-US" w:eastAsia="zh-CN"/>
                    </w:rPr>
                  </w:pPr>
                </w:p>
              </w:tc>
              <w:tc>
                <w:tcPr>
                  <w:tcW w:w="559" w:type="pct"/>
                  <w:vMerge w:val="continue"/>
                  <w:noWrap w:val="0"/>
                  <w:vAlign w:val="center"/>
                </w:tcPr>
                <w:p w14:paraId="75601683">
                  <w:pPr>
                    <w:spacing w:line="240" w:lineRule="auto"/>
                    <w:ind w:firstLine="0" w:firstLineChars="0"/>
                    <w:jc w:val="center"/>
                    <w:rPr>
                      <w:rFonts w:hint="eastAsia"/>
                      <w:color w:val="auto"/>
                      <w:sz w:val="21"/>
                      <w:szCs w:val="21"/>
                      <w:highlight w:val="none"/>
                      <w:lang w:val="en-US" w:eastAsia="zh-CN"/>
                    </w:rPr>
                  </w:pPr>
                </w:p>
              </w:tc>
              <w:tc>
                <w:tcPr>
                  <w:tcW w:w="1051" w:type="pct"/>
                  <w:shd w:val="clear" w:color="auto" w:fill="auto"/>
                  <w:noWrap w:val="0"/>
                  <w:vAlign w:val="center"/>
                </w:tcPr>
                <w:p w14:paraId="64EB5481">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TN</w:t>
                  </w:r>
                </w:p>
              </w:tc>
              <w:tc>
                <w:tcPr>
                  <w:tcW w:w="729" w:type="pct"/>
                  <w:shd w:val="clear" w:color="auto" w:fill="auto"/>
                  <w:noWrap w:val="0"/>
                  <w:vAlign w:val="center"/>
                </w:tcPr>
                <w:p w14:paraId="788A2D9D">
                  <w:pPr>
                    <w:keepNext w:val="0"/>
                    <w:keepLines w:val="0"/>
                    <w:widowControl/>
                    <w:suppressLineNumbers w:val="0"/>
                    <w:jc w:val="center"/>
                    <w:textAlignment w:val="center"/>
                    <w:rPr>
                      <w:rFonts w:hint="default"/>
                      <w:color w:val="auto"/>
                      <w:sz w:val="21"/>
                      <w:szCs w:val="21"/>
                      <w:highlight w:val="none"/>
                      <w:lang w:val="en-US" w:eastAsia="zh-CN"/>
                    </w:rPr>
                  </w:pPr>
                  <w:r>
                    <w:rPr>
                      <w:rFonts w:hint="eastAsia"/>
                      <w:color w:val="auto"/>
                      <w:sz w:val="21"/>
                      <w:szCs w:val="21"/>
                      <w:highlight w:val="none"/>
                      <w:lang w:val="en-US" w:eastAsia="zh-CN"/>
                    </w:rPr>
                    <w:t>1462.52</w:t>
                  </w:r>
                </w:p>
              </w:tc>
              <w:tc>
                <w:tcPr>
                  <w:tcW w:w="706" w:type="pct"/>
                  <w:shd w:val="clear" w:color="auto" w:fill="auto"/>
                  <w:noWrap w:val="0"/>
                  <w:vAlign w:val="center"/>
                </w:tcPr>
                <w:p w14:paraId="6A42605D">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12.61</w:t>
                  </w:r>
                </w:p>
              </w:tc>
              <w:tc>
                <w:tcPr>
                  <w:tcW w:w="1335" w:type="pct"/>
                  <w:vMerge w:val="continue"/>
                  <w:noWrap w:val="0"/>
                  <w:vAlign w:val="center"/>
                </w:tcPr>
                <w:p w14:paraId="20EF8518">
                  <w:pPr>
                    <w:spacing w:line="240" w:lineRule="auto"/>
                    <w:ind w:firstLine="0" w:firstLineChars="0"/>
                    <w:jc w:val="center"/>
                    <w:rPr>
                      <w:rFonts w:hint="eastAsia"/>
                      <w:color w:val="auto"/>
                      <w:sz w:val="21"/>
                      <w:szCs w:val="21"/>
                    </w:rPr>
                  </w:pPr>
                </w:p>
              </w:tc>
            </w:tr>
          </w:tbl>
          <w:p w14:paraId="04BB73BB">
            <w:pPr>
              <w:adjustRightInd w:val="0"/>
              <w:snapToGrid w:val="0"/>
              <w:spacing w:line="360" w:lineRule="auto"/>
              <w:rPr>
                <w:b/>
                <w:color w:val="auto"/>
                <w:spacing w:val="-10"/>
                <w:sz w:val="21"/>
                <w:szCs w:val="21"/>
              </w:rPr>
            </w:pPr>
            <w:r>
              <w:rPr>
                <w:rFonts w:hint="eastAsia"/>
                <w:b/>
                <w:color w:val="auto"/>
                <w:spacing w:val="-10"/>
                <w:sz w:val="21"/>
                <w:szCs w:val="21"/>
              </w:rPr>
              <w:t>备注：本项目</w:t>
            </w:r>
            <w:r>
              <w:rPr>
                <w:rFonts w:hint="eastAsia"/>
                <w:b/>
                <w:color w:val="auto"/>
                <w:spacing w:val="-10"/>
                <w:sz w:val="21"/>
                <w:szCs w:val="21"/>
                <w:lang w:eastAsia="zh-CN"/>
              </w:rPr>
              <w:t>三项分离后的废液中的</w:t>
            </w:r>
            <w:r>
              <w:rPr>
                <w:rFonts w:hint="eastAsia"/>
                <w:b/>
                <w:color w:val="auto"/>
                <w:spacing w:val="-10"/>
                <w:sz w:val="21"/>
                <w:szCs w:val="21"/>
                <w:lang w:val="en-US" w:eastAsia="zh-CN"/>
              </w:rPr>
              <w:t>COD、BOD</w:t>
            </w:r>
            <w:r>
              <w:rPr>
                <w:rFonts w:hint="eastAsia"/>
                <w:b/>
                <w:color w:val="auto"/>
                <w:spacing w:val="-10"/>
                <w:sz w:val="21"/>
                <w:szCs w:val="21"/>
                <w:vertAlign w:val="subscript"/>
                <w:lang w:val="en-US" w:eastAsia="zh-CN"/>
              </w:rPr>
              <w:t>5</w:t>
            </w:r>
            <w:r>
              <w:rPr>
                <w:rFonts w:hint="eastAsia"/>
                <w:b/>
                <w:color w:val="auto"/>
                <w:spacing w:val="-10"/>
                <w:sz w:val="21"/>
                <w:szCs w:val="21"/>
                <w:lang w:val="en-US" w:eastAsia="zh-CN"/>
              </w:rPr>
              <w:t>、氨氮、总氮、总磷</w:t>
            </w:r>
            <w:r>
              <w:rPr>
                <w:rFonts w:hint="eastAsia"/>
                <w:b/>
                <w:color w:val="auto"/>
                <w:spacing w:val="-10"/>
                <w:sz w:val="21"/>
                <w:szCs w:val="21"/>
                <w:lang w:eastAsia="zh-CN"/>
              </w:rPr>
              <w:t>根据《附4集中式污染治理设施-附表 集中式污染治理设施产排污系数手册》餐厨垃圾处理厂表</w:t>
            </w:r>
            <w:r>
              <w:rPr>
                <w:rFonts w:hint="eastAsia"/>
                <w:b/>
                <w:color w:val="auto"/>
                <w:spacing w:val="-10"/>
                <w:sz w:val="21"/>
                <w:szCs w:val="21"/>
                <w:lang w:val="en-US" w:eastAsia="zh-CN"/>
              </w:rPr>
              <w:t>5.2</w:t>
            </w:r>
            <w:r>
              <w:rPr>
                <w:rFonts w:hint="eastAsia"/>
                <w:b/>
                <w:color w:val="auto"/>
                <w:spacing w:val="-10"/>
                <w:sz w:val="21"/>
                <w:szCs w:val="21"/>
                <w:lang w:eastAsia="zh-CN"/>
              </w:rPr>
              <w:t>产污数据；</w:t>
            </w:r>
            <w:r>
              <w:rPr>
                <w:rFonts w:hint="eastAsia"/>
                <w:b/>
                <w:color w:val="auto"/>
                <w:spacing w:val="-10"/>
                <w:sz w:val="21"/>
                <w:szCs w:val="21"/>
                <w:lang w:val="en-US" w:eastAsia="zh-CN"/>
              </w:rPr>
              <w:t>SS数值来源于《餐厨垃圾厌氧发酵沼液处理技术的现状与展望》[祖柱1李娟1易志刚1*谢璨2(1湖南仁和环境股份有限公司 湖南长沙 410005 2湖南仁和环保科技有限公司 湖南长沙 410005)]；动植物油数值来源于《高浓度餐厨垃圾压榨液处理工艺调试与运行研究》[周凯，张军，李荣( 无锡城市职业技术学院 建筑与环境工程学院，江苏 无锡 214153) ]</w:t>
            </w:r>
            <w:r>
              <w:rPr>
                <w:rFonts w:hint="eastAsia"/>
                <w:b/>
                <w:color w:val="auto"/>
                <w:spacing w:val="-10"/>
                <w:sz w:val="21"/>
                <w:szCs w:val="21"/>
              </w:rPr>
              <w:t>。</w:t>
            </w:r>
          </w:p>
          <w:p w14:paraId="47B725D1">
            <w:pPr>
              <w:adjustRightInd w:val="0"/>
              <w:snapToGrid w:val="0"/>
              <w:spacing w:line="360" w:lineRule="auto"/>
              <w:rPr>
                <w:b/>
                <w:strike w:val="0"/>
                <w:dstrike w:val="0"/>
                <w:color w:val="auto"/>
                <w:spacing w:val="-10"/>
                <w:sz w:val="24"/>
                <w:highlight w:val="none"/>
              </w:rPr>
            </w:pPr>
            <w:r>
              <w:rPr>
                <w:b/>
                <w:color w:val="auto"/>
                <w:spacing w:val="-10"/>
                <w:sz w:val="24"/>
              </w:rPr>
              <w:t>2．</w:t>
            </w:r>
            <w:r>
              <w:rPr>
                <w:b/>
                <w:strike w:val="0"/>
                <w:dstrike w:val="0"/>
                <w:color w:val="auto"/>
                <w:spacing w:val="-10"/>
                <w:sz w:val="24"/>
                <w:highlight w:val="none"/>
              </w:rPr>
              <w:t>水污染防治措施</w:t>
            </w:r>
          </w:p>
          <w:p w14:paraId="5E014567">
            <w:pPr>
              <w:spacing w:line="360" w:lineRule="auto"/>
              <w:ind w:firstLine="480" w:firstLineChars="200"/>
              <w:rPr>
                <w:b w:val="0"/>
                <w:bCs w:val="0"/>
                <w:strike w:val="0"/>
                <w:dstrike w:val="0"/>
                <w:color w:val="auto"/>
                <w:sz w:val="24"/>
                <w:highlight w:val="none"/>
              </w:rPr>
            </w:pPr>
            <w:r>
              <w:rPr>
                <w:rFonts w:hint="eastAsia"/>
                <w:b w:val="0"/>
                <w:bCs w:val="0"/>
                <w:strike w:val="0"/>
                <w:dstrike w:val="0"/>
                <w:color w:val="auto"/>
                <w:sz w:val="24"/>
                <w:highlight w:val="none"/>
                <w:lang w:eastAsia="zh-CN"/>
              </w:rPr>
              <w:t>（</w:t>
            </w:r>
            <w:r>
              <w:rPr>
                <w:rFonts w:hint="eastAsia"/>
                <w:b w:val="0"/>
                <w:bCs w:val="0"/>
                <w:strike w:val="0"/>
                <w:dstrike w:val="0"/>
                <w:color w:val="auto"/>
                <w:sz w:val="24"/>
                <w:highlight w:val="none"/>
                <w:lang w:val="en-US" w:eastAsia="zh-CN"/>
              </w:rPr>
              <w:t>1</w:t>
            </w:r>
            <w:r>
              <w:rPr>
                <w:rFonts w:hint="eastAsia"/>
                <w:b w:val="0"/>
                <w:bCs w:val="0"/>
                <w:strike w:val="0"/>
                <w:dstrike w:val="0"/>
                <w:color w:val="auto"/>
                <w:sz w:val="24"/>
                <w:highlight w:val="none"/>
                <w:lang w:eastAsia="zh-CN"/>
              </w:rPr>
              <w:t>）</w:t>
            </w:r>
            <w:r>
              <w:rPr>
                <w:b w:val="0"/>
                <w:bCs w:val="0"/>
                <w:strike w:val="0"/>
                <w:dstrike w:val="0"/>
                <w:color w:val="auto"/>
                <w:sz w:val="24"/>
                <w:highlight w:val="none"/>
              </w:rPr>
              <w:t>废水</w:t>
            </w:r>
            <w:r>
              <w:rPr>
                <w:rFonts w:hint="eastAsia"/>
                <w:b w:val="0"/>
                <w:bCs w:val="0"/>
                <w:strike w:val="0"/>
                <w:dstrike w:val="0"/>
                <w:color w:val="auto"/>
                <w:sz w:val="24"/>
                <w:highlight w:val="none"/>
                <w:lang w:eastAsia="zh-CN"/>
              </w:rPr>
              <w:t>依托</w:t>
            </w:r>
            <w:r>
              <w:rPr>
                <w:b w:val="0"/>
                <w:bCs w:val="0"/>
                <w:strike w:val="0"/>
                <w:dstrike w:val="0"/>
                <w:color w:val="auto"/>
                <w:sz w:val="24"/>
                <w:highlight w:val="none"/>
              </w:rPr>
              <w:t>处理措施可行性分析</w:t>
            </w:r>
          </w:p>
          <w:p w14:paraId="33352F86">
            <w:pPr>
              <w:spacing w:line="360" w:lineRule="auto"/>
              <w:ind w:firstLine="480" w:firstLineChars="200"/>
              <w:rPr>
                <w:rFonts w:hint="eastAsia"/>
                <w:strike w:val="0"/>
                <w:dstrike w:val="0"/>
                <w:color w:val="auto"/>
                <w:sz w:val="24"/>
                <w:highlight w:val="none"/>
                <w:lang w:eastAsia="zh-CN"/>
              </w:rPr>
            </w:pPr>
            <w:r>
              <w:rPr>
                <w:strike w:val="0"/>
                <w:dstrike w:val="0"/>
                <w:color w:val="auto"/>
                <w:sz w:val="24"/>
                <w:highlight w:val="none"/>
              </w:rPr>
              <w:t>本项目废水主要为</w:t>
            </w:r>
            <w:r>
              <w:rPr>
                <w:rFonts w:hint="eastAsia" w:ascii="Times New Roman" w:hAnsi="Times New Roman" w:eastAsia="宋体" w:cs="Times New Roman"/>
                <w:strike w:val="0"/>
                <w:dstrike w:val="0"/>
                <w:color w:val="auto"/>
                <w:sz w:val="24"/>
                <w:highlight w:val="none"/>
              </w:rPr>
              <w:t>生活污水</w:t>
            </w:r>
            <w:r>
              <w:rPr>
                <w:rFonts w:hint="eastAsia" w:ascii="Times New Roman" w:hAnsi="Times New Roman" w:eastAsia="宋体" w:cs="Times New Roman"/>
                <w:strike w:val="0"/>
                <w:dstrike w:val="0"/>
                <w:color w:val="auto"/>
                <w:sz w:val="24"/>
                <w:highlight w:val="none"/>
                <w:lang w:eastAsia="zh-CN"/>
              </w:rPr>
              <w:t>、</w:t>
            </w:r>
            <w:r>
              <w:rPr>
                <w:rFonts w:hint="eastAsia" w:cs="Times New Roman"/>
                <w:strike w:val="0"/>
                <w:dstrike w:val="0"/>
                <w:color w:val="auto"/>
                <w:sz w:val="24"/>
                <w:highlight w:val="none"/>
                <w:lang w:eastAsia="zh-CN"/>
              </w:rPr>
              <w:t>高浓废水（</w:t>
            </w:r>
            <w:r>
              <w:rPr>
                <w:rFonts w:hint="eastAsia" w:ascii="Times New Roman" w:hAnsi="Times New Roman" w:eastAsia="宋体" w:cs="Times New Roman"/>
                <w:strike w:val="0"/>
                <w:dstrike w:val="0"/>
                <w:color w:val="auto"/>
                <w:sz w:val="24"/>
                <w:highlight w:val="none"/>
                <w:lang w:eastAsia="zh-CN"/>
              </w:rPr>
              <w:t>喷淋废水和三相分离后的废水（含沉降罐沥水）</w:t>
            </w:r>
            <w:r>
              <w:rPr>
                <w:rFonts w:hint="eastAsia" w:cs="Times New Roman"/>
                <w:strike w:val="0"/>
                <w:dstrike w:val="0"/>
                <w:color w:val="auto"/>
                <w:sz w:val="24"/>
                <w:highlight w:val="none"/>
                <w:lang w:eastAsia="zh-CN"/>
              </w:rPr>
              <w:t>）</w:t>
            </w:r>
            <w:r>
              <w:rPr>
                <w:rFonts w:hint="eastAsia" w:ascii="Times New Roman" w:hAnsi="Times New Roman" w:eastAsia="宋体" w:cs="Times New Roman"/>
                <w:strike w:val="0"/>
                <w:dstrike w:val="0"/>
                <w:color w:val="auto"/>
                <w:sz w:val="24"/>
                <w:highlight w:val="none"/>
                <w:lang w:eastAsia="zh-CN"/>
              </w:rPr>
              <w:t>和初期雨水</w:t>
            </w:r>
            <w:r>
              <w:rPr>
                <w:rFonts w:hint="eastAsia" w:cs="Times New Roman"/>
                <w:strike w:val="0"/>
                <w:dstrike w:val="0"/>
                <w:color w:val="auto"/>
                <w:sz w:val="24"/>
                <w:highlight w:val="none"/>
                <w:lang w:eastAsia="zh-CN"/>
              </w:rPr>
              <w:t>、循环冷却排水</w:t>
            </w:r>
            <w:r>
              <w:rPr>
                <w:rFonts w:ascii="Times New Roman" w:hAnsi="Times New Roman" w:eastAsia="宋体" w:cs="Times New Roman"/>
                <w:strike w:val="0"/>
                <w:dstrike w:val="0"/>
                <w:color w:val="auto"/>
                <w:sz w:val="24"/>
                <w:highlight w:val="none"/>
              </w:rPr>
              <w:t>，</w:t>
            </w:r>
            <w:r>
              <w:rPr>
                <w:rFonts w:hint="eastAsia"/>
                <w:strike w:val="0"/>
                <w:dstrike w:val="0"/>
                <w:color w:val="auto"/>
                <w:sz w:val="24"/>
                <w:highlight w:val="none"/>
                <w:lang w:eastAsia="zh-CN"/>
              </w:rPr>
              <w:t>考虑到通常情况下主要为三相分离后的废水，暴雨时期才会考虑到初期雨水，因此本项目废水进池中中器环保科技有限公司的高浓污水处理设施。利用</w:t>
            </w:r>
            <w:r>
              <w:rPr>
                <w:rFonts w:hint="eastAsia"/>
                <w:strike w:val="0"/>
                <w:dstrike w:val="0"/>
                <w:color w:val="auto"/>
                <w:sz w:val="24"/>
                <w:highlight w:val="none"/>
                <w:lang w:val="en-US" w:eastAsia="zh-CN"/>
              </w:rPr>
              <w:t>新建管道输送</w:t>
            </w:r>
            <w:r>
              <w:rPr>
                <w:rFonts w:hint="eastAsia"/>
                <w:strike w:val="0"/>
                <w:dstrike w:val="0"/>
                <w:color w:val="auto"/>
                <w:sz w:val="24"/>
                <w:highlight w:val="none"/>
                <w:lang w:eastAsia="zh-CN"/>
              </w:rPr>
              <w:t>至池州中器环保科技有限公司的高浓污水处理设施进行处理，处理后达到东至经开区污水处理厂接管限值及</w:t>
            </w:r>
            <w:r>
              <w:rPr>
                <w:strike w:val="0"/>
                <w:dstrike w:val="0"/>
                <w:color w:val="auto"/>
                <w:sz w:val="24"/>
                <w:highlight w:val="none"/>
              </w:rPr>
              <w:t>《污水综合排放标准》（GB8978-1996）表4</w:t>
            </w:r>
            <w:r>
              <w:rPr>
                <w:rFonts w:hint="eastAsia"/>
                <w:strike w:val="0"/>
                <w:dstrike w:val="0"/>
                <w:color w:val="auto"/>
                <w:sz w:val="24"/>
                <w:highlight w:val="none"/>
              </w:rPr>
              <w:t>三级标准</w:t>
            </w:r>
            <w:r>
              <w:rPr>
                <w:strike w:val="0"/>
                <w:dstrike w:val="0"/>
                <w:color w:val="auto"/>
                <w:sz w:val="24"/>
                <w:highlight w:val="none"/>
              </w:rPr>
              <w:t>排放限值要求</w:t>
            </w:r>
            <w:r>
              <w:rPr>
                <w:rFonts w:hint="eastAsia"/>
                <w:strike w:val="0"/>
                <w:dstrike w:val="0"/>
                <w:color w:val="auto"/>
                <w:sz w:val="24"/>
                <w:highlight w:val="none"/>
                <w:lang w:eastAsia="zh-CN"/>
              </w:rPr>
              <w:t>后达标排放。</w:t>
            </w:r>
          </w:p>
          <w:p w14:paraId="2792B672">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strike w:val="0"/>
                <w:dstrike w:val="0"/>
                <w:color w:val="auto"/>
                <w:sz w:val="24"/>
                <w:highlight w:val="none"/>
                <w:lang w:eastAsia="zh-CN"/>
              </w:rPr>
            </w:pPr>
            <w:r>
              <w:rPr>
                <w:rFonts w:hint="eastAsia"/>
                <w:strike w:val="0"/>
                <w:dstrike w:val="0"/>
                <w:color w:val="auto"/>
                <w:sz w:val="24"/>
                <w:highlight w:val="none"/>
                <w:lang w:eastAsia="zh-CN"/>
              </w:rPr>
              <w:t>①水质</w:t>
            </w:r>
          </w:p>
          <w:p w14:paraId="3D72D3C0">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strike w:val="0"/>
                <w:dstrike w:val="0"/>
                <w:color w:val="auto"/>
                <w:sz w:val="24"/>
                <w:highlight w:val="none"/>
                <w:lang w:eastAsia="zh-CN"/>
              </w:rPr>
            </w:pPr>
            <w:r>
              <w:rPr>
                <w:rFonts w:hint="eastAsia"/>
                <w:strike w:val="0"/>
                <w:dstrike w:val="0"/>
                <w:color w:val="auto"/>
                <w:sz w:val="24"/>
                <w:highlight w:val="none"/>
                <w:lang w:eastAsia="zh-CN"/>
              </w:rPr>
              <w:t>根据《池州中器环保科技有限公司废弃油脂资源化利用项目（一期）——年产 15 万吨生物柴油、年产 80 万吨工业级混合油、年产 5 万吨生物碳源项目环境影响报告书》，中器再生污水处理设施接受废水水质如下：</w:t>
            </w:r>
          </w:p>
          <w:p w14:paraId="12BA9BAE">
            <w:pPr>
              <w:jc w:val="center"/>
              <w:rPr>
                <w:rFonts w:hint="default"/>
                <w:b/>
                <w:bCs/>
                <w:strike w:val="0"/>
                <w:dstrike w:val="0"/>
                <w:color w:val="auto"/>
                <w:sz w:val="21"/>
                <w:szCs w:val="21"/>
                <w:highlight w:val="none"/>
                <w:lang w:val="en-US" w:eastAsia="zh-CN"/>
              </w:rPr>
            </w:pPr>
            <w:r>
              <w:rPr>
                <w:rFonts w:hint="eastAsia"/>
                <w:b/>
                <w:bCs/>
                <w:strike w:val="0"/>
                <w:dstrike w:val="0"/>
                <w:color w:val="auto"/>
                <w:sz w:val="21"/>
                <w:szCs w:val="21"/>
                <w:highlight w:val="none"/>
                <w:lang w:eastAsia="zh-CN"/>
              </w:rPr>
              <w:t>表</w:t>
            </w:r>
            <w:r>
              <w:rPr>
                <w:rFonts w:hint="eastAsia"/>
                <w:b/>
                <w:bCs/>
                <w:strike w:val="0"/>
                <w:dstrike w:val="0"/>
                <w:color w:val="auto"/>
                <w:sz w:val="21"/>
                <w:szCs w:val="21"/>
                <w:highlight w:val="none"/>
                <w:lang w:val="en-US" w:eastAsia="zh-CN"/>
              </w:rPr>
              <w:t>4-15 中器再生污水处理设施接收废水水质情况 mg/L</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1065"/>
              <w:gridCol w:w="1065"/>
              <w:gridCol w:w="1121"/>
              <w:gridCol w:w="1009"/>
              <w:gridCol w:w="1065"/>
              <w:gridCol w:w="1066"/>
              <w:gridCol w:w="1066"/>
            </w:tblGrid>
            <w:tr w14:paraId="685D5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2769329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1"/>
                      <w:szCs w:val="24"/>
                      <w:vertAlign w:val="baseline"/>
                      <w:lang w:eastAsia="zh-CN"/>
                    </w:rPr>
                  </w:pPr>
                  <w:r>
                    <w:rPr>
                      <w:rFonts w:hint="eastAsia" w:ascii="宋体" w:hAnsi="宋体" w:eastAsia="宋体" w:cs="宋体"/>
                      <w:b w:val="0"/>
                      <w:bCs w:val="0"/>
                      <w:color w:val="auto"/>
                      <w:sz w:val="21"/>
                      <w:szCs w:val="24"/>
                      <w:vertAlign w:val="baseline"/>
                      <w:lang w:eastAsia="zh-CN"/>
                    </w:rPr>
                    <w:t>指标</w:t>
                  </w:r>
                </w:p>
              </w:tc>
              <w:tc>
                <w:tcPr>
                  <w:tcW w:w="1065" w:type="dxa"/>
                  <w:vAlign w:val="center"/>
                </w:tcPr>
                <w:p w14:paraId="745648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4"/>
                      <w:vertAlign w:val="baseline"/>
                      <w:lang w:val="en-US" w:eastAsia="zh-CN"/>
                    </w:rPr>
                  </w:pPr>
                  <w:r>
                    <w:rPr>
                      <w:rFonts w:hint="eastAsia" w:ascii="宋体" w:hAnsi="宋体" w:eastAsia="宋体" w:cs="宋体"/>
                      <w:b w:val="0"/>
                      <w:bCs w:val="0"/>
                      <w:color w:val="auto"/>
                      <w:sz w:val="21"/>
                      <w:szCs w:val="24"/>
                      <w:vertAlign w:val="baseline"/>
                      <w:lang w:val="en-US" w:eastAsia="zh-CN"/>
                    </w:rPr>
                    <w:t>COD</w:t>
                  </w:r>
                </w:p>
              </w:tc>
              <w:tc>
                <w:tcPr>
                  <w:tcW w:w="1065" w:type="dxa"/>
                  <w:vAlign w:val="center"/>
                </w:tcPr>
                <w:p w14:paraId="161EAC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auto"/>
                      <w:sz w:val="21"/>
                      <w:szCs w:val="24"/>
                      <w:vertAlign w:val="baseline"/>
                      <w:lang w:val="en-US" w:eastAsia="zh-CN"/>
                    </w:rPr>
                  </w:pPr>
                  <w:r>
                    <w:rPr>
                      <w:rFonts w:hint="eastAsia" w:ascii="宋体" w:hAnsi="宋体" w:eastAsia="宋体" w:cs="宋体"/>
                      <w:b w:val="0"/>
                      <w:bCs w:val="0"/>
                      <w:color w:val="auto"/>
                      <w:sz w:val="21"/>
                      <w:szCs w:val="24"/>
                      <w:vertAlign w:val="baseline"/>
                      <w:lang w:val="en-US" w:eastAsia="zh-CN"/>
                    </w:rPr>
                    <w:t>BOD</w:t>
                  </w:r>
                  <w:r>
                    <w:rPr>
                      <w:rFonts w:hint="eastAsia" w:ascii="宋体" w:hAnsi="宋体" w:eastAsia="宋体" w:cs="宋体"/>
                      <w:b w:val="0"/>
                      <w:bCs w:val="0"/>
                      <w:color w:val="auto"/>
                      <w:sz w:val="21"/>
                      <w:szCs w:val="24"/>
                      <w:vertAlign w:val="subscript"/>
                      <w:lang w:val="en-US" w:eastAsia="zh-CN"/>
                    </w:rPr>
                    <w:t>5</w:t>
                  </w:r>
                </w:p>
              </w:tc>
              <w:tc>
                <w:tcPr>
                  <w:tcW w:w="1121" w:type="dxa"/>
                  <w:vAlign w:val="center"/>
                </w:tcPr>
                <w:p w14:paraId="049C56B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color w:val="auto"/>
                      <w:sz w:val="21"/>
                      <w:szCs w:val="24"/>
                      <w:highlight w:val="none"/>
                      <w:vertAlign w:val="baseline"/>
                      <w:lang w:eastAsia="zh-CN"/>
                    </w:rPr>
                  </w:pPr>
                  <w:r>
                    <w:rPr>
                      <w:rFonts w:hint="eastAsia"/>
                      <w:b w:val="0"/>
                      <w:bCs w:val="0"/>
                      <w:strike w:val="0"/>
                      <w:dstrike w:val="0"/>
                      <w:color w:val="auto"/>
                      <w:sz w:val="21"/>
                      <w:szCs w:val="21"/>
                      <w:highlight w:val="none"/>
                    </w:rPr>
                    <w:t>S</w:t>
                  </w:r>
                  <w:r>
                    <w:rPr>
                      <w:b w:val="0"/>
                      <w:bCs w:val="0"/>
                      <w:strike w:val="0"/>
                      <w:dstrike w:val="0"/>
                      <w:color w:val="auto"/>
                      <w:sz w:val="21"/>
                      <w:szCs w:val="21"/>
                      <w:highlight w:val="none"/>
                    </w:rPr>
                    <w:t>S</w:t>
                  </w:r>
                </w:p>
              </w:tc>
              <w:tc>
                <w:tcPr>
                  <w:tcW w:w="1009" w:type="dxa"/>
                  <w:vAlign w:val="center"/>
                </w:tcPr>
                <w:p w14:paraId="6023A2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color w:val="auto"/>
                      <w:sz w:val="21"/>
                      <w:szCs w:val="24"/>
                      <w:highlight w:val="none"/>
                      <w:vertAlign w:val="baseline"/>
                      <w:lang w:eastAsia="zh-CN"/>
                    </w:rPr>
                  </w:pPr>
                  <w:r>
                    <w:rPr>
                      <w:rFonts w:hint="eastAsia"/>
                      <w:b w:val="0"/>
                      <w:bCs w:val="0"/>
                      <w:strike w:val="0"/>
                      <w:dstrike w:val="0"/>
                      <w:color w:val="auto"/>
                      <w:sz w:val="21"/>
                      <w:szCs w:val="21"/>
                      <w:highlight w:val="none"/>
                    </w:rPr>
                    <w:t>氨氮</w:t>
                  </w:r>
                </w:p>
              </w:tc>
              <w:tc>
                <w:tcPr>
                  <w:tcW w:w="1065" w:type="dxa"/>
                  <w:vAlign w:val="center"/>
                </w:tcPr>
                <w:p w14:paraId="3650C0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color w:val="auto"/>
                      <w:sz w:val="21"/>
                      <w:szCs w:val="24"/>
                      <w:highlight w:val="none"/>
                      <w:vertAlign w:val="baseline"/>
                      <w:lang w:eastAsia="zh-CN"/>
                    </w:rPr>
                  </w:pPr>
                  <w:r>
                    <w:rPr>
                      <w:rFonts w:hint="eastAsia"/>
                      <w:b w:val="0"/>
                      <w:bCs w:val="0"/>
                      <w:strike w:val="0"/>
                      <w:dstrike w:val="0"/>
                      <w:color w:val="auto"/>
                      <w:sz w:val="21"/>
                      <w:szCs w:val="21"/>
                      <w:highlight w:val="none"/>
                      <w:lang w:eastAsia="zh-CN"/>
                    </w:rPr>
                    <w:t>动植物油</w:t>
                  </w:r>
                </w:p>
              </w:tc>
              <w:tc>
                <w:tcPr>
                  <w:tcW w:w="1066" w:type="dxa"/>
                  <w:vAlign w:val="center"/>
                </w:tcPr>
                <w:p w14:paraId="317D0BF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color w:val="auto"/>
                      <w:sz w:val="21"/>
                      <w:szCs w:val="24"/>
                      <w:highlight w:val="none"/>
                      <w:vertAlign w:val="baseline"/>
                      <w:lang w:eastAsia="zh-CN"/>
                    </w:rPr>
                  </w:pPr>
                  <w:r>
                    <w:rPr>
                      <w:rFonts w:hint="eastAsia"/>
                      <w:b w:val="0"/>
                      <w:bCs w:val="0"/>
                      <w:strike w:val="0"/>
                      <w:dstrike w:val="0"/>
                      <w:color w:val="auto"/>
                      <w:sz w:val="21"/>
                      <w:szCs w:val="21"/>
                      <w:highlight w:val="none"/>
                      <w:lang w:val="en-US" w:eastAsia="zh-CN"/>
                    </w:rPr>
                    <w:t>TP</w:t>
                  </w:r>
                </w:p>
              </w:tc>
              <w:tc>
                <w:tcPr>
                  <w:tcW w:w="1066" w:type="dxa"/>
                  <w:vAlign w:val="center"/>
                </w:tcPr>
                <w:p w14:paraId="3EDB89D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trike w:val="0"/>
                      <w:color w:val="auto"/>
                      <w:sz w:val="21"/>
                      <w:szCs w:val="24"/>
                      <w:highlight w:val="none"/>
                      <w:vertAlign w:val="baseline"/>
                      <w:lang w:eastAsia="zh-CN"/>
                    </w:rPr>
                  </w:pPr>
                  <w:r>
                    <w:rPr>
                      <w:rFonts w:hint="eastAsia"/>
                      <w:b w:val="0"/>
                      <w:bCs w:val="0"/>
                      <w:strike w:val="0"/>
                      <w:dstrike w:val="0"/>
                      <w:color w:val="auto"/>
                      <w:sz w:val="21"/>
                      <w:szCs w:val="21"/>
                      <w:highlight w:val="none"/>
                      <w:lang w:val="en-US" w:eastAsia="zh-CN"/>
                    </w:rPr>
                    <w:t>TN</w:t>
                  </w:r>
                </w:p>
              </w:tc>
            </w:tr>
            <w:tr w14:paraId="1A14A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vAlign w:val="center"/>
                </w:tcPr>
                <w:p w14:paraId="7E5B44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strike w:val="0"/>
                      <w:dstrike w:val="0"/>
                      <w:color w:val="auto"/>
                      <w:sz w:val="21"/>
                      <w:szCs w:val="21"/>
                      <w:highlight w:val="none"/>
                      <w:lang w:val="en-US" w:eastAsia="zh-CN"/>
                    </w:rPr>
                  </w:pPr>
                  <w:r>
                    <w:rPr>
                      <w:rFonts w:hint="eastAsia" w:ascii="Times New Roman" w:hAnsi="Times New Roman" w:eastAsia="宋体" w:cs="Times New Roman"/>
                      <w:b w:val="0"/>
                      <w:bCs w:val="0"/>
                      <w:strike w:val="0"/>
                      <w:dstrike w:val="0"/>
                      <w:color w:val="auto"/>
                      <w:sz w:val="21"/>
                      <w:szCs w:val="21"/>
                      <w:highlight w:val="none"/>
                      <w:lang w:val="en-US" w:eastAsia="zh-CN"/>
                    </w:rPr>
                    <w:t>高浓废水限值</w:t>
                  </w:r>
                </w:p>
              </w:tc>
              <w:tc>
                <w:tcPr>
                  <w:tcW w:w="1065" w:type="dxa"/>
                  <w:vAlign w:val="center"/>
                </w:tcPr>
                <w:p w14:paraId="124666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trike w:val="0"/>
                      <w:dstrike w:val="0"/>
                      <w:color w:val="auto"/>
                      <w:sz w:val="21"/>
                      <w:szCs w:val="21"/>
                      <w:highlight w:val="none"/>
                      <w:lang w:val="en-US" w:eastAsia="zh-CN"/>
                    </w:rPr>
                  </w:pPr>
                  <w:r>
                    <w:rPr>
                      <w:rFonts w:hint="eastAsia" w:ascii="Times New Roman" w:hAnsi="Times New Roman" w:eastAsia="宋体" w:cs="Times New Roman"/>
                      <w:b w:val="0"/>
                      <w:bCs w:val="0"/>
                      <w:strike w:val="0"/>
                      <w:dstrike w:val="0"/>
                      <w:color w:val="auto"/>
                      <w:sz w:val="21"/>
                      <w:szCs w:val="21"/>
                      <w:highlight w:val="none"/>
                      <w:lang w:val="en-US" w:eastAsia="zh-CN"/>
                    </w:rPr>
                    <w:t>45000</w:t>
                  </w:r>
                </w:p>
              </w:tc>
              <w:tc>
                <w:tcPr>
                  <w:tcW w:w="1065" w:type="dxa"/>
                  <w:vAlign w:val="center"/>
                </w:tcPr>
                <w:p w14:paraId="22F20B5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trike w:val="0"/>
                      <w:dstrike w:val="0"/>
                      <w:color w:val="auto"/>
                      <w:sz w:val="21"/>
                      <w:szCs w:val="21"/>
                      <w:highlight w:val="none"/>
                      <w:lang w:val="en-US" w:eastAsia="zh-CN"/>
                    </w:rPr>
                  </w:pPr>
                  <w:r>
                    <w:rPr>
                      <w:rFonts w:hint="eastAsia" w:ascii="Times New Roman" w:hAnsi="Times New Roman" w:eastAsia="宋体" w:cs="Times New Roman"/>
                      <w:b w:val="0"/>
                      <w:bCs w:val="0"/>
                      <w:strike w:val="0"/>
                      <w:dstrike w:val="0"/>
                      <w:color w:val="auto"/>
                      <w:sz w:val="21"/>
                      <w:szCs w:val="21"/>
                      <w:highlight w:val="none"/>
                      <w:lang w:val="en-US" w:eastAsia="zh-CN"/>
                    </w:rPr>
                    <w:t>21000</w:t>
                  </w:r>
                </w:p>
              </w:tc>
              <w:tc>
                <w:tcPr>
                  <w:tcW w:w="1121" w:type="dxa"/>
                  <w:vAlign w:val="center"/>
                </w:tcPr>
                <w:p w14:paraId="034583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trike w:val="0"/>
                      <w:dstrike w:val="0"/>
                      <w:color w:val="auto"/>
                      <w:sz w:val="21"/>
                      <w:szCs w:val="21"/>
                      <w:highlight w:val="none"/>
                      <w:lang w:val="en-US" w:eastAsia="zh-CN"/>
                    </w:rPr>
                  </w:pPr>
                  <w:r>
                    <w:rPr>
                      <w:rFonts w:hint="eastAsia" w:ascii="Times New Roman" w:hAnsi="Times New Roman" w:eastAsia="宋体" w:cs="Times New Roman"/>
                      <w:b w:val="0"/>
                      <w:bCs w:val="0"/>
                      <w:strike w:val="0"/>
                      <w:dstrike w:val="0"/>
                      <w:color w:val="auto"/>
                      <w:sz w:val="21"/>
                      <w:szCs w:val="21"/>
                      <w:highlight w:val="none"/>
                      <w:lang w:val="en-US" w:eastAsia="zh-CN"/>
                    </w:rPr>
                    <w:t>500</w:t>
                  </w:r>
                </w:p>
              </w:tc>
              <w:tc>
                <w:tcPr>
                  <w:tcW w:w="1009" w:type="dxa"/>
                  <w:vAlign w:val="center"/>
                </w:tcPr>
                <w:p w14:paraId="570C75A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trike w:val="0"/>
                      <w:dstrike w:val="0"/>
                      <w:color w:val="auto"/>
                      <w:sz w:val="21"/>
                      <w:szCs w:val="21"/>
                      <w:highlight w:val="none"/>
                      <w:lang w:val="en-US" w:eastAsia="zh-CN"/>
                    </w:rPr>
                  </w:pPr>
                  <w:r>
                    <w:rPr>
                      <w:rFonts w:hint="eastAsia" w:ascii="Times New Roman" w:hAnsi="Times New Roman" w:eastAsia="宋体" w:cs="Times New Roman"/>
                      <w:b w:val="0"/>
                      <w:bCs w:val="0"/>
                      <w:strike w:val="0"/>
                      <w:dstrike w:val="0"/>
                      <w:color w:val="auto"/>
                      <w:sz w:val="21"/>
                      <w:szCs w:val="21"/>
                      <w:highlight w:val="none"/>
                      <w:lang w:val="en-US" w:eastAsia="zh-CN"/>
                    </w:rPr>
                    <w:t>75</w:t>
                  </w:r>
                </w:p>
              </w:tc>
              <w:tc>
                <w:tcPr>
                  <w:tcW w:w="1065" w:type="dxa"/>
                  <w:vAlign w:val="center"/>
                </w:tcPr>
                <w:p w14:paraId="1030F8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trike w:val="0"/>
                      <w:dstrike w:val="0"/>
                      <w:color w:val="auto"/>
                      <w:sz w:val="21"/>
                      <w:szCs w:val="21"/>
                      <w:highlight w:val="none"/>
                      <w:lang w:val="en-US" w:eastAsia="zh-CN"/>
                    </w:rPr>
                  </w:pPr>
                  <w:r>
                    <w:rPr>
                      <w:rFonts w:hint="eastAsia" w:ascii="Times New Roman" w:hAnsi="Times New Roman" w:eastAsia="宋体" w:cs="Times New Roman"/>
                      <w:b w:val="0"/>
                      <w:bCs w:val="0"/>
                      <w:strike w:val="0"/>
                      <w:dstrike w:val="0"/>
                      <w:color w:val="auto"/>
                      <w:sz w:val="21"/>
                      <w:szCs w:val="21"/>
                      <w:highlight w:val="none"/>
                      <w:lang w:val="en-US" w:eastAsia="zh-CN"/>
                    </w:rPr>
                    <w:t>7300</w:t>
                  </w:r>
                </w:p>
              </w:tc>
              <w:tc>
                <w:tcPr>
                  <w:tcW w:w="1066" w:type="dxa"/>
                  <w:vAlign w:val="center"/>
                </w:tcPr>
                <w:p w14:paraId="296800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trike w:val="0"/>
                      <w:dstrike w:val="0"/>
                      <w:color w:val="auto"/>
                      <w:sz w:val="21"/>
                      <w:szCs w:val="21"/>
                      <w:highlight w:val="none"/>
                      <w:lang w:val="en-US" w:eastAsia="zh-CN"/>
                    </w:rPr>
                  </w:pPr>
                  <w:r>
                    <w:rPr>
                      <w:rFonts w:hint="eastAsia" w:ascii="Times New Roman" w:hAnsi="Times New Roman" w:eastAsia="宋体" w:cs="Times New Roman"/>
                      <w:b w:val="0"/>
                      <w:bCs w:val="0"/>
                      <w:strike w:val="0"/>
                      <w:dstrike w:val="0"/>
                      <w:color w:val="auto"/>
                      <w:sz w:val="21"/>
                      <w:szCs w:val="21"/>
                      <w:highlight w:val="none"/>
                      <w:lang w:val="en-US" w:eastAsia="zh-CN"/>
                    </w:rPr>
                    <w:t>96</w:t>
                  </w:r>
                </w:p>
              </w:tc>
              <w:tc>
                <w:tcPr>
                  <w:tcW w:w="1066" w:type="dxa"/>
                  <w:vAlign w:val="center"/>
                </w:tcPr>
                <w:p w14:paraId="3AF4E6C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strike w:val="0"/>
                      <w:dstrike w:val="0"/>
                      <w:color w:val="auto"/>
                      <w:sz w:val="21"/>
                      <w:szCs w:val="21"/>
                      <w:highlight w:val="none"/>
                      <w:lang w:val="en-US" w:eastAsia="zh-CN"/>
                    </w:rPr>
                  </w:pPr>
                  <w:r>
                    <w:rPr>
                      <w:rFonts w:hint="eastAsia" w:ascii="Times New Roman" w:hAnsi="Times New Roman" w:eastAsia="宋体" w:cs="Times New Roman"/>
                      <w:b w:val="0"/>
                      <w:bCs w:val="0"/>
                      <w:strike w:val="0"/>
                      <w:dstrike w:val="0"/>
                      <w:color w:val="auto"/>
                      <w:sz w:val="21"/>
                      <w:szCs w:val="21"/>
                      <w:highlight w:val="none"/>
                      <w:lang w:val="en-US" w:eastAsia="zh-CN"/>
                    </w:rPr>
                    <w:t>185</w:t>
                  </w:r>
                </w:p>
              </w:tc>
            </w:tr>
          </w:tbl>
          <w:p w14:paraId="00A8B28A">
            <w:pPr>
              <w:pStyle w:val="14"/>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jc w:val="left"/>
              <w:textAlignment w:val="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根据表4-1</w:t>
            </w:r>
            <w:r>
              <w:rPr>
                <w:rFonts w:hint="eastAsia" w:ascii="宋体" w:hAnsi="宋体" w:cs="宋体"/>
                <w:color w:val="auto"/>
                <w:sz w:val="24"/>
                <w:szCs w:val="28"/>
                <w:lang w:val="en-US" w:eastAsia="zh-CN"/>
              </w:rPr>
              <w:t>3</w:t>
            </w:r>
            <w:r>
              <w:rPr>
                <w:rFonts w:hint="eastAsia" w:ascii="宋体" w:hAnsi="宋体" w:eastAsia="宋体" w:cs="宋体"/>
                <w:color w:val="auto"/>
                <w:sz w:val="24"/>
                <w:szCs w:val="28"/>
                <w:lang w:val="en-US" w:eastAsia="zh-CN"/>
              </w:rPr>
              <w:t>，本项目废水浓度满足表4-14中所示指标限值，因此从水质角度来看，本项目依托可行。</w:t>
            </w:r>
          </w:p>
          <w:p w14:paraId="7742A63B">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strike w:val="0"/>
                <w:dstrike w:val="0"/>
                <w:color w:val="auto"/>
                <w:sz w:val="24"/>
                <w:highlight w:val="none"/>
                <w:lang w:eastAsia="zh-CN"/>
              </w:rPr>
            </w:pPr>
            <w:r>
              <w:rPr>
                <w:rFonts w:hint="eastAsia"/>
                <w:strike w:val="0"/>
                <w:dstrike w:val="0"/>
                <w:color w:val="auto"/>
                <w:sz w:val="24"/>
                <w:highlight w:val="none"/>
                <w:lang w:eastAsia="zh-CN"/>
              </w:rPr>
              <w:t>②工艺</w:t>
            </w:r>
          </w:p>
          <w:p w14:paraId="2494F1D5">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jc w:val="left"/>
              <w:textAlignment w:val="auto"/>
              <w:rPr>
                <w:rFonts w:hint="eastAsia"/>
                <w:color w:val="auto"/>
                <w:lang w:eastAsia="zh-CN"/>
              </w:rPr>
            </w:pPr>
            <w:r>
              <w:rPr>
                <w:rFonts w:hint="eastAsia"/>
                <w:strike w:val="0"/>
                <w:dstrike w:val="0"/>
                <w:color w:val="auto"/>
                <w:sz w:val="24"/>
                <w:highlight w:val="none"/>
                <w:lang w:eastAsia="zh-CN"/>
              </w:rPr>
              <w:t>中器环保的废水处理工艺为：</w:t>
            </w:r>
            <w:r>
              <w:rPr>
                <w:rFonts w:hint="eastAsia"/>
                <w:color w:val="auto"/>
                <w:lang w:eastAsia="zh-CN"/>
              </w:rPr>
              <w:drawing>
                <wp:inline distT="0" distB="0" distL="114300" distR="114300">
                  <wp:extent cx="5430520" cy="6444615"/>
                  <wp:effectExtent l="0" t="0" r="17780" b="13335"/>
                  <wp:docPr id="3" name="图片 3" descr="2ab550e224a19fbcb3002f8c5bd07c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ab550e224a19fbcb3002f8c5bd07cc4"/>
                          <pic:cNvPicPr>
                            <a:picLocks noChangeAspect="1"/>
                          </pic:cNvPicPr>
                        </pic:nvPicPr>
                        <pic:blipFill>
                          <a:blip r:embed="rId26"/>
                          <a:stretch>
                            <a:fillRect/>
                          </a:stretch>
                        </pic:blipFill>
                        <pic:spPr>
                          <a:xfrm>
                            <a:off x="0" y="0"/>
                            <a:ext cx="5430520" cy="6444615"/>
                          </a:xfrm>
                          <a:prstGeom prst="rect">
                            <a:avLst/>
                          </a:prstGeom>
                        </pic:spPr>
                      </pic:pic>
                    </a:graphicData>
                  </a:graphic>
                </wp:inline>
              </w:drawing>
            </w:r>
          </w:p>
          <w:p w14:paraId="05B26E85">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jc w:val="center"/>
              <w:textAlignment w:val="auto"/>
              <w:rPr>
                <w:rFonts w:hint="default"/>
                <w:b/>
                <w:bCs/>
                <w:strike w:val="0"/>
                <w:dstrike w:val="0"/>
                <w:color w:val="auto"/>
                <w:sz w:val="24"/>
                <w:highlight w:val="none"/>
                <w:lang w:val="en-US" w:eastAsia="zh-CN"/>
              </w:rPr>
            </w:pPr>
            <w:r>
              <w:rPr>
                <w:rFonts w:hint="eastAsia"/>
                <w:b/>
                <w:bCs/>
                <w:strike w:val="0"/>
                <w:dstrike w:val="0"/>
                <w:color w:val="auto"/>
                <w:sz w:val="24"/>
                <w:highlight w:val="none"/>
                <w:lang w:eastAsia="zh-CN"/>
              </w:rPr>
              <w:t>图</w:t>
            </w:r>
            <w:r>
              <w:rPr>
                <w:rFonts w:hint="eastAsia"/>
                <w:b/>
                <w:bCs/>
                <w:strike w:val="0"/>
                <w:dstrike w:val="0"/>
                <w:color w:val="auto"/>
                <w:sz w:val="24"/>
                <w:highlight w:val="none"/>
                <w:lang w:val="en-US" w:eastAsia="zh-CN"/>
              </w:rPr>
              <w:t>4-4 中器再生污水处理工艺图</w:t>
            </w:r>
          </w:p>
          <w:p w14:paraId="7A293CCD">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strike w:val="0"/>
                <w:dstrike w:val="0"/>
                <w:color w:val="auto"/>
                <w:sz w:val="24"/>
                <w:highlight w:val="none"/>
                <w:lang w:eastAsia="zh-CN"/>
              </w:rPr>
            </w:pPr>
            <w:r>
              <w:rPr>
                <w:rFonts w:hint="eastAsia"/>
                <w:strike w:val="0"/>
                <w:dstrike w:val="0"/>
                <w:color w:val="auto"/>
                <w:sz w:val="24"/>
                <w:highlight w:val="none"/>
                <w:lang w:eastAsia="zh-CN"/>
              </w:rPr>
              <w:t>根据《排污许可证申请与核发技术规范环境卫生管理业》（HJ 1106—2020）附录A中关于废水处理技术与本项目处理技术对比如下：</w:t>
            </w:r>
          </w:p>
          <w:p w14:paraId="6A5D330F">
            <w:pPr>
              <w:spacing w:line="240" w:lineRule="auto"/>
              <w:jc w:val="center"/>
              <w:rPr>
                <w:rFonts w:hint="default"/>
                <w:b/>
                <w:bCs/>
                <w:color w:val="auto"/>
                <w:sz w:val="21"/>
                <w:szCs w:val="16"/>
                <w:lang w:val="en-US" w:eastAsia="zh-CN"/>
              </w:rPr>
            </w:pPr>
            <w:r>
              <w:rPr>
                <w:rFonts w:hint="eastAsia"/>
                <w:b/>
                <w:bCs/>
                <w:color w:val="auto"/>
                <w:lang w:val="en-US" w:eastAsia="zh-CN"/>
              </w:rPr>
              <w:t>表4-16</w:t>
            </w:r>
            <w:r>
              <w:rPr>
                <w:rFonts w:hint="eastAsia"/>
                <w:b/>
                <w:bCs/>
                <w:color w:val="auto"/>
                <w:sz w:val="21"/>
                <w:szCs w:val="16"/>
                <w:lang w:val="en-US" w:eastAsia="zh-CN"/>
              </w:rPr>
              <w:t xml:space="preserve"> 与《排污许可证申请与核发技术规范 环境卫生管理业》（HJ 1106—2020）推荐技术符合性分析</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3"/>
              <w:gridCol w:w="3408"/>
              <w:gridCol w:w="2094"/>
              <w:gridCol w:w="1314"/>
            </w:tblGrid>
            <w:tr w14:paraId="4B82A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03" w:type="dxa"/>
                  <w:noWrap w:val="0"/>
                  <w:vAlign w:val="center"/>
                </w:tcPr>
                <w:p w14:paraId="75A0455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废水类别</w:t>
                  </w:r>
                </w:p>
              </w:tc>
              <w:tc>
                <w:tcPr>
                  <w:tcW w:w="3408" w:type="dxa"/>
                  <w:noWrap w:val="0"/>
                  <w:vAlign w:val="center"/>
                </w:tcPr>
                <w:p w14:paraId="04CEA7E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规范可行技术</w:t>
                  </w:r>
                </w:p>
              </w:tc>
              <w:tc>
                <w:tcPr>
                  <w:tcW w:w="2094" w:type="dxa"/>
                  <w:noWrap w:val="0"/>
                  <w:vAlign w:val="center"/>
                </w:tcPr>
                <w:p w14:paraId="0B9A2A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依托</w:t>
                  </w:r>
                  <w:r>
                    <w:rPr>
                      <w:rFonts w:hint="eastAsia" w:ascii="宋体" w:hAnsi="宋体" w:cs="宋体"/>
                      <w:color w:val="auto"/>
                      <w:sz w:val="21"/>
                      <w:szCs w:val="21"/>
                      <w:vertAlign w:val="baseline"/>
                      <w:lang w:val="en-US" w:eastAsia="zh-CN"/>
                    </w:rPr>
                    <w:t>工程</w:t>
                  </w:r>
                  <w:r>
                    <w:rPr>
                      <w:rFonts w:hint="eastAsia" w:ascii="宋体" w:hAnsi="宋体" w:eastAsia="宋体" w:cs="宋体"/>
                      <w:color w:val="auto"/>
                      <w:sz w:val="21"/>
                      <w:szCs w:val="21"/>
                      <w:vertAlign w:val="baseline"/>
                      <w:lang w:val="en-US" w:eastAsia="zh-CN"/>
                    </w:rPr>
                    <w:t>处理技术</w:t>
                  </w:r>
                </w:p>
              </w:tc>
              <w:tc>
                <w:tcPr>
                  <w:tcW w:w="1314" w:type="dxa"/>
                  <w:noWrap w:val="0"/>
                  <w:vAlign w:val="center"/>
                </w:tcPr>
                <w:p w14:paraId="59733DA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符合</w:t>
                  </w:r>
                </w:p>
              </w:tc>
            </w:tr>
            <w:tr w14:paraId="221EB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03" w:type="dxa"/>
                  <w:noWrap w:val="0"/>
                  <w:vAlign w:val="center"/>
                </w:tcPr>
                <w:p w14:paraId="136D8F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三相分离后的废液</w:t>
                  </w:r>
                </w:p>
              </w:tc>
              <w:tc>
                <w:tcPr>
                  <w:tcW w:w="3408" w:type="dxa"/>
                  <w:noWrap w:val="0"/>
                  <w:vAlign w:val="center"/>
                </w:tcPr>
                <w:p w14:paraId="16DF58DA">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预处理（间接排放）；间接处理+生物处理。预处理</w:t>
                  </w:r>
                  <w:r>
                    <w:rPr>
                      <w:rFonts w:hint="eastAsia" w:ascii="宋体" w:hAnsi="宋体" w:eastAsia="宋体" w:cs="宋体"/>
                      <w:color w:val="auto"/>
                      <w:sz w:val="21"/>
                      <w:szCs w:val="21"/>
                      <w:vertAlign w:val="baseline"/>
                      <w:lang w:val="en-US" w:eastAsia="zh-CN"/>
                    </w:rPr>
                    <w:t>：水解酸化、混凝沉淀、砂滤等；</w:t>
                  </w:r>
                </w:p>
                <w:p w14:paraId="5B5232DE">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生物处理</w:t>
                  </w:r>
                  <w:r>
                    <w:rPr>
                      <w:rFonts w:hint="eastAsia" w:ascii="宋体" w:hAnsi="宋体" w:eastAsia="宋体" w:cs="宋体"/>
                      <w:color w:val="auto"/>
                      <w:sz w:val="21"/>
                      <w:szCs w:val="21"/>
                      <w:vertAlign w:val="baseline"/>
                      <w:lang w:val="en-US" w:eastAsia="zh-CN"/>
                    </w:rPr>
                    <w:t>：氧化沟、纯氧曝气反应器、膜生物反应器、序批式生物反应器、生物滤池、接触氧化法、生物转盘法、上流式厌氧污泥床法等</w:t>
                  </w:r>
                </w:p>
                <w:p w14:paraId="3736DE27">
                  <w:pPr>
                    <w:pStyle w:val="14"/>
                    <w:keepNext w:val="0"/>
                    <w:keepLines w:val="0"/>
                    <w:pageBreakBefore w:val="0"/>
                    <w:kinsoku/>
                    <w:wordWrap/>
                    <w:overflowPunct/>
                    <w:topLinePunct w:val="0"/>
                    <w:autoSpaceDE/>
                    <w:autoSpaceDN/>
                    <w:bidi w:val="0"/>
                    <w:snapToGrid w:val="0"/>
                    <w:spacing w:before="0" w:after="0" w:line="240" w:lineRule="auto"/>
                    <w:ind w:right="0"/>
                    <w:textAlignment w:val="auto"/>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深度处理：</w:t>
                  </w:r>
                  <w:r>
                    <w:rPr>
                      <w:rFonts w:hint="eastAsia" w:ascii="宋体" w:hAnsi="宋体" w:eastAsia="宋体" w:cs="宋体"/>
                      <w:b w:val="0"/>
                      <w:bCs w:val="0"/>
                      <w:color w:val="auto"/>
                      <w:sz w:val="21"/>
                      <w:szCs w:val="21"/>
                      <w:vertAlign w:val="baseline"/>
                      <w:lang w:val="en-US" w:eastAsia="zh-CN"/>
                    </w:rPr>
                    <w:t>纳滤、反渗透等膜分离法，吸附过滤，混凝沉淀，高级化学氧化等</w:t>
                  </w:r>
                </w:p>
                <w:p w14:paraId="262F9EC5">
                  <w:pPr>
                    <w:pStyle w:val="14"/>
                    <w:keepNext w:val="0"/>
                    <w:keepLines w:val="0"/>
                    <w:pageBreakBefore w:val="0"/>
                    <w:kinsoku/>
                    <w:wordWrap/>
                    <w:overflowPunct/>
                    <w:topLinePunct w:val="0"/>
                    <w:autoSpaceDE/>
                    <w:autoSpaceDN/>
                    <w:bidi w:val="0"/>
                    <w:snapToGrid w:val="0"/>
                    <w:spacing w:before="0" w:after="0" w:line="240" w:lineRule="auto"/>
                    <w:ind w:right="0"/>
                    <w:textAlignment w:val="auto"/>
                    <w:rPr>
                      <w:rFonts w:hint="eastAsia"/>
                      <w:color w:val="auto"/>
                      <w:lang w:val="en-US" w:eastAsia="zh-CN"/>
                    </w:rPr>
                  </w:pPr>
                  <w:r>
                    <w:rPr>
                      <w:rFonts w:hint="eastAsia" w:ascii="宋体" w:hAnsi="宋体" w:eastAsia="宋体" w:cs="宋体"/>
                      <w:b/>
                      <w:bCs/>
                      <w:color w:val="auto"/>
                      <w:sz w:val="21"/>
                      <w:szCs w:val="21"/>
                      <w:vertAlign w:val="baseline"/>
                      <w:lang w:val="en-US" w:eastAsia="zh-CN"/>
                    </w:rPr>
                    <w:t>消毒：</w:t>
                  </w:r>
                  <w:r>
                    <w:rPr>
                      <w:rFonts w:hint="eastAsia" w:ascii="宋体" w:hAnsi="宋体" w:eastAsia="宋体" w:cs="宋体"/>
                      <w:b w:val="0"/>
                      <w:bCs w:val="0"/>
                      <w:color w:val="auto"/>
                      <w:sz w:val="21"/>
                      <w:szCs w:val="21"/>
                      <w:vertAlign w:val="baseline"/>
                      <w:lang w:val="en-US" w:eastAsia="zh-CN"/>
                    </w:rPr>
                    <w:t>加氯法、紫外线消毒法</w:t>
                  </w:r>
                </w:p>
              </w:tc>
              <w:tc>
                <w:tcPr>
                  <w:tcW w:w="2094" w:type="dxa"/>
                  <w:noWrap w:val="0"/>
                  <w:vAlign w:val="center"/>
                </w:tcPr>
                <w:p w14:paraId="391CB98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宋体" w:hAnsi="宋体" w:eastAsia="宋体" w:cs="宋体"/>
                      <w:color w:val="auto"/>
                      <w:sz w:val="21"/>
                      <w:szCs w:val="21"/>
                      <w:vertAlign w:val="baseline"/>
                      <w:lang w:val="en-US" w:eastAsia="zh-CN"/>
                    </w:rPr>
                  </w:pPr>
                  <w:r>
                    <w:rPr>
                      <w:rFonts w:hint="default" w:ascii="宋体" w:hAnsi="宋体" w:eastAsia="宋体" w:cs="宋体"/>
                      <w:color w:val="auto"/>
                      <w:sz w:val="21"/>
                      <w:szCs w:val="21"/>
                      <w:vertAlign w:val="baseline"/>
                      <w:lang w:val="en-US" w:eastAsia="zh-CN"/>
                    </w:rPr>
                    <w:t>高浓度废水“隔油+涡凹</w:t>
                  </w:r>
                </w:p>
                <w:p w14:paraId="6A04B4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宋体" w:hAnsi="宋体" w:eastAsia="宋体" w:cs="宋体"/>
                      <w:color w:val="auto"/>
                      <w:sz w:val="21"/>
                      <w:szCs w:val="21"/>
                      <w:vertAlign w:val="baseline"/>
                      <w:lang w:val="en-US" w:eastAsia="zh-CN"/>
                    </w:rPr>
                  </w:pPr>
                  <w:r>
                    <w:rPr>
                      <w:rFonts w:hint="default" w:ascii="宋体" w:hAnsi="宋体" w:eastAsia="宋体" w:cs="宋体"/>
                      <w:color w:val="auto"/>
                      <w:sz w:val="21"/>
                      <w:szCs w:val="21"/>
                      <w:vertAlign w:val="baseline"/>
                      <w:lang w:val="en-US" w:eastAsia="zh-CN"/>
                    </w:rPr>
                    <w:t>气浮+两级溶气气浮+水解酸化</w:t>
                  </w:r>
                </w:p>
                <w:p w14:paraId="31D10A9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宋体" w:hAnsi="宋体" w:eastAsia="宋体" w:cs="宋体"/>
                      <w:color w:val="auto"/>
                      <w:sz w:val="21"/>
                      <w:szCs w:val="21"/>
                      <w:vertAlign w:val="baseline"/>
                      <w:lang w:val="en-US" w:eastAsia="zh-CN"/>
                    </w:rPr>
                  </w:pPr>
                  <w:r>
                    <w:rPr>
                      <w:rFonts w:hint="default" w:ascii="宋体" w:hAnsi="宋体" w:eastAsia="宋体" w:cs="宋体"/>
                      <w:color w:val="auto"/>
                      <w:sz w:val="21"/>
                      <w:szCs w:val="21"/>
                      <w:vertAlign w:val="baseline"/>
                      <w:lang w:val="en-US" w:eastAsia="zh-CN"/>
                    </w:rPr>
                    <w:t>+UASB+沉淀”预处理</w:t>
                  </w:r>
                  <w:r>
                    <w:rPr>
                      <w:rFonts w:hint="eastAsia" w:ascii="宋体" w:hAnsi="宋体" w:eastAsia="宋体" w:cs="宋体"/>
                      <w:color w:val="auto"/>
                      <w:sz w:val="21"/>
                      <w:szCs w:val="21"/>
                      <w:vertAlign w:val="baseline"/>
                      <w:lang w:val="en-US" w:eastAsia="zh-CN"/>
                    </w:rPr>
                    <w:t>；</w:t>
                  </w:r>
                  <w:r>
                    <w:rPr>
                      <w:rFonts w:hint="default" w:ascii="宋体" w:hAnsi="宋体" w:eastAsia="宋体" w:cs="宋体"/>
                      <w:color w:val="auto"/>
                      <w:sz w:val="21"/>
                      <w:szCs w:val="21"/>
                      <w:vertAlign w:val="baseline"/>
                      <w:lang w:val="en-US" w:eastAsia="zh-CN"/>
                    </w:rPr>
                    <w:t>生化处理工艺为多级 A/O+絮凝</w:t>
                  </w:r>
                </w:p>
                <w:p w14:paraId="3BD8A88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color w:val="auto"/>
                      <w:lang w:val="en-US" w:eastAsia="zh-CN"/>
                    </w:rPr>
                  </w:pPr>
                  <w:r>
                    <w:rPr>
                      <w:rFonts w:hint="default" w:ascii="宋体" w:hAnsi="宋体" w:eastAsia="宋体" w:cs="宋体"/>
                      <w:color w:val="auto"/>
                      <w:sz w:val="21"/>
                      <w:szCs w:val="21"/>
                      <w:vertAlign w:val="baseline"/>
                      <w:lang w:val="en-US" w:eastAsia="zh-CN"/>
                    </w:rPr>
                    <w:t>沉淀处理</w:t>
                  </w:r>
                </w:p>
              </w:tc>
              <w:tc>
                <w:tcPr>
                  <w:tcW w:w="1314" w:type="dxa"/>
                  <w:noWrap w:val="0"/>
                  <w:vAlign w:val="center"/>
                </w:tcPr>
                <w:p w14:paraId="54CCD1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是</w:t>
                  </w:r>
                </w:p>
              </w:tc>
            </w:tr>
          </w:tbl>
          <w:p w14:paraId="3A011235">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strike w:val="0"/>
                <w:dstrike w:val="0"/>
                <w:color w:val="auto"/>
                <w:sz w:val="24"/>
                <w:highlight w:val="yellow"/>
                <w:lang w:eastAsia="zh-CN"/>
              </w:rPr>
            </w:pPr>
            <w:r>
              <w:rPr>
                <w:rFonts w:hint="eastAsia"/>
                <w:strike w:val="0"/>
                <w:dstrike w:val="0"/>
                <w:color w:val="auto"/>
                <w:sz w:val="24"/>
                <w:highlight w:val="none"/>
                <w:lang w:eastAsia="zh-CN"/>
              </w:rPr>
              <w:t>从上表可知，本项目依托的废水处理设施处理工艺符合</w:t>
            </w:r>
            <w:r>
              <w:rPr>
                <w:rFonts w:hint="eastAsia"/>
                <w:b/>
                <w:bCs/>
                <w:color w:val="auto"/>
                <w:sz w:val="24"/>
                <w:szCs w:val="20"/>
                <w:lang w:val="en-US" w:eastAsia="zh-CN"/>
              </w:rPr>
              <w:t>《排污许可证申请与核发技术规范 环境卫生管理业》（HJ 1106—2020）中废水处理的推荐技术。</w:t>
            </w:r>
          </w:p>
          <w:p w14:paraId="3DA042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32"/>
                <w:lang w:val="en-US" w:eastAsia="zh-CN"/>
              </w:rPr>
            </w:pPr>
            <w:r>
              <w:rPr>
                <w:rFonts w:hint="eastAsia"/>
                <w:color w:val="auto"/>
                <w:sz w:val="24"/>
                <w:szCs w:val="32"/>
                <w:lang w:eastAsia="zh-CN"/>
              </w:rPr>
              <w:t>③</w:t>
            </w:r>
            <w:r>
              <w:rPr>
                <w:rFonts w:hint="eastAsia"/>
                <w:color w:val="auto"/>
                <w:sz w:val="24"/>
                <w:szCs w:val="32"/>
                <w:lang w:val="en-US" w:eastAsia="zh-CN"/>
              </w:rPr>
              <w:t xml:space="preserve"> 水量</w:t>
            </w:r>
          </w:p>
          <w:p w14:paraId="34335F06">
            <w:pPr>
              <w:keepNext w:val="0"/>
              <w:keepLines w:val="0"/>
              <w:pageBreakBefore w:val="0"/>
              <w:widowControl/>
              <w:suppressLineNumbers w:val="0"/>
              <w:kinsoku/>
              <w:wordWrap/>
              <w:overflowPunct/>
              <w:topLinePunct w:val="0"/>
              <w:autoSpaceDE/>
              <w:autoSpaceDN/>
              <w:bidi w:val="0"/>
              <w:adjustRightInd/>
              <w:spacing w:line="360" w:lineRule="auto"/>
              <w:ind w:right="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strike w:val="0"/>
                <w:dstrike w:val="0"/>
                <w:color w:val="auto"/>
                <w:sz w:val="24"/>
                <w:szCs w:val="24"/>
                <w:highlight w:val="none"/>
                <w:lang w:eastAsia="zh-CN"/>
              </w:rPr>
              <w:t>根据《池州中器环保科技有限公司废弃油脂资源化利用项目（一期）——年产 15 万吨生物柴油、年产 80 万吨工业级混合油、年产 5 万吨生物碳源项目环境影响报告书》，中器再生污水处理设施</w:t>
            </w:r>
            <w:r>
              <w:rPr>
                <w:rFonts w:hint="eastAsia" w:ascii="宋体" w:hAnsi="宋体" w:eastAsia="宋体" w:cs="宋体"/>
                <w:color w:val="auto"/>
                <w:kern w:val="0"/>
                <w:sz w:val="24"/>
                <w:szCs w:val="24"/>
                <w:highlight w:val="none"/>
                <w:lang w:val="en-US" w:eastAsia="zh-CN" w:bidi="ar"/>
              </w:rPr>
              <w:t xml:space="preserve">设计规模为 </w:t>
            </w:r>
            <w:r>
              <w:rPr>
                <w:rFonts w:hint="default" w:ascii="Times New Roman" w:hAnsi="Times New Roman" w:eastAsia="宋体" w:cs="Times New Roman"/>
                <w:color w:val="auto"/>
                <w:kern w:val="0"/>
                <w:sz w:val="24"/>
                <w:szCs w:val="24"/>
                <w:highlight w:val="none"/>
                <w:lang w:val="en-US" w:eastAsia="zh-CN" w:bidi="ar"/>
              </w:rPr>
              <w:t>1200m</w:t>
            </w:r>
            <w:r>
              <w:rPr>
                <w:rFonts w:hint="default" w:ascii="Times New Roman" w:hAnsi="Times New Roman" w:eastAsia="宋体" w:cs="Times New Roman"/>
                <w:color w:val="auto"/>
                <w:kern w:val="0"/>
                <w:sz w:val="24"/>
                <w:szCs w:val="24"/>
                <w:highlight w:val="none"/>
                <w:vertAlign w:val="superscript"/>
                <w:lang w:val="en-US" w:eastAsia="zh-CN" w:bidi="ar"/>
              </w:rPr>
              <w:t xml:space="preserve">3 </w:t>
            </w:r>
            <w:r>
              <w:rPr>
                <w:rFonts w:hint="default" w:ascii="Times New Roman" w:hAnsi="Times New Roman" w:eastAsia="宋体" w:cs="Times New Roman"/>
                <w:color w:val="auto"/>
                <w:kern w:val="0"/>
                <w:sz w:val="24"/>
                <w:szCs w:val="24"/>
                <w:highlight w:val="none"/>
                <w:lang w:val="en-US" w:eastAsia="zh-CN" w:bidi="ar"/>
              </w:rPr>
              <w:t>/d</w:t>
            </w:r>
            <w:r>
              <w:rPr>
                <w:rFonts w:hint="eastAsia" w:ascii="宋体" w:hAnsi="宋体" w:eastAsia="宋体" w:cs="宋体"/>
                <w:color w:val="auto"/>
                <w:kern w:val="0"/>
                <w:sz w:val="24"/>
                <w:szCs w:val="24"/>
                <w:highlight w:val="none"/>
                <w:lang w:val="en-US" w:eastAsia="zh-CN" w:bidi="ar"/>
              </w:rPr>
              <w:t>，其中高浓废水处理单元的设计规模为</w:t>
            </w:r>
            <w:r>
              <w:rPr>
                <w:rFonts w:hint="default" w:ascii="Times New Roman" w:hAnsi="Times New Roman" w:eastAsia="宋体" w:cs="Times New Roman"/>
                <w:color w:val="auto"/>
                <w:kern w:val="0"/>
                <w:sz w:val="24"/>
                <w:szCs w:val="24"/>
                <w:highlight w:val="none"/>
                <w:lang w:val="en-US" w:eastAsia="zh-CN" w:bidi="ar"/>
              </w:rPr>
              <w:t>480m</w:t>
            </w:r>
            <w:r>
              <w:rPr>
                <w:rFonts w:hint="default" w:ascii="Times New Roman" w:hAnsi="Times New Roman" w:eastAsia="宋体" w:cs="Times New Roman"/>
                <w:color w:val="auto"/>
                <w:kern w:val="0"/>
                <w:sz w:val="24"/>
                <w:szCs w:val="24"/>
                <w:highlight w:val="none"/>
                <w:vertAlign w:val="superscript"/>
                <w:lang w:val="en-US" w:eastAsia="zh-CN" w:bidi="ar"/>
              </w:rPr>
              <w:t>3</w:t>
            </w:r>
            <w:r>
              <w:rPr>
                <w:rFonts w:hint="default" w:ascii="Times New Roman" w:hAnsi="Times New Roman" w:eastAsia="宋体" w:cs="Times New Roman"/>
                <w:color w:val="auto"/>
                <w:kern w:val="0"/>
                <w:sz w:val="24"/>
                <w:szCs w:val="24"/>
                <w:highlight w:val="none"/>
                <w:lang w:val="en-US" w:eastAsia="zh-CN" w:bidi="ar"/>
              </w:rPr>
              <w:t xml:space="preserve"> /d </w:t>
            </w:r>
            <w:r>
              <w:rPr>
                <w:rFonts w:hint="eastAsia" w:ascii="宋体" w:hAnsi="宋体" w:eastAsia="宋体" w:cs="宋体"/>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20m</w:t>
            </w:r>
            <w:r>
              <w:rPr>
                <w:rFonts w:hint="default" w:ascii="Times New Roman" w:hAnsi="Times New Roman" w:eastAsia="宋体" w:cs="Times New Roman"/>
                <w:color w:val="auto"/>
                <w:kern w:val="0"/>
                <w:sz w:val="24"/>
                <w:szCs w:val="24"/>
                <w:highlight w:val="none"/>
                <w:vertAlign w:val="superscript"/>
                <w:lang w:val="en-US" w:eastAsia="zh-CN" w:bidi="ar"/>
              </w:rPr>
              <w:t>3</w:t>
            </w:r>
            <w:r>
              <w:rPr>
                <w:rFonts w:hint="default" w:ascii="Times New Roman" w:hAnsi="Times New Roman" w:eastAsia="宋体" w:cs="Times New Roman"/>
                <w:color w:val="auto"/>
                <w:kern w:val="0"/>
                <w:sz w:val="24"/>
                <w:szCs w:val="24"/>
                <w:highlight w:val="none"/>
                <w:lang w:val="en-US" w:eastAsia="zh-CN" w:bidi="ar"/>
              </w:rPr>
              <w:t xml:space="preserve"> /h</w:t>
            </w:r>
            <w:r>
              <w:rPr>
                <w:rFonts w:hint="eastAsia" w:ascii="宋体" w:hAnsi="宋体" w:eastAsia="宋体" w:cs="宋体"/>
                <w:color w:val="auto"/>
                <w:kern w:val="0"/>
                <w:sz w:val="24"/>
                <w:szCs w:val="24"/>
                <w:highlight w:val="none"/>
                <w:lang w:val="en-US" w:eastAsia="zh-CN" w:bidi="ar"/>
              </w:rPr>
              <w:t xml:space="preserve">），低浓废水处理单元的设计规模为 </w:t>
            </w:r>
            <w:r>
              <w:rPr>
                <w:rFonts w:hint="default" w:ascii="Times New Roman" w:hAnsi="Times New Roman" w:eastAsia="宋体" w:cs="Times New Roman"/>
                <w:color w:val="auto"/>
                <w:kern w:val="0"/>
                <w:sz w:val="24"/>
                <w:szCs w:val="24"/>
                <w:highlight w:val="none"/>
                <w:lang w:val="en-US" w:eastAsia="zh-CN" w:bidi="ar"/>
              </w:rPr>
              <w:t>720m</w:t>
            </w:r>
            <w:r>
              <w:rPr>
                <w:rFonts w:hint="default" w:ascii="Times New Roman" w:hAnsi="Times New Roman" w:eastAsia="宋体" w:cs="Times New Roman"/>
                <w:color w:val="auto"/>
                <w:kern w:val="0"/>
                <w:sz w:val="24"/>
                <w:szCs w:val="24"/>
                <w:highlight w:val="none"/>
                <w:vertAlign w:val="superscript"/>
                <w:lang w:val="en-US" w:eastAsia="zh-CN" w:bidi="ar"/>
              </w:rPr>
              <w:t>3</w:t>
            </w:r>
            <w:r>
              <w:rPr>
                <w:rFonts w:hint="default" w:ascii="Times New Roman" w:hAnsi="Times New Roman" w:eastAsia="宋体" w:cs="Times New Roman"/>
                <w:color w:val="auto"/>
                <w:kern w:val="0"/>
                <w:sz w:val="24"/>
                <w:szCs w:val="24"/>
                <w:highlight w:val="none"/>
                <w:lang w:val="en-US" w:eastAsia="zh-CN" w:bidi="ar"/>
              </w:rPr>
              <w:t xml:space="preserve"> /d</w:t>
            </w:r>
            <w:r>
              <w:rPr>
                <w:rFonts w:hint="eastAsia" w:ascii="宋体" w:hAnsi="宋体" w:eastAsia="宋体" w:cs="宋体"/>
                <w:color w:val="auto"/>
                <w:kern w:val="0"/>
                <w:sz w:val="24"/>
                <w:szCs w:val="24"/>
                <w:highlight w:val="none"/>
                <w:lang w:val="en-US" w:eastAsia="zh-CN" w:bidi="ar"/>
              </w:rPr>
              <w:t>（</w:t>
            </w:r>
            <w:r>
              <w:rPr>
                <w:rFonts w:hint="default" w:ascii="Times New Roman" w:hAnsi="Times New Roman" w:eastAsia="宋体" w:cs="Times New Roman"/>
                <w:color w:val="auto"/>
                <w:kern w:val="0"/>
                <w:sz w:val="24"/>
                <w:szCs w:val="24"/>
                <w:highlight w:val="none"/>
                <w:lang w:val="en-US" w:eastAsia="zh-CN" w:bidi="ar"/>
              </w:rPr>
              <w:t>30m</w:t>
            </w:r>
            <w:r>
              <w:rPr>
                <w:rFonts w:hint="default" w:ascii="Times New Roman" w:hAnsi="Times New Roman" w:eastAsia="宋体" w:cs="Times New Roman"/>
                <w:color w:val="auto"/>
                <w:kern w:val="0"/>
                <w:sz w:val="24"/>
                <w:szCs w:val="24"/>
                <w:highlight w:val="none"/>
                <w:vertAlign w:val="superscript"/>
                <w:lang w:val="en-US" w:eastAsia="zh-CN" w:bidi="ar"/>
              </w:rPr>
              <w:t xml:space="preserve">3 </w:t>
            </w:r>
            <w:r>
              <w:rPr>
                <w:rFonts w:hint="default" w:ascii="Times New Roman" w:hAnsi="Times New Roman" w:eastAsia="宋体" w:cs="Times New Roman"/>
                <w:color w:val="auto"/>
                <w:kern w:val="0"/>
                <w:sz w:val="24"/>
                <w:szCs w:val="24"/>
                <w:highlight w:val="none"/>
                <w:lang w:val="en-US" w:eastAsia="zh-CN" w:bidi="ar"/>
              </w:rPr>
              <w:t>/h</w:t>
            </w:r>
            <w:r>
              <w:rPr>
                <w:rFonts w:hint="eastAsia" w:ascii="宋体" w:hAnsi="宋体" w:eastAsia="宋体" w:cs="宋体"/>
                <w:color w:val="auto"/>
                <w:kern w:val="0"/>
                <w:sz w:val="24"/>
                <w:szCs w:val="24"/>
                <w:highlight w:val="none"/>
                <w:lang w:val="en-US" w:eastAsia="zh-CN" w:bidi="ar"/>
              </w:rPr>
              <w:t>）。</w:t>
            </w:r>
          </w:p>
          <w:p w14:paraId="01697272">
            <w:pPr>
              <w:pStyle w:val="14"/>
              <w:keepNext w:val="0"/>
              <w:keepLines w:val="0"/>
              <w:pageBreakBefore w:val="0"/>
              <w:widowControl/>
              <w:kinsoku/>
              <w:wordWrap/>
              <w:overflowPunct/>
              <w:topLinePunct w:val="0"/>
              <w:autoSpaceDE/>
              <w:autoSpaceDN/>
              <w:bidi w:val="0"/>
              <w:adjustRightInd/>
              <w:spacing w:before="0" w:after="0" w:line="360" w:lineRule="auto"/>
              <w:ind w:right="0" w:firstLine="480" w:firstLineChars="200"/>
              <w:textAlignment w:val="auto"/>
              <w:rPr>
                <w:rFonts w:hint="eastAsia" w:ascii="Times New Roman" w:hAnsi="Times New Roman" w:eastAsia="宋体" w:cs="Times New Roman"/>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本项目进高浓度废水处理设施，目前中器环保的高浓度废水处理量为434.64</w:t>
            </w:r>
            <w:r>
              <w:rPr>
                <w:rFonts w:hint="default" w:ascii="Times New Roman" w:hAnsi="Times New Roman" w:eastAsia="宋体" w:cs="Times New Roman"/>
                <w:color w:val="auto"/>
                <w:kern w:val="0"/>
                <w:sz w:val="24"/>
                <w:szCs w:val="24"/>
                <w:highlight w:val="none"/>
                <w:lang w:val="en-US" w:eastAsia="zh-CN" w:bidi="ar"/>
              </w:rPr>
              <w:t>m</w:t>
            </w:r>
            <w:r>
              <w:rPr>
                <w:rFonts w:hint="default" w:ascii="Times New Roman" w:hAnsi="Times New Roman" w:eastAsia="宋体" w:cs="Times New Roman"/>
                <w:color w:val="auto"/>
                <w:kern w:val="0"/>
                <w:sz w:val="24"/>
                <w:szCs w:val="24"/>
                <w:highlight w:val="none"/>
                <w:vertAlign w:val="superscript"/>
                <w:lang w:val="en-US" w:eastAsia="zh-CN" w:bidi="ar"/>
              </w:rPr>
              <w:t>3</w:t>
            </w:r>
            <w:r>
              <w:rPr>
                <w:rFonts w:hint="default" w:ascii="Times New Roman" w:hAnsi="Times New Roman" w:eastAsia="宋体" w:cs="Times New Roman"/>
                <w:color w:val="auto"/>
                <w:kern w:val="0"/>
                <w:sz w:val="24"/>
                <w:szCs w:val="24"/>
                <w:highlight w:val="none"/>
                <w:lang w:val="en-US" w:eastAsia="zh-CN" w:bidi="ar"/>
              </w:rPr>
              <w:t xml:space="preserve"> /d</w:t>
            </w:r>
            <w:r>
              <w:rPr>
                <w:rFonts w:hint="eastAsia" w:ascii="Times New Roman" w:hAnsi="Times New Roman" w:eastAsia="宋体" w:cs="Times New Roman"/>
                <w:color w:val="auto"/>
                <w:kern w:val="0"/>
                <w:sz w:val="24"/>
                <w:szCs w:val="24"/>
                <w:highlight w:val="none"/>
                <w:lang w:val="en-US" w:eastAsia="zh-CN" w:bidi="ar"/>
              </w:rPr>
              <w:t>，剩余处理量为45.36m³/d，本项目根据</w:t>
            </w:r>
            <w:r>
              <w:rPr>
                <w:rFonts w:hint="eastAsia" w:cs="Times New Roman"/>
                <w:color w:val="auto"/>
                <w:kern w:val="0"/>
                <w:sz w:val="24"/>
                <w:szCs w:val="24"/>
                <w:highlight w:val="none"/>
                <w:lang w:val="en-US" w:eastAsia="zh-CN" w:bidi="ar"/>
              </w:rPr>
              <w:t>项目水平衡</w:t>
            </w:r>
            <w:r>
              <w:rPr>
                <w:rFonts w:hint="eastAsia" w:ascii="Times New Roman" w:hAnsi="Times New Roman" w:eastAsia="宋体" w:cs="Times New Roman"/>
                <w:color w:val="auto"/>
                <w:kern w:val="0"/>
                <w:sz w:val="24"/>
                <w:szCs w:val="24"/>
                <w:highlight w:val="none"/>
                <w:lang w:val="en-US" w:eastAsia="zh-CN" w:bidi="ar"/>
              </w:rPr>
              <w:t>，</w:t>
            </w:r>
            <w:r>
              <w:rPr>
                <w:rFonts w:hint="eastAsia" w:cs="Times New Roman"/>
                <w:color w:val="auto"/>
                <w:kern w:val="0"/>
                <w:sz w:val="24"/>
                <w:szCs w:val="24"/>
                <w:highlight w:val="none"/>
                <w:lang w:val="en-US" w:eastAsia="zh-CN" w:bidi="ar"/>
              </w:rPr>
              <w:t>全厂废水产生量为30.326m³/d，</w:t>
            </w:r>
            <w:r>
              <w:rPr>
                <w:rFonts w:hint="eastAsia" w:ascii="Times New Roman" w:hAnsi="Times New Roman" w:eastAsia="宋体" w:cs="Times New Roman"/>
                <w:color w:val="auto"/>
                <w:kern w:val="0"/>
                <w:sz w:val="24"/>
                <w:szCs w:val="24"/>
                <w:highlight w:val="none"/>
                <w:lang w:val="en-US" w:eastAsia="zh-CN" w:bidi="ar"/>
              </w:rPr>
              <w:t>满足剩余处理量。因此，从水量上看，本项目依托中器环保的废水处理设施是可行的。</w:t>
            </w:r>
          </w:p>
          <w:p w14:paraId="627B0AB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color w:val="auto"/>
                <w:sz w:val="24"/>
                <w:szCs w:val="32"/>
                <w:lang w:val="en-US" w:eastAsia="zh-CN"/>
              </w:rPr>
            </w:pPr>
            <w:r>
              <w:rPr>
                <w:rFonts w:hint="eastAsia"/>
                <w:color w:val="auto"/>
                <w:sz w:val="24"/>
                <w:szCs w:val="32"/>
                <w:lang w:val="en-US" w:eastAsia="zh-CN"/>
              </w:rPr>
              <w:t>④管道输送</w:t>
            </w:r>
          </w:p>
          <w:p w14:paraId="0F834D7B">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color w:val="auto"/>
                <w:sz w:val="24"/>
                <w:szCs w:val="32"/>
                <w:lang w:val="en-US" w:eastAsia="zh-CN"/>
              </w:rPr>
            </w:pPr>
            <w:r>
              <w:rPr>
                <w:rFonts w:hint="eastAsia"/>
                <w:color w:val="auto"/>
                <w:sz w:val="24"/>
                <w:szCs w:val="32"/>
                <w:lang w:val="en-US" w:eastAsia="zh-CN"/>
              </w:rPr>
              <w:t>新建管道长度约2km，采用明管敷设，DN80，材质不锈钢304，架空高度为50cm，每隔4m设施基座，12米设置一个法兰，出中器再生及进中器环保均设置有切断阀，进中器环保设置有压力表（实时监测管道是否发生泄漏）。从厂区废水储罐区至池州中器环保科技有限公司的污水处理设施的高浓度废水调节罐，具体管道输送路线如下：</w:t>
            </w:r>
          </w:p>
          <w:p w14:paraId="61D59BC4">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eastAsia"/>
                <w:color w:val="auto"/>
                <w:sz w:val="24"/>
                <w:szCs w:val="32"/>
                <w:lang w:val="en-US" w:eastAsia="zh-CN"/>
              </w:rPr>
            </w:pPr>
          </w:p>
          <w:p w14:paraId="260564DB">
            <w:pPr>
              <w:rPr>
                <w:rFonts w:hint="default"/>
                <w:color w:val="auto"/>
                <w:lang w:val="en-US" w:eastAsia="zh-CN"/>
              </w:rPr>
            </w:pPr>
            <w:r>
              <w:rPr>
                <w:color w:val="auto"/>
                <w:sz w:val="21"/>
              </w:rPr>
              <mc:AlternateContent>
                <mc:Choice Requires="wps">
                  <w:drawing>
                    <wp:anchor distT="0" distB="0" distL="114300" distR="114300" simplePos="0" relativeHeight="251666432" behindDoc="0" locked="0" layoutInCell="1" allowOverlap="1">
                      <wp:simplePos x="0" y="0"/>
                      <wp:positionH relativeFrom="column">
                        <wp:posOffset>2995930</wp:posOffset>
                      </wp:positionH>
                      <wp:positionV relativeFrom="paragraph">
                        <wp:posOffset>662305</wp:posOffset>
                      </wp:positionV>
                      <wp:extent cx="657225" cy="247650"/>
                      <wp:effectExtent l="4445" t="4445" r="5080" b="14605"/>
                      <wp:wrapNone/>
                      <wp:docPr id="31" name="文本框 31"/>
                      <wp:cNvGraphicFramePr/>
                      <a:graphic xmlns:a="http://schemas.openxmlformats.org/drawingml/2006/main">
                        <a:graphicData uri="http://schemas.microsoft.com/office/word/2010/wordprocessingShape">
                          <wps:wsp>
                            <wps:cNvSpPr txBox="1"/>
                            <wps:spPr>
                              <a:xfrm>
                                <a:off x="4154170" y="1748790"/>
                                <a:ext cx="657225" cy="2476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3A8B71C0">
                                  <w:pPr>
                                    <w:rPr>
                                      <w:rFonts w:hint="eastAsia" w:eastAsia="宋体"/>
                                      <w:lang w:eastAsia="zh-CN"/>
                                    </w:rPr>
                                  </w:pPr>
                                  <w:r>
                                    <w:rPr>
                                      <w:rFonts w:hint="eastAsia"/>
                                      <w:lang w:eastAsia="zh-CN"/>
                                    </w:rPr>
                                    <w:t>本项目</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5.9pt;margin-top:52.15pt;height:19.5pt;width:51.75pt;z-index:251666432;mso-width-relative:page;mso-height-relative:page;" fillcolor="#FFFFFF [3201]" filled="t" stroked="t" coordsize="21600,21600" o:gfxdata="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Bz5H6DYAAAACwEAAA8AAAAAAAAAAQAgAAAAIgAAAGRycy9kb3ducmV2LnhtbFBLAQIUABQA&#10;AAAIAIdO4kAbO/RMYgIAAMQEAAAOAAAAAAAAAAEAIAAAACcBAABkcnMvZTJvRG9jLnhtbFBLBQYA&#10;AAAABgAGAFkBAAD7BQAAAAA=&#10;">
                      <v:fill on="t" focussize="0,0"/>
                      <v:stroke weight="0.5pt" color="#000000 [3204]" joinstyle="round"/>
                      <v:imagedata o:title=""/>
                      <o:lock v:ext="edit" aspectratio="f"/>
                      <v:textbox>
                        <w:txbxContent>
                          <w:p w14:paraId="3A8B71C0">
                            <w:pPr>
                              <w:rPr>
                                <w:rFonts w:hint="eastAsia" w:eastAsia="宋体"/>
                                <w:lang w:eastAsia="zh-CN"/>
                              </w:rPr>
                            </w:pPr>
                            <w:r>
                              <w:rPr>
                                <w:rFonts w:hint="eastAsia"/>
                                <w:lang w:eastAsia="zh-CN"/>
                              </w:rPr>
                              <w:t>本项目</w:t>
                            </w:r>
                          </w:p>
                        </w:txbxContent>
                      </v:textbox>
                    </v:shape>
                  </w:pict>
                </mc:Fallback>
              </mc:AlternateContent>
            </w:r>
            <w:r>
              <w:rPr>
                <w:color w:val="auto"/>
                <w:sz w:val="21"/>
              </w:rPr>
              <mc:AlternateContent>
                <mc:Choice Requires="wps">
                  <w:drawing>
                    <wp:anchor distT="0" distB="0" distL="114300" distR="114300" simplePos="0" relativeHeight="251663360" behindDoc="0" locked="0" layoutInCell="1" allowOverlap="1">
                      <wp:simplePos x="0" y="0"/>
                      <wp:positionH relativeFrom="column">
                        <wp:posOffset>4769485</wp:posOffset>
                      </wp:positionH>
                      <wp:positionV relativeFrom="paragraph">
                        <wp:posOffset>15240</wp:posOffset>
                      </wp:positionV>
                      <wp:extent cx="647700" cy="476250"/>
                      <wp:effectExtent l="4445" t="4445" r="14605" b="14605"/>
                      <wp:wrapNone/>
                      <wp:docPr id="17" name="文本框 17"/>
                      <wp:cNvGraphicFramePr/>
                      <a:graphic xmlns:a="http://schemas.openxmlformats.org/drawingml/2006/main">
                        <a:graphicData uri="http://schemas.microsoft.com/office/word/2010/wordprocessingShape">
                          <wps:wsp>
                            <wps:cNvSpPr txBox="1"/>
                            <wps:spPr>
                              <a:xfrm>
                                <a:off x="5927725" y="1101725"/>
                                <a:ext cx="647700" cy="4762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1474432">
                                  <w:pPr>
                                    <w:rPr>
                                      <w:rFonts w:hint="eastAsia" w:eastAsia="宋体"/>
                                      <w:lang w:eastAsia="zh-CN"/>
                                    </w:rPr>
                                  </w:pPr>
                                  <w:r>
                                    <w:rPr>
                                      <w:rFonts w:hint="eastAsia" w:eastAsia="宋体"/>
                                      <w:lang w:eastAsia="zh-CN"/>
                                    </w:rPr>
                                    <w:drawing>
                                      <wp:inline distT="0" distB="0" distL="114300" distR="114300">
                                        <wp:extent cx="457835" cy="382270"/>
                                        <wp:effectExtent l="0" t="0" r="18415" b="17780"/>
                                        <wp:docPr id="21" name="图片 21" descr="5d9e95f1570350ac2358865f08c4b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5d9e95f1570350ac2358865f08c4b616"/>
                                                <pic:cNvPicPr>
                                                  <a:picLocks noChangeAspect="1"/>
                                                </pic:cNvPicPr>
                                              </pic:nvPicPr>
                                              <pic:blipFill>
                                                <a:blip r:embed="rId8"/>
                                                <a:stretch>
                                                  <a:fillRect/>
                                                </a:stretch>
                                              </pic:blipFill>
                                              <pic:spPr>
                                                <a:xfrm>
                                                  <a:off x="0" y="0"/>
                                                  <a:ext cx="457835" cy="3822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75.55pt;margin-top:1.2pt;height:37.5pt;width:51pt;z-index:251663360;mso-width-relative:page;mso-height-relative:page;" fillcolor="#FFFFFF [3201]" filled="t" stroked="t" coordsize="21600,21600" o:gfxdata="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V/VbndQAAAAIAQAADwAAAAAAAAABACAAAAAiAAAAZHJzL2Rvd25yZXYueG1sUEsBAhQAFAAAAAgA&#10;h07iQMLHTjZiAgAAxAQAAA4AAAAAAAAAAQAgAAAAIwEAAGRycy9lMm9Eb2MueG1sUEsFBgAAAAAG&#10;AAYAWQEAAPcFAAAAAA==&#10;">
                      <v:fill on="t" focussize="0,0"/>
                      <v:stroke weight="0.5pt" color="#000000 [3204]" joinstyle="round"/>
                      <v:imagedata o:title=""/>
                      <o:lock v:ext="edit" aspectratio="f"/>
                      <v:textbox>
                        <w:txbxContent>
                          <w:p w14:paraId="21474432">
                            <w:pPr>
                              <w:rPr>
                                <w:rFonts w:hint="eastAsia" w:eastAsia="宋体"/>
                                <w:lang w:eastAsia="zh-CN"/>
                              </w:rPr>
                            </w:pPr>
                            <w:r>
                              <w:rPr>
                                <w:rFonts w:hint="eastAsia" w:eastAsia="宋体"/>
                                <w:lang w:eastAsia="zh-CN"/>
                              </w:rPr>
                              <w:drawing>
                                <wp:inline distT="0" distB="0" distL="114300" distR="114300">
                                  <wp:extent cx="457835" cy="382270"/>
                                  <wp:effectExtent l="0" t="0" r="18415" b="17780"/>
                                  <wp:docPr id="21" name="图片 21" descr="5d9e95f1570350ac2358865f08c4b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5d9e95f1570350ac2358865f08c4b616"/>
                                          <pic:cNvPicPr>
                                            <a:picLocks noChangeAspect="1"/>
                                          </pic:cNvPicPr>
                                        </pic:nvPicPr>
                                        <pic:blipFill>
                                          <a:blip r:embed="rId8"/>
                                          <a:stretch>
                                            <a:fillRect/>
                                          </a:stretch>
                                        </pic:blipFill>
                                        <pic:spPr>
                                          <a:xfrm>
                                            <a:off x="0" y="0"/>
                                            <a:ext cx="457835" cy="382270"/>
                                          </a:xfrm>
                                          <a:prstGeom prst="rect">
                                            <a:avLst/>
                                          </a:prstGeom>
                                        </pic:spPr>
                                      </pic:pic>
                                    </a:graphicData>
                                  </a:graphic>
                                </wp:inline>
                              </w:drawing>
                            </w:r>
                          </w:p>
                        </w:txbxContent>
                      </v:textbox>
                    </v:shape>
                  </w:pict>
                </mc:Fallback>
              </mc:AlternateContent>
            </w:r>
            <w:r>
              <w:rPr>
                <w:rFonts w:hint="default"/>
                <w:color w:val="auto"/>
                <w:lang w:val="en-US" w:eastAsia="zh-CN"/>
              </w:rPr>
              <w:drawing>
                <wp:inline distT="0" distB="0" distL="114300" distR="114300">
                  <wp:extent cx="5426075" cy="3822065"/>
                  <wp:effectExtent l="0" t="0" r="3175" b="6985"/>
                  <wp:docPr id="16" name="图片 16" descr="0cc4b657-4ca8-4062-8aa4-ee23d7f1e1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0cc4b657-4ca8-4062-8aa4-ee23d7f1e15a"/>
                          <pic:cNvPicPr>
                            <a:picLocks noChangeAspect="1"/>
                          </pic:cNvPicPr>
                        </pic:nvPicPr>
                        <pic:blipFill>
                          <a:blip r:embed="rId27"/>
                          <a:stretch>
                            <a:fillRect/>
                          </a:stretch>
                        </pic:blipFill>
                        <pic:spPr>
                          <a:xfrm>
                            <a:off x="0" y="0"/>
                            <a:ext cx="5426075" cy="3822065"/>
                          </a:xfrm>
                          <a:prstGeom prst="rect">
                            <a:avLst/>
                          </a:prstGeom>
                        </pic:spPr>
                      </pic:pic>
                    </a:graphicData>
                  </a:graphic>
                </wp:inline>
              </w:drawing>
            </w:r>
          </w:p>
          <w:p w14:paraId="5A7C98AF">
            <w:pPr>
              <w:pStyle w:val="2"/>
              <w:keepNext w:val="0"/>
              <w:keepLines w:val="0"/>
              <w:pageBreakBefore w:val="0"/>
              <w:widowControl w:val="0"/>
              <w:kinsoku/>
              <w:wordWrap/>
              <w:overflowPunct/>
              <w:topLinePunct w:val="0"/>
              <w:autoSpaceDE/>
              <w:autoSpaceDN/>
              <w:bidi w:val="0"/>
              <w:adjustRightInd/>
              <w:snapToGrid/>
              <w:spacing w:after="0"/>
              <w:ind w:left="0" w:leftChars="0"/>
              <w:jc w:val="center"/>
              <w:textAlignment w:val="auto"/>
              <w:rPr>
                <w:rFonts w:hint="default"/>
                <w:b/>
                <w:bCs/>
                <w:color w:val="auto"/>
                <w:lang w:val="en-US" w:eastAsia="zh-CN"/>
              </w:rPr>
            </w:pPr>
            <w:r>
              <w:rPr>
                <w:rFonts w:hint="eastAsia"/>
                <w:b/>
                <w:bCs/>
                <w:color w:val="auto"/>
                <w:lang w:val="en-US" w:eastAsia="zh-CN"/>
              </w:rPr>
              <w:t>图4-5 厂区至池州中器环保科技有限公司输送路线图</w:t>
            </w:r>
          </w:p>
          <w:p w14:paraId="730A92EB">
            <w:pPr>
              <w:pStyle w:val="98"/>
              <w:spacing w:line="240" w:lineRule="auto"/>
              <w:rPr>
                <w:strike w:val="0"/>
                <w:dstrike w:val="0"/>
                <w:color w:val="auto"/>
                <w:kern w:val="2"/>
                <w:sz w:val="24"/>
                <w:szCs w:val="24"/>
                <w:highlight w:val="none"/>
              </w:rPr>
            </w:pPr>
            <w:r>
              <w:rPr>
                <w:strike w:val="0"/>
                <w:dstrike w:val="0"/>
                <w:color w:val="auto"/>
                <w:kern w:val="2"/>
                <w:sz w:val="21"/>
                <w:szCs w:val="21"/>
                <w:highlight w:val="none"/>
              </w:rPr>
              <w:t>表4-</w:t>
            </w:r>
            <w:r>
              <w:rPr>
                <w:rFonts w:hint="eastAsia"/>
                <w:strike w:val="0"/>
                <w:dstrike w:val="0"/>
                <w:color w:val="auto"/>
                <w:kern w:val="2"/>
                <w:sz w:val="21"/>
                <w:szCs w:val="21"/>
                <w:highlight w:val="none"/>
              </w:rPr>
              <w:t>1</w:t>
            </w:r>
            <w:r>
              <w:rPr>
                <w:rFonts w:hint="eastAsia"/>
                <w:strike w:val="0"/>
                <w:dstrike w:val="0"/>
                <w:color w:val="auto"/>
                <w:kern w:val="2"/>
                <w:sz w:val="21"/>
                <w:szCs w:val="21"/>
                <w:highlight w:val="none"/>
                <w:lang w:val="en-US" w:eastAsia="zh-CN"/>
              </w:rPr>
              <w:t xml:space="preserve">7 </w:t>
            </w:r>
            <w:r>
              <w:rPr>
                <w:strike w:val="0"/>
                <w:dstrike w:val="0"/>
                <w:color w:val="auto"/>
                <w:kern w:val="2"/>
                <w:sz w:val="21"/>
                <w:szCs w:val="21"/>
                <w:highlight w:val="none"/>
              </w:rPr>
              <w:t>废水类别、污染物及污染防治设施信息表</w:t>
            </w:r>
            <w:bookmarkStart w:id="33" w:name="BIAO5"/>
            <w:bookmarkEnd w:id="33"/>
          </w:p>
          <w:tbl>
            <w:tblPr>
              <w:tblStyle w:val="28"/>
              <w:tblW w:w="499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69"/>
              <w:gridCol w:w="687"/>
              <w:gridCol w:w="693"/>
              <w:gridCol w:w="645"/>
              <w:gridCol w:w="600"/>
              <w:gridCol w:w="1380"/>
              <w:gridCol w:w="555"/>
              <w:gridCol w:w="675"/>
              <w:gridCol w:w="720"/>
              <w:gridCol w:w="713"/>
              <w:gridCol w:w="426"/>
              <w:gridCol w:w="626"/>
              <w:gridCol w:w="426"/>
            </w:tblGrid>
            <w:tr w14:paraId="195899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69" w:type="dxa"/>
                  <w:vMerge w:val="restart"/>
                  <w:vAlign w:val="center"/>
                </w:tcPr>
                <w:p w14:paraId="3B8059A4">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序号</w:t>
                  </w:r>
                </w:p>
              </w:tc>
              <w:tc>
                <w:tcPr>
                  <w:tcW w:w="687" w:type="dxa"/>
                  <w:vMerge w:val="restart"/>
                  <w:vAlign w:val="center"/>
                </w:tcPr>
                <w:p w14:paraId="2DE65134">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废水</w:t>
                  </w:r>
                </w:p>
                <w:p w14:paraId="17D035B4">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类别</w:t>
                  </w:r>
                </w:p>
              </w:tc>
              <w:tc>
                <w:tcPr>
                  <w:tcW w:w="693" w:type="dxa"/>
                  <w:vMerge w:val="restart"/>
                  <w:vAlign w:val="center"/>
                </w:tcPr>
                <w:p w14:paraId="03646F1B">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污染物</w:t>
                  </w:r>
                </w:p>
                <w:p w14:paraId="42E6A4E9">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种类</w:t>
                  </w:r>
                </w:p>
                <w:p w14:paraId="64592F04">
                  <w:pPr>
                    <w:pStyle w:val="88"/>
                    <w:jc w:val="center"/>
                    <w:rPr>
                      <w:rFonts w:ascii="Times New Roman" w:hAnsi="Times New Roman"/>
                      <w:strike w:val="0"/>
                      <w:dstrike w:val="0"/>
                      <w:color w:val="auto"/>
                      <w:sz w:val="21"/>
                      <w:szCs w:val="21"/>
                      <w:highlight w:val="none"/>
                    </w:rPr>
                  </w:pPr>
                </w:p>
              </w:tc>
              <w:tc>
                <w:tcPr>
                  <w:tcW w:w="2625" w:type="dxa"/>
                  <w:gridSpan w:val="3"/>
                  <w:vAlign w:val="center"/>
                </w:tcPr>
                <w:p w14:paraId="25A48AAD">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污染防治设施</w:t>
                  </w:r>
                </w:p>
              </w:tc>
              <w:tc>
                <w:tcPr>
                  <w:tcW w:w="555" w:type="dxa"/>
                  <w:vMerge w:val="restart"/>
                  <w:vAlign w:val="center"/>
                </w:tcPr>
                <w:p w14:paraId="3E0ED2CC">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排放</w:t>
                  </w:r>
                </w:p>
                <w:p w14:paraId="02463F07">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去向</w:t>
                  </w:r>
                </w:p>
              </w:tc>
              <w:tc>
                <w:tcPr>
                  <w:tcW w:w="675" w:type="dxa"/>
                  <w:vMerge w:val="restart"/>
                  <w:vAlign w:val="center"/>
                </w:tcPr>
                <w:p w14:paraId="48A4A83E">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排放方式</w:t>
                  </w:r>
                </w:p>
              </w:tc>
              <w:tc>
                <w:tcPr>
                  <w:tcW w:w="720" w:type="dxa"/>
                  <w:vMerge w:val="restart"/>
                  <w:vAlign w:val="center"/>
                </w:tcPr>
                <w:p w14:paraId="5B97A7BE">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排放规律</w:t>
                  </w:r>
                </w:p>
              </w:tc>
              <w:tc>
                <w:tcPr>
                  <w:tcW w:w="713" w:type="dxa"/>
                  <w:vMerge w:val="restart"/>
                  <w:vAlign w:val="center"/>
                </w:tcPr>
                <w:p w14:paraId="3EFE09D3">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排放口编号</w:t>
                  </w:r>
                </w:p>
              </w:tc>
              <w:tc>
                <w:tcPr>
                  <w:tcW w:w="426" w:type="dxa"/>
                  <w:vMerge w:val="restart"/>
                  <w:vAlign w:val="center"/>
                </w:tcPr>
                <w:p w14:paraId="6FD2EEDB">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排放口</w:t>
                  </w:r>
                </w:p>
                <w:p w14:paraId="55762464">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名称</w:t>
                  </w:r>
                </w:p>
              </w:tc>
              <w:tc>
                <w:tcPr>
                  <w:tcW w:w="626" w:type="dxa"/>
                  <w:vMerge w:val="restart"/>
                  <w:vAlign w:val="center"/>
                </w:tcPr>
                <w:p w14:paraId="51B5BAF2">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排放口</w:t>
                  </w:r>
                </w:p>
                <w:p w14:paraId="2835555C">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设置是否符合要求</w:t>
                  </w:r>
                </w:p>
              </w:tc>
              <w:tc>
                <w:tcPr>
                  <w:tcW w:w="426" w:type="dxa"/>
                  <w:vMerge w:val="restart"/>
                  <w:vAlign w:val="center"/>
                </w:tcPr>
                <w:p w14:paraId="3F38004F">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排放口类型</w:t>
                  </w:r>
                </w:p>
              </w:tc>
            </w:tr>
            <w:tr w14:paraId="21BEDA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69" w:type="dxa"/>
                  <w:vMerge w:val="continue"/>
                  <w:vAlign w:val="center"/>
                </w:tcPr>
                <w:p w14:paraId="54320274">
                  <w:pPr>
                    <w:pStyle w:val="88"/>
                    <w:adjustRightInd w:val="0"/>
                    <w:snapToGrid w:val="0"/>
                    <w:jc w:val="center"/>
                    <w:rPr>
                      <w:rFonts w:ascii="Times New Roman" w:hAnsi="Times New Roman"/>
                      <w:strike w:val="0"/>
                      <w:dstrike w:val="0"/>
                      <w:color w:val="auto"/>
                      <w:sz w:val="21"/>
                      <w:szCs w:val="21"/>
                      <w:highlight w:val="none"/>
                    </w:rPr>
                  </w:pPr>
                </w:p>
              </w:tc>
              <w:tc>
                <w:tcPr>
                  <w:tcW w:w="687" w:type="dxa"/>
                  <w:vMerge w:val="continue"/>
                  <w:vAlign w:val="center"/>
                </w:tcPr>
                <w:p w14:paraId="08B07C89">
                  <w:pPr>
                    <w:pStyle w:val="88"/>
                    <w:adjustRightInd w:val="0"/>
                    <w:snapToGrid w:val="0"/>
                    <w:jc w:val="center"/>
                    <w:rPr>
                      <w:rFonts w:ascii="Times New Roman" w:hAnsi="Times New Roman"/>
                      <w:strike w:val="0"/>
                      <w:dstrike w:val="0"/>
                      <w:color w:val="auto"/>
                      <w:sz w:val="21"/>
                      <w:szCs w:val="21"/>
                      <w:highlight w:val="none"/>
                    </w:rPr>
                  </w:pPr>
                </w:p>
              </w:tc>
              <w:tc>
                <w:tcPr>
                  <w:tcW w:w="693" w:type="dxa"/>
                  <w:vMerge w:val="continue"/>
                  <w:vAlign w:val="center"/>
                </w:tcPr>
                <w:p w14:paraId="10665856">
                  <w:pPr>
                    <w:pStyle w:val="88"/>
                    <w:adjustRightInd w:val="0"/>
                    <w:snapToGrid w:val="0"/>
                    <w:jc w:val="center"/>
                    <w:rPr>
                      <w:rFonts w:ascii="Times New Roman" w:hAnsi="Times New Roman"/>
                      <w:strike w:val="0"/>
                      <w:dstrike w:val="0"/>
                      <w:color w:val="auto"/>
                      <w:sz w:val="21"/>
                      <w:szCs w:val="21"/>
                      <w:highlight w:val="none"/>
                    </w:rPr>
                  </w:pPr>
                </w:p>
              </w:tc>
              <w:tc>
                <w:tcPr>
                  <w:tcW w:w="645" w:type="dxa"/>
                  <w:vAlign w:val="center"/>
                </w:tcPr>
                <w:p w14:paraId="58A8BA6A">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污染防治设施名称</w:t>
                  </w:r>
                </w:p>
              </w:tc>
              <w:tc>
                <w:tcPr>
                  <w:tcW w:w="600" w:type="dxa"/>
                  <w:vAlign w:val="center"/>
                </w:tcPr>
                <w:p w14:paraId="7BAEDC3E">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污染防治设施编号</w:t>
                  </w:r>
                </w:p>
              </w:tc>
              <w:tc>
                <w:tcPr>
                  <w:tcW w:w="1380" w:type="dxa"/>
                  <w:vAlign w:val="center"/>
                </w:tcPr>
                <w:p w14:paraId="6FBAF49E">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污染防治设施工艺</w:t>
                  </w:r>
                </w:p>
              </w:tc>
              <w:tc>
                <w:tcPr>
                  <w:tcW w:w="555" w:type="dxa"/>
                  <w:vMerge w:val="continue"/>
                  <w:vAlign w:val="center"/>
                </w:tcPr>
                <w:p w14:paraId="7EE2A978">
                  <w:pPr>
                    <w:pStyle w:val="88"/>
                    <w:adjustRightInd w:val="0"/>
                    <w:snapToGrid w:val="0"/>
                    <w:jc w:val="center"/>
                    <w:rPr>
                      <w:rFonts w:ascii="Times New Roman" w:hAnsi="Times New Roman"/>
                      <w:strike w:val="0"/>
                      <w:dstrike w:val="0"/>
                      <w:color w:val="auto"/>
                      <w:sz w:val="21"/>
                      <w:szCs w:val="21"/>
                      <w:highlight w:val="none"/>
                    </w:rPr>
                  </w:pPr>
                </w:p>
              </w:tc>
              <w:tc>
                <w:tcPr>
                  <w:tcW w:w="675" w:type="dxa"/>
                  <w:vMerge w:val="continue"/>
                  <w:vAlign w:val="center"/>
                </w:tcPr>
                <w:p w14:paraId="1AED5DA4">
                  <w:pPr>
                    <w:pStyle w:val="88"/>
                    <w:adjustRightInd w:val="0"/>
                    <w:snapToGrid w:val="0"/>
                    <w:jc w:val="center"/>
                    <w:rPr>
                      <w:rFonts w:ascii="Times New Roman" w:hAnsi="Times New Roman"/>
                      <w:strike w:val="0"/>
                      <w:dstrike w:val="0"/>
                      <w:color w:val="auto"/>
                      <w:sz w:val="21"/>
                      <w:szCs w:val="21"/>
                      <w:highlight w:val="none"/>
                    </w:rPr>
                  </w:pPr>
                </w:p>
              </w:tc>
              <w:tc>
                <w:tcPr>
                  <w:tcW w:w="720" w:type="dxa"/>
                  <w:vMerge w:val="continue"/>
                  <w:vAlign w:val="center"/>
                </w:tcPr>
                <w:p w14:paraId="431742DD">
                  <w:pPr>
                    <w:pStyle w:val="88"/>
                    <w:adjustRightInd w:val="0"/>
                    <w:snapToGrid w:val="0"/>
                    <w:jc w:val="center"/>
                    <w:rPr>
                      <w:rFonts w:ascii="Times New Roman" w:hAnsi="Times New Roman"/>
                      <w:strike w:val="0"/>
                      <w:dstrike w:val="0"/>
                      <w:color w:val="auto"/>
                      <w:sz w:val="21"/>
                      <w:szCs w:val="21"/>
                      <w:highlight w:val="none"/>
                    </w:rPr>
                  </w:pPr>
                </w:p>
              </w:tc>
              <w:tc>
                <w:tcPr>
                  <w:tcW w:w="713" w:type="dxa"/>
                  <w:vMerge w:val="continue"/>
                  <w:vAlign w:val="center"/>
                </w:tcPr>
                <w:p w14:paraId="3C6F7845">
                  <w:pPr>
                    <w:pStyle w:val="88"/>
                    <w:adjustRightInd w:val="0"/>
                    <w:snapToGrid w:val="0"/>
                    <w:jc w:val="center"/>
                    <w:rPr>
                      <w:rFonts w:ascii="Times New Roman" w:hAnsi="Times New Roman"/>
                      <w:strike w:val="0"/>
                      <w:dstrike w:val="0"/>
                      <w:color w:val="auto"/>
                      <w:sz w:val="21"/>
                      <w:szCs w:val="21"/>
                      <w:highlight w:val="none"/>
                    </w:rPr>
                  </w:pPr>
                </w:p>
              </w:tc>
              <w:tc>
                <w:tcPr>
                  <w:tcW w:w="426" w:type="dxa"/>
                  <w:vMerge w:val="continue"/>
                  <w:vAlign w:val="center"/>
                </w:tcPr>
                <w:p w14:paraId="5B9255FA">
                  <w:pPr>
                    <w:pStyle w:val="88"/>
                    <w:adjustRightInd w:val="0"/>
                    <w:snapToGrid w:val="0"/>
                    <w:jc w:val="center"/>
                    <w:rPr>
                      <w:rFonts w:ascii="Times New Roman" w:hAnsi="Times New Roman"/>
                      <w:strike w:val="0"/>
                      <w:dstrike w:val="0"/>
                      <w:color w:val="auto"/>
                      <w:sz w:val="21"/>
                      <w:szCs w:val="21"/>
                      <w:highlight w:val="none"/>
                    </w:rPr>
                  </w:pPr>
                </w:p>
              </w:tc>
              <w:tc>
                <w:tcPr>
                  <w:tcW w:w="626" w:type="dxa"/>
                  <w:vMerge w:val="continue"/>
                  <w:vAlign w:val="center"/>
                </w:tcPr>
                <w:p w14:paraId="55CD8ACB">
                  <w:pPr>
                    <w:pStyle w:val="88"/>
                    <w:adjustRightInd w:val="0"/>
                    <w:snapToGrid w:val="0"/>
                    <w:jc w:val="center"/>
                    <w:rPr>
                      <w:rFonts w:ascii="Times New Roman" w:hAnsi="Times New Roman"/>
                      <w:strike w:val="0"/>
                      <w:dstrike w:val="0"/>
                      <w:color w:val="auto"/>
                      <w:sz w:val="21"/>
                      <w:szCs w:val="21"/>
                      <w:highlight w:val="none"/>
                    </w:rPr>
                  </w:pPr>
                </w:p>
              </w:tc>
              <w:tc>
                <w:tcPr>
                  <w:tcW w:w="426" w:type="dxa"/>
                  <w:vMerge w:val="continue"/>
                  <w:vAlign w:val="center"/>
                </w:tcPr>
                <w:p w14:paraId="41179100">
                  <w:pPr>
                    <w:pStyle w:val="88"/>
                    <w:adjustRightInd w:val="0"/>
                    <w:snapToGrid w:val="0"/>
                    <w:jc w:val="center"/>
                    <w:rPr>
                      <w:rFonts w:ascii="Times New Roman" w:hAnsi="Times New Roman"/>
                      <w:strike w:val="0"/>
                      <w:dstrike w:val="0"/>
                      <w:color w:val="auto"/>
                      <w:sz w:val="21"/>
                      <w:szCs w:val="21"/>
                      <w:highlight w:val="none"/>
                    </w:rPr>
                  </w:pPr>
                </w:p>
              </w:tc>
            </w:tr>
            <w:tr w14:paraId="663598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63" w:hRule="atLeast"/>
                <w:tblHeader/>
                <w:jc w:val="center"/>
              </w:trPr>
              <w:tc>
                <w:tcPr>
                  <w:tcW w:w="369" w:type="dxa"/>
                  <w:vAlign w:val="center"/>
                </w:tcPr>
                <w:p w14:paraId="12EEDBD8">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1</w:t>
                  </w:r>
                </w:p>
              </w:tc>
              <w:tc>
                <w:tcPr>
                  <w:tcW w:w="687" w:type="dxa"/>
                  <w:vAlign w:val="center"/>
                </w:tcPr>
                <w:p w14:paraId="3106053F">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生活污水</w:t>
                  </w:r>
                </w:p>
              </w:tc>
              <w:tc>
                <w:tcPr>
                  <w:tcW w:w="693" w:type="dxa"/>
                  <w:vAlign w:val="center"/>
                </w:tcPr>
                <w:p w14:paraId="238CD2E9">
                  <w:pPr>
                    <w:pStyle w:val="88"/>
                    <w:jc w:val="center"/>
                    <w:rPr>
                      <w:rFonts w:ascii="Times New Roman" w:hAnsi="Times New Roman"/>
                      <w:strike w:val="0"/>
                      <w:dstrike w:val="0"/>
                      <w:color w:val="auto"/>
                      <w:sz w:val="21"/>
                      <w:szCs w:val="21"/>
                      <w:highlight w:val="none"/>
                    </w:rPr>
                  </w:pPr>
                  <w:r>
                    <w:rPr>
                      <w:rFonts w:ascii="Times New Roman" w:hAnsi="Times New Roman"/>
                      <w:bCs/>
                      <w:strike w:val="0"/>
                      <w:dstrike w:val="0"/>
                      <w:color w:val="auto"/>
                      <w:sz w:val="21"/>
                      <w:szCs w:val="21"/>
                      <w:highlight w:val="none"/>
                    </w:rPr>
                    <w:t>pH、COD、BOD</w:t>
                  </w:r>
                  <w:r>
                    <w:rPr>
                      <w:rFonts w:ascii="Times New Roman" w:hAnsi="Times New Roman"/>
                      <w:bCs/>
                      <w:strike w:val="0"/>
                      <w:dstrike w:val="0"/>
                      <w:color w:val="auto"/>
                      <w:sz w:val="21"/>
                      <w:szCs w:val="21"/>
                      <w:highlight w:val="none"/>
                      <w:vertAlign w:val="subscript"/>
                    </w:rPr>
                    <w:t>5</w:t>
                  </w:r>
                  <w:r>
                    <w:rPr>
                      <w:rFonts w:ascii="Times New Roman" w:hAnsi="Times New Roman"/>
                      <w:bCs/>
                      <w:strike w:val="0"/>
                      <w:dstrike w:val="0"/>
                      <w:color w:val="auto"/>
                      <w:sz w:val="21"/>
                      <w:szCs w:val="21"/>
                      <w:highlight w:val="none"/>
                    </w:rPr>
                    <w:t>、SS</w:t>
                  </w:r>
                  <w:r>
                    <w:rPr>
                      <w:rFonts w:hint="eastAsia" w:ascii="Times New Roman" w:hAnsi="Times New Roman"/>
                      <w:bCs/>
                      <w:strike w:val="0"/>
                      <w:dstrike w:val="0"/>
                      <w:color w:val="auto"/>
                      <w:sz w:val="21"/>
                      <w:szCs w:val="21"/>
                      <w:highlight w:val="none"/>
                    </w:rPr>
                    <w:t>、</w:t>
                  </w:r>
                  <w:r>
                    <w:rPr>
                      <w:rFonts w:ascii="Times New Roman" w:hAnsi="Times New Roman"/>
                      <w:bCs/>
                      <w:strike w:val="0"/>
                      <w:dstrike w:val="0"/>
                      <w:color w:val="auto"/>
                      <w:sz w:val="21"/>
                      <w:szCs w:val="21"/>
                      <w:highlight w:val="none"/>
                    </w:rPr>
                    <w:t>氨氮</w:t>
                  </w:r>
                </w:p>
              </w:tc>
              <w:tc>
                <w:tcPr>
                  <w:tcW w:w="645" w:type="dxa"/>
                  <w:vMerge w:val="restart"/>
                  <w:vAlign w:val="center"/>
                </w:tcPr>
                <w:p w14:paraId="51974484">
                  <w:pPr>
                    <w:pStyle w:val="99"/>
                    <w:jc w:val="center"/>
                    <w:rPr>
                      <w:rFonts w:hint="eastAsia" w:ascii="Times New Roman" w:hAnsi="Times New Roman" w:eastAsia="宋体"/>
                      <w:strike w:val="0"/>
                      <w:dstrike w:val="0"/>
                      <w:color w:val="auto"/>
                      <w:sz w:val="21"/>
                      <w:szCs w:val="21"/>
                      <w:highlight w:val="none"/>
                      <w:lang w:val="en-US" w:eastAsia="zh-CN"/>
                    </w:rPr>
                  </w:pPr>
                  <w:r>
                    <w:rPr>
                      <w:rFonts w:hint="eastAsia" w:ascii="Times New Roman" w:hAnsi="Times New Roman"/>
                      <w:strike w:val="0"/>
                      <w:dstrike w:val="0"/>
                      <w:color w:val="auto"/>
                      <w:sz w:val="21"/>
                      <w:szCs w:val="21"/>
                      <w:highlight w:val="none"/>
                      <w:lang w:val="en-US" w:eastAsia="zh-CN"/>
                    </w:rPr>
                    <w:t>中器环保污水处理设施</w:t>
                  </w:r>
                </w:p>
              </w:tc>
              <w:tc>
                <w:tcPr>
                  <w:tcW w:w="600" w:type="dxa"/>
                  <w:vMerge w:val="restart"/>
                  <w:vAlign w:val="center"/>
                </w:tcPr>
                <w:p w14:paraId="4A24F826">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TW001</w:t>
                  </w:r>
                </w:p>
              </w:tc>
              <w:tc>
                <w:tcPr>
                  <w:tcW w:w="1380" w:type="dxa"/>
                  <w:vMerge w:val="restart"/>
                  <w:vAlign w:val="center"/>
                </w:tcPr>
                <w:p w14:paraId="271C33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宋体" w:hAnsi="宋体" w:eastAsia="宋体" w:cs="宋体"/>
                      <w:color w:val="auto"/>
                      <w:sz w:val="21"/>
                      <w:szCs w:val="21"/>
                      <w:vertAlign w:val="baseline"/>
                      <w:lang w:val="en-US" w:eastAsia="zh-CN"/>
                    </w:rPr>
                  </w:pPr>
                  <w:r>
                    <w:rPr>
                      <w:rFonts w:hint="default" w:ascii="宋体" w:hAnsi="宋体" w:eastAsia="宋体" w:cs="宋体"/>
                      <w:color w:val="auto"/>
                      <w:sz w:val="21"/>
                      <w:szCs w:val="21"/>
                      <w:vertAlign w:val="baseline"/>
                      <w:lang w:val="en-US" w:eastAsia="zh-CN"/>
                    </w:rPr>
                    <w:t>隔油+涡凹</w:t>
                  </w:r>
                </w:p>
                <w:p w14:paraId="5568939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宋体" w:hAnsi="宋体" w:eastAsia="宋体" w:cs="宋体"/>
                      <w:color w:val="auto"/>
                      <w:sz w:val="21"/>
                      <w:szCs w:val="21"/>
                      <w:vertAlign w:val="baseline"/>
                      <w:lang w:val="en-US" w:eastAsia="zh-CN"/>
                    </w:rPr>
                  </w:pPr>
                  <w:r>
                    <w:rPr>
                      <w:rFonts w:hint="default" w:ascii="宋体" w:hAnsi="宋体" w:eastAsia="宋体" w:cs="宋体"/>
                      <w:color w:val="auto"/>
                      <w:sz w:val="21"/>
                      <w:szCs w:val="21"/>
                      <w:vertAlign w:val="baseline"/>
                      <w:lang w:val="en-US" w:eastAsia="zh-CN"/>
                    </w:rPr>
                    <w:t>气浮+两级溶气气浮+水解酸化</w:t>
                  </w:r>
                </w:p>
                <w:p w14:paraId="234D3BD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宋体" w:hAnsi="宋体" w:eastAsia="宋体" w:cs="宋体"/>
                      <w:color w:val="auto"/>
                      <w:sz w:val="21"/>
                      <w:szCs w:val="21"/>
                      <w:vertAlign w:val="baseline"/>
                      <w:lang w:val="en-US" w:eastAsia="zh-CN"/>
                    </w:rPr>
                  </w:pPr>
                  <w:r>
                    <w:rPr>
                      <w:rFonts w:hint="default" w:ascii="宋体" w:hAnsi="宋体" w:eastAsia="宋体" w:cs="宋体"/>
                      <w:color w:val="auto"/>
                      <w:sz w:val="21"/>
                      <w:szCs w:val="21"/>
                      <w:vertAlign w:val="baseline"/>
                      <w:lang w:val="en-US" w:eastAsia="zh-CN"/>
                    </w:rPr>
                    <w:t>+UASB+沉淀”预处理</w:t>
                  </w:r>
                  <w:r>
                    <w:rPr>
                      <w:rFonts w:hint="eastAsia" w:ascii="宋体" w:hAnsi="宋体" w:eastAsia="宋体" w:cs="宋体"/>
                      <w:color w:val="auto"/>
                      <w:sz w:val="21"/>
                      <w:szCs w:val="21"/>
                      <w:vertAlign w:val="baseline"/>
                      <w:lang w:val="en-US" w:eastAsia="zh-CN"/>
                    </w:rPr>
                    <w:t>；</w:t>
                  </w:r>
                </w:p>
                <w:p w14:paraId="5803EA5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宋体" w:hAnsi="宋体" w:eastAsia="宋体" w:cs="宋体"/>
                      <w:color w:val="auto"/>
                      <w:sz w:val="21"/>
                      <w:szCs w:val="21"/>
                      <w:vertAlign w:val="baseline"/>
                      <w:lang w:val="en-US" w:eastAsia="zh-CN"/>
                    </w:rPr>
                  </w:pPr>
                  <w:r>
                    <w:rPr>
                      <w:rFonts w:hint="default" w:ascii="宋体" w:hAnsi="宋体" w:eastAsia="宋体" w:cs="宋体"/>
                      <w:color w:val="auto"/>
                      <w:sz w:val="21"/>
                      <w:szCs w:val="21"/>
                      <w:vertAlign w:val="baseline"/>
                      <w:lang w:val="en-US" w:eastAsia="zh-CN"/>
                    </w:rPr>
                    <w:t>生化处理工艺为多级 A/O+絮凝</w:t>
                  </w:r>
                </w:p>
                <w:p w14:paraId="55CF7AE0">
                  <w:pPr>
                    <w:pStyle w:val="88"/>
                    <w:jc w:val="center"/>
                    <w:rPr>
                      <w:rFonts w:hint="default" w:ascii="Times New Roman" w:hAnsi="Times New Roman" w:eastAsia="宋体"/>
                      <w:strike w:val="0"/>
                      <w:dstrike w:val="0"/>
                      <w:color w:val="auto"/>
                      <w:sz w:val="21"/>
                      <w:szCs w:val="21"/>
                      <w:highlight w:val="yellow"/>
                      <w:lang w:val="en-US" w:eastAsia="zh-CN"/>
                    </w:rPr>
                  </w:pPr>
                  <w:r>
                    <w:rPr>
                      <w:rFonts w:hint="default" w:ascii="宋体" w:hAnsi="宋体" w:eastAsia="宋体" w:cs="宋体"/>
                      <w:color w:val="auto"/>
                      <w:sz w:val="21"/>
                      <w:szCs w:val="21"/>
                      <w:vertAlign w:val="baseline"/>
                      <w:lang w:val="en-US" w:eastAsia="zh-CN"/>
                    </w:rPr>
                    <w:t>沉淀处理</w:t>
                  </w:r>
                </w:p>
              </w:tc>
              <w:tc>
                <w:tcPr>
                  <w:tcW w:w="555" w:type="dxa"/>
                  <w:vMerge w:val="restart"/>
                  <w:vAlign w:val="center"/>
                </w:tcPr>
                <w:p w14:paraId="5FFD4200">
                  <w:pPr>
                    <w:pStyle w:val="99"/>
                    <w:jc w:val="center"/>
                    <w:rPr>
                      <w:rFonts w:ascii="Times New Roman" w:hAnsi="Times New Roman"/>
                      <w:strike w:val="0"/>
                      <w:dstrike w:val="0"/>
                      <w:color w:val="auto"/>
                      <w:sz w:val="21"/>
                      <w:szCs w:val="21"/>
                      <w:highlight w:val="none"/>
                    </w:rPr>
                  </w:pPr>
                  <w:r>
                    <w:rPr>
                      <w:rFonts w:hint="eastAsia" w:ascii="Times New Roman" w:hAnsi="Times New Roman"/>
                      <w:strike w:val="0"/>
                      <w:dstrike w:val="0"/>
                      <w:color w:val="auto"/>
                      <w:sz w:val="21"/>
                      <w:szCs w:val="21"/>
                      <w:highlight w:val="none"/>
                      <w:lang w:eastAsia="zh-CN"/>
                    </w:rPr>
                    <w:t>东至经开区</w:t>
                  </w:r>
                  <w:r>
                    <w:rPr>
                      <w:rFonts w:ascii="Times New Roman" w:hAnsi="Times New Roman"/>
                      <w:strike w:val="0"/>
                      <w:dstrike w:val="0"/>
                      <w:color w:val="auto"/>
                      <w:sz w:val="21"/>
                      <w:szCs w:val="21"/>
                      <w:highlight w:val="none"/>
                    </w:rPr>
                    <w:t>污水处理厂</w:t>
                  </w:r>
                </w:p>
              </w:tc>
              <w:tc>
                <w:tcPr>
                  <w:tcW w:w="675" w:type="dxa"/>
                  <w:vMerge w:val="restart"/>
                  <w:vAlign w:val="center"/>
                </w:tcPr>
                <w:p w14:paraId="5E51F8BB">
                  <w:pPr>
                    <w:pStyle w:val="99"/>
                    <w:jc w:val="center"/>
                    <w:rPr>
                      <w:rFonts w:ascii="Times New Roman" w:hAnsi="Times New Roman"/>
                      <w:strike w:val="0"/>
                      <w:dstrike w:val="0"/>
                      <w:color w:val="auto"/>
                      <w:spacing w:val="-6"/>
                      <w:sz w:val="21"/>
                      <w:szCs w:val="21"/>
                      <w:highlight w:val="none"/>
                    </w:rPr>
                  </w:pPr>
                  <w:r>
                    <w:rPr>
                      <w:rFonts w:ascii="Times New Roman" w:hAnsi="Times New Roman"/>
                      <w:strike w:val="0"/>
                      <w:dstrike w:val="0"/>
                      <w:color w:val="auto"/>
                      <w:sz w:val="21"/>
                      <w:szCs w:val="21"/>
                      <w:highlight w:val="none"/>
                    </w:rPr>
                    <w:t>☑</w:t>
                  </w:r>
                  <w:r>
                    <w:rPr>
                      <w:rFonts w:ascii="Times New Roman" w:hAnsi="Times New Roman"/>
                      <w:strike w:val="0"/>
                      <w:dstrike w:val="0"/>
                      <w:color w:val="auto"/>
                      <w:spacing w:val="-6"/>
                      <w:sz w:val="21"/>
                      <w:szCs w:val="21"/>
                      <w:highlight w:val="none"/>
                    </w:rPr>
                    <w:t>间接排放</w:t>
                  </w:r>
                </w:p>
                <w:p w14:paraId="362247A2">
                  <w:pPr>
                    <w:pStyle w:val="99"/>
                    <w:jc w:val="center"/>
                    <w:rPr>
                      <w:rFonts w:ascii="Times New Roman" w:hAnsi="Times New Roman"/>
                      <w:strike w:val="0"/>
                      <w:dstrike w:val="0"/>
                      <w:color w:val="auto"/>
                      <w:spacing w:val="-6"/>
                      <w:sz w:val="21"/>
                      <w:szCs w:val="21"/>
                      <w:highlight w:val="none"/>
                    </w:rPr>
                  </w:pPr>
                  <w:r>
                    <w:rPr>
                      <w:rFonts w:ascii="Times New Roman" w:hAnsi="Times New Roman"/>
                      <w:strike w:val="0"/>
                      <w:dstrike w:val="0"/>
                      <w:color w:val="auto"/>
                      <w:spacing w:val="-6"/>
                      <w:sz w:val="21"/>
                      <w:szCs w:val="21"/>
                      <w:highlight w:val="none"/>
                    </w:rPr>
                    <w:t>□直接排放</w:t>
                  </w:r>
                </w:p>
                <w:p w14:paraId="0EA7E501">
                  <w:pPr>
                    <w:pStyle w:val="99"/>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□其他</w:t>
                  </w:r>
                </w:p>
              </w:tc>
              <w:tc>
                <w:tcPr>
                  <w:tcW w:w="720" w:type="dxa"/>
                  <w:vMerge w:val="restart"/>
                  <w:vAlign w:val="center"/>
                </w:tcPr>
                <w:p w14:paraId="59E3E616">
                  <w:pPr>
                    <w:pStyle w:val="38"/>
                    <w:snapToGrid w:val="0"/>
                    <w:ind w:left="0" w:leftChars="0" w:firstLine="0" w:firstLineChars="0"/>
                    <w:jc w:val="both"/>
                    <w:rPr>
                      <w:rFonts w:ascii="Times New Roman" w:eastAsia="宋体" w:cs="Times New Roman"/>
                      <w:strike w:val="0"/>
                      <w:dstrike w:val="0"/>
                      <w:color w:val="auto"/>
                      <w:spacing w:val="-6"/>
                      <w:sz w:val="21"/>
                      <w:szCs w:val="21"/>
                      <w:highlight w:val="none"/>
                    </w:rPr>
                  </w:pPr>
                  <w:r>
                    <w:rPr>
                      <w:rFonts w:ascii="Times New Roman" w:eastAsia="宋体" w:cs="Times New Roman"/>
                      <w:b w:val="0"/>
                      <w:bCs w:val="0"/>
                      <w:strike w:val="0"/>
                      <w:dstrike w:val="0"/>
                      <w:color w:val="auto"/>
                      <w:sz w:val="21"/>
                      <w:szCs w:val="21"/>
                      <w:highlight w:val="none"/>
                    </w:rPr>
                    <w:t>流量稳定且</w:t>
                  </w:r>
                  <w:r>
                    <w:rPr>
                      <w:rFonts w:hint="eastAsia" w:ascii="Times New Roman" w:eastAsia="宋体" w:cs="Times New Roman"/>
                      <w:b w:val="0"/>
                      <w:bCs w:val="0"/>
                      <w:strike w:val="0"/>
                      <w:dstrike w:val="0"/>
                      <w:color w:val="auto"/>
                      <w:sz w:val="21"/>
                      <w:szCs w:val="21"/>
                      <w:highlight w:val="none"/>
                      <w:lang w:eastAsia="zh-CN"/>
                    </w:rPr>
                    <w:t>有</w:t>
                  </w:r>
                  <w:r>
                    <w:rPr>
                      <w:rFonts w:ascii="Times New Roman" w:eastAsia="宋体" w:cs="Times New Roman"/>
                      <w:b w:val="0"/>
                      <w:bCs w:val="0"/>
                      <w:strike w:val="0"/>
                      <w:dstrike w:val="0"/>
                      <w:color w:val="auto"/>
                      <w:sz w:val="21"/>
                      <w:szCs w:val="21"/>
                      <w:highlight w:val="none"/>
                    </w:rPr>
                    <w:t>规律</w:t>
                  </w:r>
                </w:p>
              </w:tc>
              <w:tc>
                <w:tcPr>
                  <w:tcW w:w="713" w:type="dxa"/>
                  <w:vMerge w:val="restart"/>
                  <w:vAlign w:val="center"/>
                </w:tcPr>
                <w:p w14:paraId="79B8FE1E">
                  <w:pPr>
                    <w:pStyle w:val="99"/>
                    <w:jc w:val="center"/>
                    <w:rPr>
                      <w:rFonts w:hint="default" w:ascii="Times New Roman" w:hAnsi="Times New Roman" w:eastAsia="宋体"/>
                      <w:strike w:val="0"/>
                      <w:dstrike w:val="0"/>
                      <w:color w:val="auto"/>
                      <w:spacing w:val="-6"/>
                      <w:sz w:val="21"/>
                      <w:szCs w:val="21"/>
                      <w:highlight w:val="none"/>
                      <w:lang w:val="en-US" w:eastAsia="zh-CN"/>
                    </w:rPr>
                  </w:pPr>
                  <w:r>
                    <w:rPr>
                      <w:rFonts w:hint="eastAsia" w:ascii="Times New Roman" w:hAnsi="Times New Roman"/>
                      <w:strike w:val="0"/>
                      <w:dstrike w:val="0"/>
                      <w:color w:val="auto"/>
                      <w:sz w:val="21"/>
                      <w:szCs w:val="21"/>
                      <w:highlight w:val="none"/>
                      <w:lang w:val="en-US" w:eastAsia="zh-CN"/>
                    </w:rPr>
                    <w:t>DW001</w:t>
                  </w:r>
                </w:p>
              </w:tc>
              <w:tc>
                <w:tcPr>
                  <w:tcW w:w="426" w:type="dxa"/>
                  <w:vMerge w:val="restart"/>
                  <w:vAlign w:val="center"/>
                </w:tcPr>
                <w:p w14:paraId="4423CAB7">
                  <w:pPr>
                    <w:pStyle w:val="99"/>
                    <w:jc w:val="center"/>
                    <w:rPr>
                      <w:rFonts w:ascii="Times New Roman" w:hAnsi="Times New Roman"/>
                      <w:strike w:val="0"/>
                      <w:dstrike w:val="0"/>
                      <w:color w:val="auto"/>
                      <w:sz w:val="21"/>
                      <w:szCs w:val="21"/>
                      <w:highlight w:val="none"/>
                    </w:rPr>
                  </w:pPr>
                  <w:r>
                    <w:rPr>
                      <w:rFonts w:hint="eastAsia" w:ascii="Times New Roman" w:hAnsi="Times New Roman"/>
                      <w:strike w:val="0"/>
                      <w:dstrike w:val="0"/>
                      <w:color w:val="auto"/>
                      <w:sz w:val="21"/>
                      <w:szCs w:val="21"/>
                      <w:highlight w:val="none"/>
                      <w:lang w:eastAsia="zh-CN"/>
                    </w:rPr>
                    <w:t>依托中器的</w:t>
                  </w:r>
                  <w:r>
                    <w:rPr>
                      <w:rFonts w:ascii="Times New Roman" w:hAnsi="Times New Roman"/>
                      <w:strike w:val="0"/>
                      <w:dstrike w:val="0"/>
                      <w:color w:val="auto"/>
                      <w:sz w:val="21"/>
                      <w:szCs w:val="21"/>
                      <w:highlight w:val="none"/>
                    </w:rPr>
                    <w:t>废水总排口</w:t>
                  </w:r>
                </w:p>
              </w:tc>
              <w:tc>
                <w:tcPr>
                  <w:tcW w:w="626" w:type="dxa"/>
                  <w:vMerge w:val="restart"/>
                  <w:vAlign w:val="center"/>
                </w:tcPr>
                <w:p w14:paraId="1469D7F8">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符合</w:t>
                  </w:r>
                </w:p>
              </w:tc>
              <w:tc>
                <w:tcPr>
                  <w:tcW w:w="426" w:type="dxa"/>
                  <w:vMerge w:val="restart"/>
                  <w:vAlign w:val="center"/>
                </w:tcPr>
                <w:p w14:paraId="7FF1C8EA">
                  <w:pPr>
                    <w:pStyle w:val="99"/>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一般排放口</w:t>
                  </w:r>
                </w:p>
              </w:tc>
            </w:tr>
            <w:tr w14:paraId="626F7A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80" w:hRule="atLeast"/>
                <w:tblHeader/>
                <w:jc w:val="center"/>
              </w:trPr>
              <w:tc>
                <w:tcPr>
                  <w:tcW w:w="369" w:type="dxa"/>
                  <w:vAlign w:val="center"/>
                </w:tcPr>
                <w:p w14:paraId="0E49651A">
                  <w:pPr>
                    <w:pStyle w:val="88"/>
                    <w:jc w:val="center"/>
                    <w:rPr>
                      <w:rFonts w:ascii="Times New Roman" w:hAnsi="Times New Roman"/>
                      <w:strike w:val="0"/>
                      <w:dstrike w:val="0"/>
                      <w:color w:val="auto"/>
                      <w:sz w:val="21"/>
                      <w:szCs w:val="21"/>
                      <w:highlight w:val="none"/>
                    </w:rPr>
                  </w:pPr>
                  <w:r>
                    <w:rPr>
                      <w:rFonts w:ascii="Times New Roman" w:hAnsi="Times New Roman"/>
                      <w:strike w:val="0"/>
                      <w:dstrike w:val="0"/>
                      <w:color w:val="auto"/>
                      <w:sz w:val="21"/>
                      <w:szCs w:val="21"/>
                      <w:highlight w:val="none"/>
                    </w:rPr>
                    <w:t>2</w:t>
                  </w:r>
                </w:p>
              </w:tc>
              <w:tc>
                <w:tcPr>
                  <w:tcW w:w="687" w:type="dxa"/>
                  <w:vAlign w:val="center"/>
                </w:tcPr>
                <w:p w14:paraId="6E35A57F">
                  <w:pPr>
                    <w:pStyle w:val="88"/>
                    <w:jc w:val="center"/>
                    <w:rPr>
                      <w:rFonts w:hint="eastAsia" w:ascii="Times New Roman" w:hAnsi="Times New Roman" w:eastAsia="宋体"/>
                      <w:strike w:val="0"/>
                      <w:dstrike w:val="0"/>
                      <w:color w:val="auto"/>
                      <w:sz w:val="21"/>
                      <w:szCs w:val="21"/>
                      <w:highlight w:val="none"/>
                      <w:lang w:eastAsia="zh-CN"/>
                    </w:rPr>
                  </w:pPr>
                  <w:r>
                    <w:rPr>
                      <w:rFonts w:hint="eastAsia" w:ascii="Times New Roman" w:hAnsi="Times New Roman"/>
                      <w:strike w:val="0"/>
                      <w:dstrike w:val="0"/>
                      <w:color w:val="auto"/>
                      <w:sz w:val="21"/>
                      <w:szCs w:val="21"/>
                      <w:highlight w:val="none"/>
                      <w:lang w:eastAsia="zh-CN"/>
                    </w:rPr>
                    <w:t>生产废水（含三相分离废水（含沉降罐沥液）、喷淋废水、循环冷却排水）</w:t>
                  </w:r>
                </w:p>
              </w:tc>
              <w:tc>
                <w:tcPr>
                  <w:tcW w:w="693" w:type="dxa"/>
                  <w:vAlign w:val="center"/>
                </w:tcPr>
                <w:p w14:paraId="5A1755E1">
                  <w:pPr>
                    <w:pStyle w:val="88"/>
                    <w:jc w:val="center"/>
                    <w:rPr>
                      <w:rFonts w:hint="eastAsia" w:ascii="Times New Roman" w:hAnsi="Times New Roman" w:eastAsia="宋体"/>
                      <w:bCs/>
                      <w:strike w:val="0"/>
                      <w:dstrike w:val="0"/>
                      <w:color w:val="auto"/>
                      <w:sz w:val="21"/>
                      <w:szCs w:val="21"/>
                      <w:highlight w:val="none"/>
                      <w:lang w:eastAsia="zh-CN"/>
                    </w:rPr>
                  </w:pPr>
                  <w:r>
                    <w:rPr>
                      <w:rFonts w:ascii="Times New Roman" w:hAnsi="Times New Roman"/>
                      <w:bCs/>
                      <w:strike w:val="0"/>
                      <w:dstrike w:val="0"/>
                      <w:color w:val="auto"/>
                      <w:sz w:val="21"/>
                      <w:szCs w:val="21"/>
                      <w:highlight w:val="none"/>
                    </w:rPr>
                    <w:t>pH、COD、BOD</w:t>
                  </w:r>
                  <w:r>
                    <w:rPr>
                      <w:rFonts w:ascii="Times New Roman" w:hAnsi="Times New Roman"/>
                      <w:bCs/>
                      <w:strike w:val="0"/>
                      <w:dstrike w:val="0"/>
                      <w:color w:val="auto"/>
                      <w:sz w:val="21"/>
                      <w:szCs w:val="21"/>
                      <w:highlight w:val="none"/>
                      <w:vertAlign w:val="subscript"/>
                    </w:rPr>
                    <w:t>5</w:t>
                  </w:r>
                  <w:r>
                    <w:rPr>
                      <w:rFonts w:ascii="Times New Roman" w:hAnsi="Times New Roman"/>
                      <w:bCs/>
                      <w:strike w:val="0"/>
                      <w:dstrike w:val="0"/>
                      <w:color w:val="auto"/>
                      <w:sz w:val="21"/>
                      <w:szCs w:val="21"/>
                      <w:highlight w:val="none"/>
                    </w:rPr>
                    <w:t>、SS</w:t>
                  </w:r>
                  <w:r>
                    <w:rPr>
                      <w:rFonts w:hint="eastAsia" w:ascii="Times New Roman" w:hAnsi="Times New Roman"/>
                      <w:bCs/>
                      <w:strike w:val="0"/>
                      <w:dstrike w:val="0"/>
                      <w:color w:val="auto"/>
                      <w:sz w:val="21"/>
                      <w:szCs w:val="21"/>
                      <w:highlight w:val="none"/>
                      <w:lang w:eastAsia="zh-CN"/>
                    </w:rPr>
                    <w:t>、</w:t>
                  </w:r>
                  <w:r>
                    <w:rPr>
                      <w:rFonts w:ascii="Times New Roman" w:hAnsi="Times New Roman"/>
                      <w:bCs/>
                      <w:strike w:val="0"/>
                      <w:dstrike w:val="0"/>
                      <w:color w:val="auto"/>
                      <w:sz w:val="21"/>
                      <w:szCs w:val="21"/>
                      <w:highlight w:val="none"/>
                    </w:rPr>
                    <w:t>氨氮</w:t>
                  </w:r>
                  <w:r>
                    <w:rPr>
                      <w:rFonts w:hint="eastAsia" w:ascii="Times New Roman" w:hAnsi="Times New Roman"/>
                      <w:bCs/>
                      <w:strike w:val="0"/>
                      <w:dstrike w:val="0"/>
                      <w:color w:val="auto"/>
                      <w:sz w:val="21"/>
                      <w:szCs w:val="21"/>
                      <w:highlight w:val="none"/>
                      <w:lang w:eastAsia="zh-CN"/>
                    </w:rPr>
                    <w:t>、动植物油</w:t>
                  </w:r>
                </w:p>
              </w:tc>
              <w:tc>
                <w:tcPr>
                  <w:tcW w:w="645" w:type="dxa"/>
                  <w:vMerge w:val="continue"/>
                  <w:vAlign w:val="center"/>
                </w:tcPr>
                <w:p w14:paraId="72D42D4D">
                  <w:pPr>
                    <w:pStyle w:val="99"/>
                    <w:jc w:val="center"/>
                    <w:rPr>
                      <w:rFonts w:hint="eastAsia" w:ascii="Times New Roman" w:hAnsi="Times New Roman" w:eastAsia="宋体"/>
                      <w:strike w:val="0"/>
                      <w:dstrike w:val="0"/>
                      <w:color w:val="auto"/>
                      <w:sz w:val="21"/>
                      <w:szCs w:val="21"/>
                      <w:highlight w:val="none"/>
                      <w:lang w:val="en-US" w:eastAsia="zh-CN"/>
                    </w:rPr>
                  </w:pPr>
                </w:p>
              </w:tc>
              <w:tc>
                <w:tcPr>
                  <w:tcW w:w="600" w:type="dxa"/>
                  <w:vMerge w:val="continue"/>
                  <w:vAlign w:val="center"/>
                </w:tcPr>
                <w:p w14:paraId="1BB57379">
                  <w:pPr>
                    <w:pStyle w:val="88"/>
                    <w:jc w:val="center"/>
                    <w:rPr>
                      <w:rFonts w:ascii="Times New Roman" w:hAnsi="Times New Roman"/>
                      <w:strike w:val="0"/>
                      <w:dstrike w:val="0"/>
                      <w:color w:val="auto"/>
                      <w:sz w:val="21"/>
                      <w:szCs w:val="21"/>
                      <w:highlight w:val="none"/>
                    </w:rPr>
                  </w:pPr>
                </w:p>
              </w:tc>
              <w:tc>
                <w:tcPr>
                  <w:tcW w:w="1380" w:type="dxa"/>
                  <w:vMerge w:val="continue"/>
                  <w:vAlign w:val="center"/>
                </w:tcPr>
                <w:p w14:paraId="3768A664">
                  <w:pPr>
                    <w:pStyle w:val="88"/>
                    <w:jc w:val="center"/>
                    <w:rPr>
                      <w:rFonts w:hint="default" w:ascii="Times New Roman" w:hAnsi="Times New Roman" w:eastAsia="宋体"/>
                      <w:strike w:val="0"/>
                      <w:dstrike w:val="0"/>
                      <w:color w:val="auto"/>
                      <w:sz w:val="21"/>
                      <w:szCs w:val="21"/>
                      <w:highlight w:val="yellow"/>
                      <w:lang w:val="en-US" w:eastAsia="zh-CN"/>
                    </w:rPr>
                  </w:pPr>
                </w:p>
              </w:tc>
              <w:tc>
                <w:tcPr>
                  <w:tcW w:w="555" w:type="dxa"/>
                  <w:vMerge w:val="continue"/>
                  <w:vAlign w:val="center"/>
                </w:tcPr>
                <w:p w14:paraId="68F20E1A">
                  <w:pPr>
                    <w:pStyle w:val="99"/>
                    <w:jc w:val="center"/>
                    <w:rPr>
                      <w:rFonts w:ascii="Times New Roman" w:hAnsi="Times New Roman"/>
                      <w:strike w:val="0"/>
                      <w:dstrike w:val="0"/>
                      <w:color w:val="auto"/>
                      <w:sz w:val="21"/>
                      <w:szCs w:val="21"/>
                      <w:highlight w:val="yellow"/>
                    </w:rPr>
                  </w:pPr>
                </w:p>
              </w:tc>
              <w:tc>
                <w:tcPr>
                  <w:tcW w:w="675" w:type="dxa"/>
                  <w:vMerge w:val="continue"/>
                  <w:vAlign w:val="center"/>
                </w:tcPr>
                <w:p w14:paraId="5425392D">
                  <w:pPr>
                    <w:pStyle w:val="99"/>
                    <w:jc w:val="center"/>
                    <w:rPr>
                      <w:rFonts w:ascii="Times New Roman" w:hAnsi="Times New Roman"/>
                      <w:strike w:val="0"/>
                      <w:dstrike w:val="0"/>
                      <w:color w:val="auto"/>
                      <w:sz w:val="21"/>
                      <w:szCs w:val="21"/>
                      <w:highlight w:val="yellow"/>
                    </w:rPr>
                  </w:pPr>
                </w:p>
              </w:tc>
              <w:tc>
                <w:tcPr>
                  <w:tcW w:w="720" w:type="dxa"/>
                  <w:vMerge w:val="continue"/>
                  <w:vAlign w:val="center"/>
                </w:tcPr>
                <w:p w14:paraId="65D3A1A5">
                  <w:pPr>
                    <w:pStyle w:val="38"/>
                    <w:snapToGrid w:val="0"/>
                    <w:jc w:val="center"/>
                    <w:rPr>
                      <w:rFonts w:ascii="Times New Roman" w:eastAsia="宋体" w:cs="Times New Roman"/>
                      <w:strike w:val="0"/>
                      <w:dstrike w:val="0"/>
                      <w:color w:val="auto"/>
                      <w:spacing w:val="-6"/>
                      <w:sz w:val="21"/>
                      <w:szCs w:val="21"/>
                      <w:highlight w:val="yellow"/>
                    </w:rPr>
                  </w:pPr>
                </w:p>
              </w:tc>
              <w:tc>
                <w:tcPr>
                  <w:tcW w:w="713" w:type="dxa"/>
                  <w:vMerge w:val="continue"/>
                  <w:vAlign w:val="center"/>
                </w:tcPr>
                <w:p w14:paraId="4CBC6155">
                  <w:pPr>
                    <w:pStyle w:val="99"/>
                    <w:jc w:val="center"/>
                    <w:rPr>
                      <w:rFonts w:ascii="Times New Roman" w:hAnsi="Times New Roman"/>
                      <w:strike w:val="0"/>
                      <w:dstrike w:val="0"/>
                      <w:color w:val="auto"/>
                      <w:sz w:val="21"/>
                      <w:szCs w:val="21"/>
                      <w:highlight w:val="yellow"/>
                    </w:rPr>
                  </w:pPr>
                </w:p>
              </w:tc>
              <w:tc>
                <w:tcPr>
                  <w:tcW w:w="426" w:type="dxa"/>
                  <w:vMerge w:val="continue"/>
                  <w:vAlign w:val="center"/>
                </w:tcPr>
                <w:p w14:paraId="412A584F">
                  <w:pPr>
                    <w:pStyle w:val="99"/>
                    <w:jc w:val="center"/>
                    <w:rPr>
                      <w:rFonts w:ascii="Times New Roman" w:hAnsi="Times New Roman"/>
                      <w:strike w:val="0"/>
                      <w:dstrike w:val="0"/>
                      <w:color w:val="auto"/>
                      <w:sz w:val="21"/>
                      <w:szCs w:val="21"/>
                      <w:highlight w:val="yellow"/>
                    </w:rPr>
                  </w:pPr>
                </w:p>
              </w:tc>
              <w:tc>
                <w:tcPr>
                  <w:tcW w:w="626" w:type="dxa"/>
                  <w:vMerge w:val="continue"/>
                  <w:vAlign w:val="center"/>
                </w:tcPr>
                <w:p w14:paraId="287440A2">
                  <w:pPr>
                    <w:pStyle w:val="88"/>
                    <w:jc w:val="center"/>
                    <w:rPr>
                      <w:rFonts w:ascii="Times New Roman" w:hAnsi="Times New Roman"/>
                      <w:strike w:val="0"/>
                      <w:dstrike w:val="0"/>
                      <w:color w:val="auto"/>
                      <w:sz w:val="21"/>
                      <w:szCs w:val="21"/>
                      <w:highlight w:val="yellow"/>
                    </w:rPr>
                  </w:pPr>
                </w:p>
              </w:tc>
              <w:tc>
                <w:tcPr>
                  <w:tcW w:w="426" w:type="dxa"/>
                  <w:vMerge w:val="continue"/>
                  <w:vAlign w:val="center"/>
                </w:tcPr>
                <w:p w14:paraId="382AA41E">
                  <w:pPr>
                    <w:pStyle w:val="99"/>
                    <w:jc w:val="center"/>
                    <w:rPr>
                      <w:rFonts w:ascii="Times New Roman" w:hAnsi="Times New Roman"/>
                      <w:strike w:val="0"/>
                      <w:dstrike w:val="0"/>
                      <w:color w:val="auto"/>
                      <w:sz w:val="21"/>
                      <w:szCs w:val="21"/>
                      <w:highlight w:val="yellow"/>
                    </w:rPr>
                  </w:pPr>
                </w:p>
              </w:tc>
            </w:tr>
            <w:tr w14:paraId="35E2D2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80" w:hRule="atLeast"/>
                <w:tblHeader/>
                <w:jc w:val="center"/>
              </w:trPr>
              <w:tc>
                <w:tcPr>
                  <w:tcW w:w="369" w:type="dxa"/>
                  <w:vAlign w:val="center"/>
                </w:tcPr>
                <w:p w14:paraId="42BD1F3F">
                  <w:pPr>
                    <w:pStyle w:val="88"/>
                    <w:jc w:val="center"/>
                    <w:rPr>
                      <w:rFonts w:hint="eastAsia" w:ascii="Times New Roman" w:hAnsi="Times New Roman" w:eastAsia="宋体"/>
                      <w:strike w:val="0"/>
                      <w:dstrike w:val="0"/>
                      <w:color w:val="auto"/>
                      <w:sz w:val="21"/>
                      <w:szCs w:val="21"/>
                      <w:highlight w:val="none"/>
                      <w:lang w:val="en-US" w:eastAsia="zh-CN"/>
                    </w:rPr>
                  </w:pPr>
                  <w:r>
                    <w:rPr>
                      <w:rFonts w:hint="eastAsia" w:ascii="Times New Roman" w:hAnsi="Times New Roman"/>
                      <w:strike w:val="0"/>
                      <w:dstrike w:val="0"/>
                      <w:color w:val="auto"/>
                      <w:sz w:val="21"/>
                      <w:szCs w:val="21"/>
                      <w:highlight w:val="none"/>
                      <w:lang w:val="en-US" w:eastAsia="zh-CN"/>
                    </w:rPr>
                    <w:t>3</w:t>
                  </w:r>
                </w:p>
              </w:tc>
              <w:tc>
                <w:tcPr>
                  <w:tcW w:w="687" w:type="dxa"/>
                  <w:vAlign w:val="center"/>
                </w:tcPr>
                <w:p w14:paraId="0767C383">
                  <w:pPr>
                    <w:pStyle w:val="88"/>
                    <w:jc w:val="center"/>
                    <w:rPr>
                      <w:rFonts w:hint="eastAsia" w:ascii="Times New Roman" w:hAnsi="Times New Roman"/>
                      <w:strike w:val="0"/>
                      <w:dstrike w:val="0"/>
                      <w:color w:val="auto"/>
                      <w:sz w:val="21"/>
                      <w:szCs w:val="21"/>
                      <w:highlight w:val="none"/>
                      <w:lang w:eastAsia="zh-CN"/>
                    </w:rPr>
                  </w:pPr>
                  <w:r>
                    <w:rPr>
                      <w:rFonts w:hint="eastAsia" w:ascii="Times New Roman" w:hAnsi="Times New Roman"/>
                      <w:strike w:val="0"/>
                      <w:dstrike w:val="0"/>
                      <w:color w:val="auto"/>
                      <w:sz w:val="21"/>
                      <w:szCs w:val="21"/>
                      <w:highlight w:val="none"/>
                      <w:lang w:eastAsia="zh-CN"/>
                    </w:rPr>
                    <w:t>初期雨水</w:t>
                  </w:r>
                </w:p>
              </w:tc>
              <w:tc>
                <w:tcPr>
                  <w:tcW w:w="693" w:type="dxa"/>
                  <w:shd w:val="clear" w:color="auto" w:fill="auto"/>
                  <w:vAlign w:val="center"/>
                </w:tcPr>
                <w:p w14:paraId="18D8594A">
                  <w:pPr>
                    <w:pStyle w:val="88"/>
                    <w:jc w:val="center"/>
                    <w:rPr>
                      <w:rFonts w:hint="eastAsia" w:ascii="Times New Roman" w:hAnsi="Times New Roman" w:eastAsia="宋体" w:cs="Times New Roman"/>
                      <w:bCs/>
                      <w:strike w:val="0"/>
                      <w:dstrike w:val="0"/>
                      <w:color w:val="auto"/>
                      <w:sz w:val="21"/>
                      <w:szCs w:val="21"/>
                      <w:highlight w:val="none"/>
                      <w:lang w:val="en-US" w:eastAsia="zh-CN" w:bidi="ar-SA"/>
                    </w:rPr>
                  </w:pPr>
                  <w:r>
                    <w:rPr>
                      <w:rFonts w:ascii="Times New Roman" w:hAnsi="Times New Roman"/>
                      <w:bCs/>
                      <w:strike w:val="0"/>
                      <w:dstrike w:val="0"/>
                      <w:color w:val="auto"/>
                      <w:sz w:val="21"/>
                      <w:szCs w:val="21"/>
                      <w:highlight w:val="none"/>
                    </w:rPr>
                    <w:t>pH、COD、BOD</w:t>
                  </w:r>
                  <w:r>
                    <w:rPr>
                      <w:rFonts w:ascii="Times New Roman" w:hAnsi="Times New Roman"/>
                      <w:bCs/>
                      <w:strike w:val="0"/>
                      <w:dstrike w:val="0"/>
                      <w:color w:val="auto"/>
                      <w:sz w:val="21"/>
                      <w:szCs w:val="21"/>
                      <w:highlight w:val="none"/>
                      <w:vertAlign w:val="subscript"/>
                    </w:rPr>
                    <w:t>5</w:t>
                  </w:r>
                  <w:r>
                    <w:rPr>
                      <w:rFonts w:ascii="Times New Roman" w:hAnsi="Times New Roman"/>
                      <w:bCs/>
                      <w:strike w:val="0"/>
                      <w:dstrike w:val="0"/>
                      <w:color w:val="auto"/>
                      <w:sz w:val="21"/>
                      <w:szCs w:val="21"/>
                      <w:highlight w:val="none"/>
                    </w:rPr>
                    <w:t>、SS</w:t>
                  </w:r>
                  <w:r>
                    <w:rPr>
                      <w:rFonts w:hint="eastAsia" w:ascii="Times New Roman" w:hAnsi="Times New Roman"/>
                      <w:bCs/>
                      <w:strike w:val="0"/>
                      <w:dstrike w:val="0"/>
                      <w:color w:val="auto"/>
                      <w:sz w:val="21"/>
                      <w:szCs w:val="21"/>
                      <w:highlight w:val="none"/>
                      <w:lang w:eastAsia="zh-CN"/>
                    </w:rPr>
                    <w:t>、</w:t>
                  </w:r>
                  <w:r>
                    <w:rPr>
                      <w:rFonts w:ascii="Times New Roman" w:hAnsi="Times New Roman"/>
                      <w:bCs/>
                      <w:strike w:val="0"/>
                      <w:dstrike w:val="0"/>
                      <w:color w:val="auto"/>
                      <w:sz w:val="21"/>
                      <w:szCs w:val="21"/>
                      <w:highlight w:val="none"/>
                    </w:rPr>
                    <w:t>氨氮</w:t>
                  </w:r>
                  <w:r>
                    <w:rPr>
                      <w:rFonts w:hint="eastAsia" w:ascii="Times New Roman" w:hAnsi="Times New Roman"/>
                      <w:bCs/>
                      <w:strike w:val="0"/>
                      <w:dstrike w:val="0"/>
                      <w:color w:val="auto"/>
                      <w:sz w:val="21"/>
                      <w:szCs w:val="21"/>
                      <w:highlight w:val="none"/>
                      <w:lang w:eastAsia="zh-CN"/>
                    </w:rPr>
                    <w:t>、动植物油</w:t>
                  </w:r>
                </w:p>
              </w:tc>
              <w:tc>
                <w:tcPr>
                  <w:tcW w:w="645" w:type="dxa"/>
                  <w:vMerge w:val="continue"/>
                  <w:vAlign w:val="center"/>
                </w:tcPr>
                <w:p w14:paraId="0379E39B">
                  <w:pPr>
                    <w:pStyle w:val="99"/>
                    <w:jc w:val="center"/>
                    <w:rPr>
                      <w:rFonts w:hint="eastAsia" w:ascii="Times New Roman" w:hAnsi="Times New Roman" w:eastAsia="宋体"/>
                      <w:strike w:val="0"/>
                      <w:dstrike w:val="0"/>
                      <w:color w:val="auto"/>
                      <w:sz w:val="21"/>
                      <w:szCs w:val="21"/>
                      <w:highlight w:val="none"/>
                      <w:lang w:val="en-US" w:eastAsia="zh-CN"/>
                    </w:rPr>
                  </w:pPr>
                </w:p>
              </w:tc>
              <w:tc>
                <w:tcPr>
                  <w:tcW w:w="600" w:type="dxa"/>
                  <w:vMerge w:val="continue"/>
                  <w:vAlign w:val="center"/>
                </w:tcPr>
                <w:p w14:paraId="022A3C00">
                  <w:pPr>
                    <w:pStyle w:val="88"/>
                    <w:jc w:val="center"/>
                    <w:rPr>
                      <w:rFonts w:ascii="Times New Roman" w:hAnsi="Times New Roman"/>
                      <w:strike w:val="0"/>
                      <w:dstrike w:val="0"/>
                      <w:color w:val="auto"/>
                      <w:sz w:val="21"/>
                      <w:szCs w:val="21"/>
                      <w:highlight w:val="none"/>
                    </w:rPr>
                  </w:pPr>
                </w:p>
              </w:tc>
              <w:tc>
                <w:tcPr>
                  <w:tcW w:w="1380" w:type="dxa"/>
                  <w:vMerge w:val="continue"/>
                  <w:vAlign w:val="center"/>
                </w:tcPr>
                <w:p w14:paraId="2F2394CF">
                  <w:pPr>
                    <w:pStyle w:val="88"/>
                    <w:jc w:val="center"/>
                    <w:rPr>
                      <w:rFonts w:hint="default" w:ascii="Times New Roman" w:hAnsi="Times New Roman" w:eastAsia="宋体"/>
                      <w:strike w:val="0"/>
                      <w:dstrike w:val="0"/>
                      <w:color w:val="auto"/>
                      <w:sz w:val="21"/>
                      <w:szCs w:val="21"/>
                      <w:highlight w:val="yellow"/>
                      <w:lang w:val="en-US" w:eastAsia="zh-CN"/>
                    </w:rPr>
                  </w:pPr>
                </w:p>
              </w:tc>
              <w:tc>
                <w:tcPr>
                  <w:tcW w:w="555" w:type="dxa"/>
                  <w:vMerge w:val="continue"/>
                  <w:vAlign w:val="center"/>
                </w:tcPr>
                <w:p w14:paraId="6EF24468">
                  <w:pPr>
                    <w:pStyle w:val="99"/>
                    <w:jc w:val="center"/>
                    <w:rPr>
                      <w:rFonts w:ascii="Times New Roman" w:hAnsi="Times New Roman"/>
                      <w:strike w:val="0"/>
                      <w:dstrike w:val="0"/>
                      <w:color w:val="auto"/>
                      <w:sz w:val="21"/>
                      <w:szCs w:val="21"/>
                      <w:highlight w:val="yellow"/>
                    </w:rPr>
                  </w:pPr>
                </w:p>
              </w:tc>
              <w:tc>
                <w:tcPr>
                  <w:tcW w:w="675" w:type="dxa"/>
                  <w:vMerge w:val="continue"/>
                  <w:vAlign w:val="center"/>
                </w:tcPr>
                <w:p w14:paraId="1ACBEE2A">
                  <w:pPr>
                    <w:pStyle w:val="99"/>
                    <w:jc w:val="center"/>
                    <w:rPr>
                      <w:rFonts w:ascii="Times New Roman" w:hAnsi="Times New Roman"/>
                      <w:strike w:val="0"/>
                      <w:dstrike w:val="0"/>
                      <w:color w:val="auto"/>
                      <w:sz w:val="21"/>
                      <w:szCs w:val="21"/>
                      <w:highlight w:val="yellow"/>
                    </w:rPr>
                  </w:pPr>
                </w:p>
              </w:tc>
              <w:tc>
                <w:tcPr>
                  <w:tcW w:w="720" w:type="dxa"/>
                  <w:vMerge w:val="continue"/>
                  <w:vAlign w:val="center"/>
                </w:tcPr>
                <w:p w14:paraId="479791E7">
                  <w:pPr>
                    <w:pStyle w:val="38"/>
                    <w:snapToGrid w:val="0"/>
                    <w:jc w:val="center"/>
                    <w:rPr>
                      <w:rFonts w:ascii="Times New Roman" w:eastAsia="宋体" w:cs="Times New Roman"/>
                      <w:strike w:val="0"/>
                      <w:dstrike w:val="0"/>
                      <w:color w:val="auto"/>
                      <w:spacing w:val="-6"/>
                      <w:sz w:val="21"/>
                      <w:szCs w:val="21"/>
                      <w:highlight w:val="yellow"/>
                    </w:rPr>
                  </w:pPr>
                </w:p>
              </w:tc>
              <w:tc>
                <w:tcPr>
                  <w:tcW w:w="713" w:type="dxa"/>
                  <w:vMerge w:val="continue"/>
                  <w:vAlign w:val="center"/>
                </w:tcPr>
                <w:p w14:paraId="4F05E452">
                  <w:pPr>
                    <w:pStyle w:val="99"/>
                    <w:jc w:val="center"/>
                    <w:rPr>
                      <w:rFonts w:ascii="Times New Roman" w:hAnsi="Times New Roman"/>
                      <w:strike w:val="0"/>
                      <w:dstrike w:val="0"/>
                      <w:color w:val="auto"/>
                      <w:sz w:val="21"/>
                      <w:szCs w:val="21"/>
                      <w:highlight w:val="yellow"/>
                    </w:rPr>
                  </w:pPr>
                </w:p>
              </w:tc>
              <w:tc>
                <w:tcPr>
                  <w:tcW w:w="426" w:type="dxa"/>
                  <w:vMerge w:val="continue"/>
                  <w:vAlign w:val="center"/>
                </w:tcPr>
                <w:p w14:paraId="04878FF6">
                  <w:pPr>
                    <w:pStyle w:val="99"/>
                    <w:jc w:val="center"/>
                    <w:rPr>
                      <w:rFonts w:ascii="Times New Roman" w:hAnsi="Times New Roman"/>
                      <w:strike w:val="0"/>
                      <w:dstrike w:val="0"/>
                      <w:color w:val="auto"/>
                      <w:sz w:val="21"/>
                      <w:szCs w:val="21"/>
                      <w:highlight w:val="yellow"/>
                    </w:rPr>
                  </w:pPr>
                </w:p>
              </w:tc>
              <w:tc>
                <w:tcPr>
                  <w:tcW w:w="626" w:type="dxa"/>
                  <w:vMerge w:val="continue"/>
                  <w:vAlign w:val="center"/>
                </w:tcPr>
                <w:p w14:paraId="189F4551">
                  <w:pPr>
                    <w:pStyle w:val="88"/>
                    <w:jc w:val="center"/>
                    <w:rPr>
                      <w:rFonts w:ascii="Times New Roman" w:hAnsi="Times New Roman"/>
                      <w:strike w:val="0"/>
                      <w:dstrike w:val="0"/>
                      <w:color w:val="auto"/>
                      <w:sz w:val="21"/>
                      <w:szCs w:val="21"/>
                      <w:highlight w:val="yellow"/>
                    </w:rPr>
                  </w:pPr>
                </w:p>
              </w:tc>
              <w:tc>
                <w:tcPr>
                  <w:tcW w:w="426" w:type="dxa"/>
                  <w:vMerge w:val="continue"/>
                  <w:vAlign w:val="center"/>
                </w:tcPr>
                <w:p w14:paraId="3CC78AC8">
                  <w:pPr>
                    <w:pStyle w:val="99"/>
                    <w:jc w:val="center"/>
                    <w:rPr>
                      <w:rFonts w:ascii="Times New Roman" w:hAnsi="Times New Roman"/>
                      <w:strike w:val="0"/>
                      <w:dstrike w:val="0"/>
                      <w:color w:val="auto"/>
                      <w:sz w:val="21"/>
                      <w:szCs w:val="21"/>
                      <w:highlight w:val="yellow"/>
                    </w:rPr>
                  </w:pPr>
                </w:p>
              </w:tc>
            </w:tr>
          </w:tbl>
          <w:p w14:paraId="32723F49">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strike w:val="0"/>
                <w:dstrike w:val="0"/>
                <w:color w:val="auto"/>
                <w:kern w:val="2"/>
                <w:sz w:val="21"/>
                <w:szCs w:val="21"/>
                <w:highlight w:val="none"/>
              </w:rPr>
            </w:pPr>
            <w:r>
              <w:rPr>
                <w:b/>
                <w:bCs/>
                <w:strike w:val="0"/>
                <w:dstrike w:val="0"/>
                <w:color w:val="auto"/>
                <w:sz w:val="21"/>
                <w:szCs w:val="21"/>
                <w:highlight w:val="none"/>
              </w:rPr>
              <w:t>表4-</w:t>
            </w:r>
            <w:r>
              <w:rPr>
                <w:rFonts w:hint="eastAsia"/>
                <w:b/>
                <w:bCs/>
                <w:strike w:val="0"/>
                <w:dstrike w:val="0"/>
                <w:color w:val="auto"/>
                <w:sz w:val="21"/>
                <w:szCs w:val="21"/>
                <w:highlight w:val="none"/>
              </w:rPr>
              <w:t>1</w:t>
            </w:r>
            <w:r>
              <w:rPr>
                <w:rFonts w:hint="eastAsia"/>
                <w:b/>
                <w:bCs/>
                <w:strike w:val="0"/>
                <w:dstrike w:val="0"/>
                <w:color w:val="auto"/>
                <w:sz w:val="21"/>
                <w:szCs w:val="21"/>
                <w:highlight w:val="none"/>
                <w:lang w:val="en-US" w:eastAsia="zh-CN"/>
              </w:rPr>
              <w:t>8</w:t>
            </w:r>
            <w:r>
              <w:rPr>
                <w:b/>
                <w:bCs/>
                <w:strike w:val="0"/>
                <w:dstrike w:val="0"/>
                <w:color w:val="auto"/>
                <w:sz w:val="21"/>
                <w:szCs w:val="21"/>
                <w:highlight w:val="none"/>
              </w:rPr>
              <w:t xml:space="preserve"> 废水间接排放口基本情况表</w:t>
            </w:r>
          </w:p>
          <w:tbl>
            <w:tblPr>
              <w:tblStyle w:val="28"/>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41"/>
              <w:gridCol w:w="907"/>
              <w:gridCol w:w="698"/>
              <w:gridCol w:w="1214"/>
              <w:gridCol w:w="1143"/>
              <w:gridCol w:w="793"/>
              <w:gridCol w:w="553"/>
              <w:gridCol w:w="768"/>
              <w:gridCol w:w="833"/>
              <w:gridCol w:w="1179"/>
            </w:tblGrid>
            <w:tr w14:paraId="730908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43" w:type="dxa"/>
                  <w:vMerge w:val="restart"/>
                  <w:vAlign w:val="center"/>
                </w:tcPr>
                <w:p w14:paraId="0ED96AEF">
                  <w:pPr>
                    <w:jc w:val="center"/>
                    <w:rPr>
                      <w:strike w:val="0"/>
                      <w:dstrike w:val="0"/>
                      <w:color w:val="auto"/>
                      <w:szCs w:val="21"/>
                      <w:highlight w:val="none"/>
                    </w:rPr>
                  </w:pPr>
                  <w:r>
                    <w:rPr>
                      <w:strike w:val="0"/>
                      <w:dstrike w:val="0"/>
                      <w:color w:val="auto"/>
                      <w:szCs w:val="21"/>
                      <w:highlight w:val="none"/>
                    </w:rPr>
                    <w:t>序号</w:t>
                  </w:r>
                </w:p>
              </w:tc>
              <w:tc>
                <w:tcPr>
                  <w:tcW w:w="915" w:type="dxa"/>
                  <w:vMerge w:val="restart"/>
                  <w:vAlign w:val="center"/>
                </w:tcPr>
                <w:p w14:paraId="29CC4BC0">
                  <w:pPr>
                    <w:jc w:val="center"/>
                    <w:rPr>
                      <w:strike w:val="0"/>
                      <w:dstrike w:val="0"/>
                      <w:color w:val="auto"/>
                      <w:szCs w:val="21"/>
                      <w:highlight w:val="none"/>
                    </w:rPr>
                  </w:pPr>
                  <w:r>
                    <w:rPr>
                      <w:strike w:val="0"/>
                      <w:dstrike w:val="0"/>
                      <w:color w:val="auto"/>
                      <w:szCs w:val="21"/>
                      <w:highlight w:val="none"/>
                    </w:rPr>
                    <w:t>排放口编号</w:t>
                  </w:r>
                </w:p>
              </w:tc>
              <w:tc>
                <w:tcPr>
                  <w:tcW w:w="703" w:type="dxa"/>
                  <w:vMerge w:val="restart"/>
                  <w:vAlign w:val="center"/>
                </w:tcPr>
                <w:p w14:paraId="0F1D230D">
                  <w:pPr>
                    <w:jc w:val="center"/>
                    <w:rPr>
                      <w:strike w:val="0"/>
                      <w:dstrike w:val="0"/>
                      <w:color w:val="auto"/>
                      <w:szCs w:val="21"/>
                      <w:highlight w:val="none"/>
                    </w:rPr>
                  </w:pPr>
                  <w:r>
                    <w:rPr>
                      <w:strike w:val="0"/>
                      <w:dstrike w:val="0"/>
                      <w:color w:val="auto"/>
                      <w:szCs w:val="21"/>
                      <w:highlight w:val="none"/>
                    </w:rPr>
                    <w:t>排放口名称</w:t>
                  </w:r>
                </w:p>
              </w:tc>
              <w:tc>
                <w:tcPr>
                  <w:tcW w:w="2379" w:type="dxa"/>
                  <w:gridSpan w:val="2"/>
                  <w:vAlign w:val="center"/>
                </w:tcPr>
                <w:p w14:paraId="213E5273">
                  <w:pPr>
                    <w:jc w:val="center"/>
                    <w:rPr>
                      <w:strike w:val="0"/>
                      <w:dstrike w:val="0"/>
                      <w:color w:val="auto"/>
                      <w:szCs w:val="21"/>
                      <w:highlight w:val="none"/>
                    </w:rPr>
                  </w:pPr>
                  <w:r>
                    <w:rPr>
                      <w:strike w:val="0"/>
                      <w:dstrike w:val="0"/>
                      <w:color w:val="auto"/>
                      <w:szCs w:val="21"/>
                      <w:highlight w:val="none"/>
                    </w:rPr>
                    <w:t>排放口地理坐标</w:t>
                  </w:r>
                </w:p>
              </w:tc>
              <w:tc>
                <w:tcPr>
                  <w:tcW w:w="800" w:type="dxa"/>
                  <w:vMerge w:val="restart"/>
                  <w:vAlign w:val="center"/>
                </w:tcPr>
                <w:p w14:paraId="1D74A7F3">
                  <w:pPr>
                    <w:jc w:val="center"/>
                    <w:rPr>
                      <w:strike w:val="0"/>
                      <w:dstrike w:val="0"/>
                      <w:color w:val="auto"/>
                      <w:szCs w:val="21"/>
                      <w:highlight w:val="none"/>
                    </w:rPr>
                  </w:pPr>
                  <w:r>
                    <w:rPr>
                      <w:strike w:val="0"/>
                      <w:dstrike w:val="0"/>
                      <w:color w:val="auto"/>
                      <w:szCs w:val="21"/>
                      <w:highlight w:val="none"/>
                    </w:rPr>
                    <w:t>排放去向</w:t>
                  </w:r>
                </w:p>
              </w:tc>
              <w:tc>
                <w:tcPr>
                  <w:tcW w:w="557" w:type="dxa"/>
                  <w:vMerge w:val="restart"/>
                  <w:vAlign w:val="center"/>
                </w:tcPr>
                <w:p w14:paraId="787E7209">
                  <w:pPr>
                    <w:jc w:val="center"/>
                    <w:rPr>
                      <w:strike w:val="0"/>
                      <w:dstrike w:val="0"/>
                      <w:color w:val="auto"/>
                      <w:szCs w:val="21"/>
                      <w:highlight w:val="none"/>
                    </w:rPr>
                  </w:pPr>
                  <w:r>
                    <w:rPr>
                      <w:strike w:val="0"/>
                      <w:dstrike w:val="0"/>
                      <w:color w:val="auto"/>
                      <w:szCs w:val="21"/>
                      <w:highlight w:val="none"/>
                    </w:rPr>
                    <w:t>排放规律</w:t>
                  </w:r>
                </w:p>
              </w:tc>
              <w:tc>
                <w:tcPr>
                  <w:tcW w:w="2804" w:type="dxa"/>
                  <w:gridSpan w:val="3"/>
                  <w:vAlign w:val="center"/>
                </w:tcPr>
                <w:p w14:paraId="4A764E95">
                  <w:pPr>
                    <w:jc w:val="center"/>
                    <w:rPr>
                      <w:strike w:val="0"/>
                      <w:dstrike w:val="0"/>
                      <w:color w:val="auto"/>
                      <w:szCs w:val="21"/>
                      <w:highlight w:val="none"/>
                    </w:rPr>
                  </w:pPr>
                  <w:r>
                    <w:rPr>
                      <w:strike w:val="0"/>
                      <w:dstrike w:val="0"/>
                      <w:color w:val="auto"/>
                      <w:szCs w:val="21"/>
                      <w:highlight w:val="none"/>
                    </w:rPr>
                    <w:t>受纳污水处理厂信息</w:t>
                  </w:r>
                </w:p>
              </w:tc>
            </w:tr>
            <w:tr w14:paraId="7D1E28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9" w:hRule="atLeast"/>
                <w:tblHeader/>
                <w:jc w:val="center"/>
              </w:trPr>
              <w:tc>
                <w:tcPr>
                  <w:tcW w:w="443" w:type="dxa"/>
                  <w:vMerge w:val="continue"/>
                  <w:vAlign w:val="center"/>
                </w:tcPr>
                <w:p w14:paraId="17D2D7C0">
                  <w:pPr>
                    <w:jc w:val="center"/>
                    <w:rPr>
                      <w:strike w:val="0"/>
                      <w:dstrike w:val="0"/>
                      <w:color w:val="auto"/>
                      <w:szCs w:val="21"/>
                      <w:highlight w:val="none"/>
                    </w:rPr>
                  </w:pPr>
                </w:p>
              </w:tc>
              <w:tc>
                <w:tcPr>
                  <w:tcW w:w="915" w:type="dxa"/>
                  <w:vMerge w:val="continue"/>
                  <w:vAlign w:val="center"/>
                </w:tcPr>
                <w:p w14:paraId="5140229A">
                  <w:pPr>
                    <w:jc w:val="center"/>
                    <w:rPr>
                      <w:strike w:val="0"/>
                      <w:dstrike w:val="0"/>
                      <w:color w:val="auto"/>
                      <w:szCs w:val="21"/>
                      <w:highlight w:val="none"/>
                    </w:rPr>
                  </w:pPr>
                </w:p>
              </w:tc>
              <w:tc>
                <w:tcPr>
                  <w:tcW w:w="703" w:type="dxa"/>
                  <w:vMerge w:val="continue"/>
                  <w:vAlign w:val="center"/>
                </w:tcPr>
                <w:p w14:paraId="119AF2C6">
                  <w:pPr>
                    <w:jc w:val="center"/>
                    <w:rPr>
                      <w:strike w:val="0"/>
                      <w:dstrike w:val="0"/>
                      <w:color w:val="auto"/>
                      <w:szCs w:val="21"/>
                      <w:highlight w:val="none"/>
                    </w:rPr>
                  </w:pPr>
                </w:p>
              </w:tc>
              <w:tc>
                <w:tcPr>
                  <w:tcW w:w="1225" w:type="dxa"/>
                  <w:vAlign w:val="center"/>
                </w:tcPr>
                <w:p w14:paraId="5050EA33">
                  <w:pPr>
                    <w:jc w:val="center"/>
                    <w:rPr>
                      <w:strike w:val="0"/>
                      <w:dstrike w:val="0"/>
                      <w:color w:val="auto"/>
                      <w:szCs w:val="21"/>
                      <w:highlight w:val="none"/>
                    </w:rPr>
                  </w:pPr>
                  <w:r>
                    <w:rPr>
                      <w:strike w:val="0"/>
                      <w:dstrike w:val="0"/>
                      <w:color w:val="auto"/>
                      <w:szCs w:val="21"/>
                      <w:highlight w:val="none"/>
                    </w:rPr>
                    <w:t>经度</w:t>
                  </w:r>
                </w:p>
              </w:tc>
              <w:tc>
                <w:tcPr>
                  <w:tcW w:w="1154" w:type="dxa"/>
                  <w:vAlign w:val="center"/>
                </w:tcPr>
                <w:p w14:paraId="7FDD706C">
                  <w:pPr>
                    <w:jc w:val="center"/>
                    <w:rPr>
                      <w:strike w:val="0"/>
                      <w:dstrike w:val="0"/>
                      <w:color w:val="auto"/>
                      <w:szCs w:val="21"/>
                      <w:highlight w:val="none"/>
                    </w:rPr>
                  </w:pPr>
                  <w:r>
                    <w:rPr>
                      <w:strike w:val="0"/>
                      <w:dstrike w:val="0"/>
                      <w:color w:val="auto"/>
                      <w:szCs w:val="21"/>
                      <w:highlight w:val="none"/>
                    </w:rPr>
                    <w:t>纬度</w:t>
                  </w:r>
                </w:p>
              </w:tc>
              <w:tc>
                <w:tcPr>
                  <w:tcW w:w="800" w:type="dxa"/>
                  <w:vMerge w:val="continue"/>
                  <w:vAlign w:val="center"/>
                </w:tcPr>
                <w:p w14:paraId="266FE0BA">
                  <w:pPr>
                    <w:jc w:val="center"/>
                    <w:rPr>
                      <w:b/>
                      <w:strike w:val="0"/>
                      <w:dstrike w:val="0"/>
                      <w:color w:val="auto"/>
                      <w:kern w:val="44"/>
                      <w:szCs w:val="21"/>
                      <w:highlight w:val="none"/>
                    </w:rPr>
                  </w:pPr>
                </w:p>
              </w:tc>
              <w:tc>
                <w:tcPr>
                  <w:tcW w:w="557" w:type="dxa"/>
                  <w:vMerge w:val="continue"/>
                  <w:vAlign w:val="center"/>
                </w:tcPr>
                <w:p w14:paraId="1EB75705">
                  <w:pPr>
                    <w:jc w:val="center"/>
                    <w:rPr>
                      <w:b/>
                      <w:strike w:val="0"/>
                      <w:dstrike w:val="0"/>
                      <w:color w:val="auto"/>
                      <w:kern w:val="44"/>
                      <w:szCs w:val="21"/>
                      <w:highlight w:val="none"/>
                    </w:rPr>
                  </w:pPr>
                </w:p>
              </w:tc>
              <w:tc>
                <w:tcPr>
                  <w:tcW w:w="774" w:type="dxa"/>
                  <w:vAlign w:val="center"/>
                </w:tcPr>
                <w:p w14:paraId="0F0DB013">
                  <w:pPr>
                    <w:jc w:val="center"/>
                    <w:rPr>
                      <w:strike w:val="0"/>
                      <w:dstrike w:val="0"/>
                      <w:color w:val="auto"/>
                      <w:szCs w:val="21"/>
                      <w:highlight w:val="none"/>
                    </w:rPr>
                  </w:pPr>
                  <w:r>
                    <w:rPr>
                      <w:strike w:val="0"/>
                      <w:dstrike w:val="0"/>
                      <w:color w:val="auto"/>
                      <w:szCs w:val="21"/>
                      <w:highlight w:val="none"/>
                    </w:rPr>
                    <w:t>名称</w:t>
                  </w:r>
                </w:p>
              </w:tc>
              <w:tc>
                <w:tcPr>
                  <w:tcW w:w="840" w:type="dxa"/>
                  <w:vAlign w:val="center"/>
                </w:tcPr>
                <w:p w14:paraId="1F065CD9">
                  <w:pPr>
                    <w:jc w:val="center"/>
                    <w:rPr>
                      <w:strike w:val="0"/>
                      <w:dstrike w:val="0"/>
                      <w:color w:val="auto"/>
                      <w:spacing w:val="-12"/>
                      <w:szCs w:val="21"/>
                      <w:highlight w:val="none"/>
                    </w:rPr>
                  </w:pPr>
                  <w:r>
                    <w:rPr>
                      <w:strike w:val="0"/>
                      <w:dstrike w:val="0"/>
                      <w:color w:val="auto"/>
                      <w:spacing w:val="-12"/>
                      <w:szCs w:val="21"/>
                      <w:highlight w:val="none"/>
                    </w:rPr>
                    <w:t>污染物种类</w:t>
                  </w:r>
                </w:p>
              </w:tc>
              <w:tc>
                <w:tcPr>
                  <w:tcW w:w="1190" w:type="dxa"/>
                  <w:vAlign w:val="center"/>
                </w:tcPr>
                <w:p w14:paraId="42457EFF">
                  <w:pPr>
                    <w:jc w:val="center"/>
                    <w:rPr>
                      <w:strike w:val="0"/>
                      <w:dstrike w:val="0"/>
                      <w:color w:val="auto"/>
                      <w:szCs w:val="21"/>
                      <w:highlight w:val="none"/>
                    </w:rPr>
                  </w:pPr>
                  <w:r>
                    <w:rPr>
                      <w:strike w:val="0"/>
                      <w:dstrike w:val="0"/>
                      <w:color w:val="auto"/>
                      <w:szCs w:val="21"/>
                      <w:highlight w:val="none"/>
                    </w:rPr>
                    <w:t>国家或者地方污染物排放标准浓度限值(mg/L)</w:t>
                  </w:r>
                </w:p>
              </w:tc>
            </w:tr>
            <w:tr w14:paraId="57620C0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443" w:type="dxa"/>
                  <w:vMerge w:val="restart"/>
                  <w:vAlign w:val="center"/>
                </w:tcPr>
                <w:p w14:paraId="6A31641F">
                  <w:pPr>
                    <w:jc w:val="center"/>
                    <w:rPr>
                      <w:strike w:val="0"/>
                      <w:dstrike w:val="0"/>
                      <w:color w:val="auto"/>
                      <w:szCs w:val="21"/>
                      <w:highlight w:val="none"/>
                    </w:rPr>
                  </w:pPr>
                  <w:r>
                    <w:rPr>
                      <w:strike w:val="0"/>
                      <w:dstrike w:val="0"/>
                      <w:color w:val="auto"/>
                      <w:szCs w:val="21"/>
                      <w:highlight w:val="none"/>
                    </w:rPr>
                    <w:t>1</w:t>
                  </w:r>
                </w:p>
              </w:tc>
              <w:tc>
                <w:tcPr>
                  <w:tcW w:w="915" w:type="dxa"/>
                  <w:vMerge w:val="restart"/>
                  <w:vAlign w:val="center"/>
                </w:tcPr>
                <w:p w14:paraId="2610F9C3">
                  <w:pPr>
                    <w:pStyle w:val="99"/>
                    <w:jc w:val="center"/>
                    <w:rPr>
                      <w:rFonts w:ascii="Times New Roman" w:hAnsi="Times New Roman"/>
                      <w:strike w:val="0"/>
                      <w:dstrike w:val="0"/>
                      <w:color w:val="auto"/>
                      <w:spacing w:val="-6"/>
                      <w:sz w:val="21"/>
                      <w:szCs w:val="21"/>
                      <w:highlight w:val="none"/>
                    </w:rPr>
                  </w:pPr>
                  <w:r>
                    <w:rPr>
                      <w:rFonts w:ascii="Times New Roman" w:hAnsi="Times New Roman" w:eastAsia="黑体"/>
                      <w:strike w:val="0"/>
                      <w:dstrike w:val="0"/>
                      <w:color w:val="auto"/>
                      <w:sz w:val="21"/>
                      <w:szCs w:val="21"/>
                      <w:highlight w:val="none"/>
                    </w:rPr>
                    <w:t>DW001</w:t>
                  </w:r>
                </w:p>
              </w:tc>
              <w:tc>
                <w:tcPr>
                  <w:tcW w:w="703" w:type="dxa"/>
                  <w:vMerge w:val="restart"/>
                  <w:vAlign w:val="center"/>
                </w:tcPr>
                <w:p w14:paraId="0D51C40A">
                  <w:pPr>
                    <w:pStyle w:val="99"/>
                    <w:jc w:val="center"/>
                    <w:rPr>
                      <w:rFonts w:ascii="Times New Roman" w:hAnsi="Times New Roman"/>
                      <w:strike w:val="0"/>
                      <w:dstrike w:val="0"/>
                      <w:color w:val="auto"/>
                      <w:sz w:val="21"/>
                      <w:szCs w:val="21"/>
                      <w:highlight w:val="none"/>
                    </w:rPr>
                  </w:pPr>
                  <w:r>
                    <w:rPr>
                      <w:rFonts w:hint="eastAsia" w:ascii="Times New Roman" w:hAnsi="Times New Roman"/>
                      <w:strike w:val="0"/>
                      <w:dstrike w:val="0"/>
                      <w:color w:val="auto"/>
                      <w:sz w:val="21"/>
                      <w:szCs w:val="21"/>
                      <w:highlight w:val="none"/>
                      <w:lang w:eastAsia="zh-CN"/>
                    </w:rPr>
                    <w:t>池州中器</w:t>
                  </w:r>
                  <w:r>
                    <w:rPr>
                      <w:rFonts w:hint="eastAsia" w:ascii="Times New Roman" w:hAnsi="Times New Roman"/>
                      <w:strike w:val="0"/>
                      <w:dstrike w:val="0"/>
                      <w:color w:val="auto"/>
                      <w:sz w:val="21"/>
                      <w:szCs w:val="21"/>
                      <w:highlight w:val="none"/>
                      <w:lang w:val="en-US" w:eastAsia="zh-CN"/>
                    </w:rPr>
                    <w:t>再生</w:t>
                  </w:r>
                  <w:r>
                    <w:rPr>
                      <w:rFonts w:ascii="Times New Roman" w:hAnsi="Times New Roman"/>
                      <w:strike w:val="0"/>
                      <w:dstrike w:val="0"/>
                      <w:color w:val="auto"/>
                      <w:sz w:val="21"/>
                      <w:szCs w:val="21"/>
                      <w:highlight w:val="none"/>
                    </w:rPr>
                    <w:t>污水总排口</w:t>
                  </w:r>
                </w:p>
              </w:tc>
              <w:tc>
                <w:tcPr>
                  <w:tcW w:w="1225" w:type="dxa"/>
                  <w:vMerge w:val="restart"/>
                  <w:shd w:val="clear" w:color="auto" w:fill="auto"/>
                  <w:vAlign w:val="center"/>
                </w:tcPr>
                <w:p w14:paraId="24519903">
                  <w:pPr>
                    <w:widowControl/>
                    <w:jc w:val="center"/>
                    <w:textAlignment w:val="center"/>
                    <w:rPr>
                      <w:rFonts w:hint="eastAsia" w:ascii="Times New Roman" w:hAnsi="Times New Roman" w:eastAsia="宋体" w:cs="Times New Roman"/>
                      <w:strike w:val="0"/>
                      <w:dstrike w:val="0"/>
                      <w:color w:val="auto"/>
                      <w:kern w:val="2"/>
                      <w:sz w:val="21"/>
                      <w:szCs w:val="24"/>
                      <w:highlight w:val="none"/>
                      <w:lang w:val="en-US" w:eastAsia="zh-CN" w:bidi="ar-SA"/>
                    </w:rPr>
                  </w:pPr>
                  <w:r>
                    <w:rPr>
                      <w:rFonts w:hint="eastAsia" w:ascii="Times New Roman" w:hAnsi="Times New Roman" w:eastAsia="宋体" w:cs="Times New Roman"/>
                      <w:strike w:val="0"/>
                      <w:dstrike w:val="0"/>
                      <w:color w:val="auto"/>
                      <w:kern w:val="2"/>
                      <w:sz w:val="21"/>
                      <w:szCs w:val="24"/>
                      <w:highlight w:val="none"/>
                      <w:lang w:val="en-US" w:eastAsia="zh-CN" w:bidi="ar-SA"/>
                    </w:rPr>
                    <w:t>116.810339288,</w:t>
                  </w:r>
                </w:p>
              </w:tc>
              <w:tc>
                <w:tcPr>
                  <w:tcW w:w="1154" w:type="dxa"/>
                  <w:vMerge w:val="restart"/>
                  <w:shd w:val="clear" w:color="auto" w:fill="auto"/>
                  <w:vAlign w:val="center"/>
                </w:tcPr>
                <w:p w14:paraId="61F41607">
                  <w:pPr>
                    <w:widowControl/>
                    <w:jc w:val="center"/>
                    <w:textAlignment w:val="center"/>
                    <w:rPr>
                      <w:rFonts w:hint="eastAsia" w:ascii="Times New Roman" w:hAnsi="Times New Roman" w:eastAsia="宋体" w:cs="Times New Roman"/>
                      <w:strike w:val="0"/>
                      <w:dstrike w:val="0"/>
                      <w:color w:val="auto"/>
                      <w:kern w:val="2"/>
                      <w:sz w:val="21"/>
                      <w:szCs w:val="24"/>
                      <w:highlight w:val="none"/>
                      <w:lang w:val="en-US" w:eastAsia="zh-CN" w:bidi="ar-SA"/>
                    </w:rPr>
                  </w:pPr>
                  <w:r>
                    <w:rPr>
                      <w:rFonts w:hint="eastAsia" w:ascii="Times New Roman" w:hAnsi="Times New Roman" w:eastAsia="宋体" w:cs="Times New Roman"/>
                      <w:strike w:val="0"/>
                      <w:dstrike w:val="0"/>
                      <w:color w:val="auto"/>
                      <w:kern w:val="2"/>
                      <w:sz w:val="21"/>
                      <w:szCs w:val="24"/>
                      <w:highlight w:val="none"/>
                      <w:lang w:val="en-US" w:eastAsia="zh-CN" w:bidi="ar-SA"/>
                    </w:rPr>
                    <w:t>30.080383119</w:t>
                  </w:r>
                </w:p>
              </w:tc>
              <w:tc>
                <w:tcPr>
                  <w:tcW w:w="800" w:type="dxa"/>
                  <w:vMerge w:val="restart"/>
                  <w:vAlign w:val="center"/>
                </w:tcPr>
                <w:p w14:paraId="625A1988">
                  <w:pPr>
                    <w:jc w:val="center"/>
                    <w:rPr>
                      <w:color w:val="auto"/>
                    </w:rPr>
                  </w:pPr>
                  <w:r>
                    <w:rPr>
                      <w:strike w:val="0"/>
                      <w:dstrike w:val="0"/>
                      <w:color w:val="auto"/>
                      <w:szCs w:val="21"/>
                      <w:highlight w:val="none"/>
                    </w:rPr>
                    <w:t>市政管网</w:t>
                  </w:r>
                </w:p>
              </w:tc>
              <w:tc>
                <w:tcPr>
                  <w:tcW w:w="557" w:type="dxa"/>
                  <w:vMerge w:val="restart"/>
                  <w:vAlign w:val="center"/>
                </w:tcPr>
                <w:p w14:paraId="74A78044">
                  <w:pPr>
                    <w:widowControl/>
                    <w:jc w:val="center"/>
                    <w:textAlignment w:val="center"/>
                    <w:rPr>
                      <w:strike w:val="0"/>
                      <w:dstrike w:val="0"/>
                      <w:color w:val="auto"/>
                      <w:szCs w:val="21"/>
                      <w:highlight w:val="none"/>
                    </w:rPr>
                  </w:pPr>
                  <w:r>
                    <w:rPr>
                      <w:rFonts w:hint="eastAsia" w:ascii="Times New Roman" w:hAnsi="Times New Roman" w:eastAsia="宋体" w:cs="Times New Roman"/>
                      <w:strike w:val="0"/>
                      <w:dstrike w:val="0"/>
                      <w:color w:val="auto"/>
                      <w:kern w:val="2"/>
                      <w:sz w:val="21"/>
                      <w:szCs w:val="24"/>
                      <w:highlight w:val="none"/>
                      <w:lang w:val="en-US" w:eastAsia="zh-CN" w:bidi="ar-SA"/>
                    </w:rPr>
                    <w:t>间歇</w:t>
                  </w:r>
                </w:p>
              </w:tc>
              <w:tc>
                <w:tcPr>
                  <w:tcW w:w="774" w:type="dxa"/>
                  <w:vMerge w:val="restart"/>
                  <w:vAlign w:val="center"/>
                </w:tcPr>
                <w:p w14:paraId="72CDE9FB">
                  <w:pPr>
                    <w:jc w:val="center"/>
                    <w:rPr>
                      <w:strike w:val="0"/>
                      <w:dstrike w:val="0"/>
                      <w:color w:val="auto"/>
                      <w:szCs w:val="21"/>
                      <w:highlight w:val="none"/>
                    </w:rPr>
                  </w:pPr>
                  <w:r>
                    <w:rPr>
                      <w:rFonts w:hint="eastAsia"/>
                      <w:strike w:val="0"/>
                      <w:dstrike w:val="0"/>
                      <w:color w:val="auto"/>
                      <w:szCs w:val="21"/>
                      <w:highlight w:val="none"/>
                      <w:lang w:eastAsia="zh-CN"/>
                    </w:rPr>
                    <w:t>东至经开区</w:t>
                  </w:r>
                  <w:r>
                    <w:rPr>
                      <w:strike w:val="0"/>
                      <w:dstrike w:val="0"/>
                      <w:color w:val="auto"/>
                      <w:szCs w:val="21"/>
                      <w:highlight w:val="none"/>
                    </w:rPr>
                    <w:t>污水处理厂</w:t>
                  </w:r>
                </w:p>
              </w:tc>
              <w:tc>
                <w:tcPr>
                  <w:tcW w:w="840" w:type="dxa"/>
                  <w:vAlign w:val="center"/>
                </w:tcPr>
                <w:p w14:paraId="683FE2C5">
                  <w:pPr>
                    <w:jc w:val="center"/>
                    <w:rPr>
                      <w:strike w:val="0"/>
                      <w:dstrike w:val="0"/>
                      <w:color w:val="auto"/>
                      <w:szCs w:val="21"/>
                      <w:highlight w:val="none"/>
                    </w:rPr>
                  </w:pPr>
                  <w:r>
                    <w:rPr>
                      <w:bCs/>
                      <w:strike w:val="0"/>
                      <w:dstrike w:val="0"/>
                      <w:color w:val="auto"/>
                      <w:kern w:val="0"/>
                      <w:szCs w:val="21"/>
                      <w:highlight w:val="none"/>
                    </w:rPr>
                    <w:t>pH</w:t>
                  </w:r>
                </w:p>
              </w:tc>
              <w:tc>
                <w:tcPr>
                  <w:tcW w:w="1190" w:type="dxa"/>
                  <w:vAlign w:val="center"/>
                </w:tcPr>
                <w:p w14:paraId="08C622DF">
                  <w:pPr>
                    <w:jc w:val="center"/>
                    <w:rPr>
                      <w:strike w:val="0"/>
                      <w:dstrike w:val="0"/>
                      <w:color w:val="auto"/>
                      <w:szCs w:val="21"/>
                      <w:highlight w:val="none"/>
                    </w:rPr>
                  </w:pPr>
                  <w:r>
                    <w:rPr>
                      <w:strike w:val="0"/>
                      <w:dstrike w:val="0"/>
                      <w:color w:val="auto"/>
                      <w:szCs w:val="21"/>
                      <w:highlight w:val="none"/>
                    </w:rPr>
                    <w:t>6-9</w:t>
                  </w:r>
                </w:p>
              </w:tc>
            </w:tr>
            <w:tr w14:paraId="1FDFEF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5" w:hRule="atLeast"/>
                <w:tblHeader/>
                <w:jc w:val="center"/>
              </w:trPr>
              <w:tc>
                <w:tcPr>
                  <w:tcW w:w="443" w:type="dxa"/>
                  <w:vMerge w:val="continue"/>
                  <w:vAlign w:val="center"/>
                </w:tcPr>
                <w:p w14:paraId="39F3BE8F">
                  <w:pPr>
                    <w:jc w:val="center"/>
                    <w:rPr>
                      <w:strike w:val="0"/>
                      <w:dstrike w:val="0"/>
                      <w:color w:val="auto"/>
                      <w:szCs w:val="21"/>
                      <w:highlight w:val="none"/>
                    </w:rPr>
                  </w:pPr>
                </w:p>
              </w:tc>
              <w:tc>
                <w:tcPr>
                  <w:tcW w:w="915" w:type="dxa"/>
                  <w:vMerge w:val="continue"/>
                  <w:vAlign w:val="center"/>
                </w:tcPr>
                <w:p w14:paraId="3148456A">
                  <w:pPr>
                    <w:pStyle w:val="99"/>
                    <w:jc w:val="center"/>
                    <w:rPr>
                      <w:rFonts w:ascii="Times New Roman" w:hAnsi="Times New Roman"/>
                      <w:strike w:val="0"/>
                      <w:dstrike w:val="0"/>
                      <w:color w:val="auto"/>
                      <w:spacing w:val="-6"/>
                      <w:sz w:val="21"/>
                      <w:szCs w:val="21"/>
                      <w:highlight w:val="none"/>
                    </w:rPr>
                  </w:pPr>
                </w:p>
              </w:tc>
              <w:tc>
                <w:tcPr>
                  <w:tcW w:w="703" w:type="dxa"/>
                  <w:vMerge w:val="continue"/>
                  <w:vAlign w:val="center"/>
                </w:tcPr>
                <w:p w14:paraId="10920DA6">
                  <w:pPr>
                    <w:pStyle w:val="99"/>
                    <w:jc w:val="center"/>
                    <w:rPr>
                      <w:rFonts w:ascii="Times New Roman" w:hAnsi="Times New Roman"/>
                      <w:strike w:val="0"/>
                      <w:dstrike w:val="0"/>
                      <w:color w:val="auto"/>
                      <w:sz w:val="21"/>
                      <w:szCs w:val="21"/>
                      <w:highlight w:val="none"/>
                    </w:rPr>
                  </w:pPr>
                </w:p>
              </w:tc>
              <w:tc>
                <w:tcPr>
                  <w:tcW w:w="1225" w:type="dxa"/>
                  <w:vMerge w:val="continue"/>
                  <w:vAlign w:val="center"/>
                </w:tcPr>
                <w:p w14:paraId="6259CEF9">
                  <w:pPr>
                    <w:jc w:val="center"/>
                    <w:rPr>
                      <w:strike w:val="0"/>
                      <w:dstrike w:val="0"/>
                      <w:color w:val="auto"/>
                      <w:szCs w:val="21"/>
                      <w:highlight w:val="none"/>
                    </w:rPr>
                  </w:pPr>
                </w:p>
              </w:tc>
              <w:tc>
                <w:tcPr>
                  <w:tcW w:w="1154" w:type="dxa"/>
                  <w:vMerge w:val="continue"/>
                  <w:vAlign w:val="center"/>
                </w:tcPr>
                <w:p w14:paraId="5F72AB65">
                  <w:pPr>
                    <w:jc w:val="center"/>
                    <w:rPr>
                      <w:strike w:val="0"/>
                      <w:dstrike w:val="0"/>
                      <w:color w:val="auto"/>
                      <w:szCs w:val="21"/>
                      <w:highlight w:val="none"/>
                    </w:rPr>
                  </w:pPr>
                </w:p>
              </w:tc>
              <w:tc>
                <w:tcPr>
                  <w:tcW w:w="800" w:type="dxa"/>
                  <w:vMerge w:val="continue"/>
                  <w:vAlign w:val="center"/>
                </w:tcPr>
                <w:p w14:paraId="12083480">
                  <w:pPr>
                    <w:jc w:val="center"/>
                    <w:rPr>
                      <w:strike w:val="0"/>
                      <w:dstrike w:val="0"/>
                      <w:color w:val="auto"/>
                      <w:szCs w:val="21"/>
                      <w:highlight w:val="none"/>
                    </w:rPr>
                  </w:pPr>
                </w:p>
              </w:tc>
              <w:tc>
                <w:tcPr>
                  <w:tcW w:w="557" w:type="dxa"/>
                  <w:vMerge w:val="continue"/>
                  <w:vAlign w:val="center"/>
                </w:tcPr>
                <w:p w14:paraId="46B1FECA">
                  <w:pPr>
                    <w:jc w:val="center"/>
                    <w:rPr>
                      <w:strike w:val="0"/>
                      <w:dstrike w:val="0"/>
                      <w:color w:val="auto"/>
                      <w:szCs w:val="21"/>
                      <w:highlight w:val="none"/>
                    </w:rPr>
                  </w:pPr>
                </w:p>
              </w:tc>
              <w:tc>
                <w:tcPr>
                  <w:tcW w:w="774" w:type="dxa"/>
                  <w:vMerge w:val="continue"/>
                  <w:vAlign w:val="center"/>
                </w:tcPr>
                <w:p w14:paraId="36B7403A">
                  <w:pPr>
                    <w:jc w:val="center"/>
                    <w:rPr>
                      <w:strike w:val="0"/>
                      <w:dstrike w:val="0"/>
                      <w:color w:val="auto"/>
                      <w:szCs w:val="21"/>
                      <w:highlight w:val="none"/>
                    </w:rPr>
                  </w:pPr>
                </w:p>
              </w:tc>
              <w:tc>
                <w:tcPr>
                  <w:tcW w:w="840" w:type="dxa"/>
                  <w:vAlign w:val="center"/>
                </w:tcPr>
                <w:p w14:paraId="13AE13A3">
                  <w:pPr>
                    <w:jc w:val="center"/>
                    <w:rPr>
                      <w:strike w:val="0"/>
                      <w:dstrike w:val="0"/>
                      <w:color w:val="auto"/>
                      <w:szCs w:val="21"/>
                      <w:highlight w:val="none"/>
                    </w:rPr>
                  </w:pPr>
                  <w:r>
                    <w:rPr>
                      <w:strike w:val="0"/>
                      <w:dstrike w:val="0"/>
                      <w:color w:val="auto"/>
                      <w:szCs w:val="21"/>
                      <w:highlight w:val="none"/>
                    </w:rPr>
                    <w:t>COD</w:t>
                  </w:r>
                </w:p>
              </w:tc>
              <w:tc>
                <w:tcPr>
                  <w:tcW w:w="1190" w:type="dxa"/>
                  <w:vAlign w:val="center"/>
                </w:tcPr>
                <w:p w14:paraId="5479216E">
                  <w:pPr>
                    <w:jc w:val="center"/>
                    <w:rPr>
                      <w:strike w:val="0"/>
                      <w:dstrike w:val="0"/>
                      <w:color w:val="auto"/>
                      <w:szCs w:val="21"/>
                      <w:highlight w:val="none"/>
                    </w:rPr>
                  </w:pPr>
                  <w:r>
                    <w:rPr>
                      <w:rFonts w:hint="eastAsia"/>
                      <w:strike w:val="0"/>
                      <w:dstrike w:val="0"/>
                      <w:color w:val="auto"/>
                      <w:szCs w:val="21"/>
                      <w:highlight w:val="none"/>
                      <w:lang w:val="en-US" w:eastAsia="zh-CN"/>
                    </w:rPr>
                    <w:t>5</w:t>
                  </w:r>
                  <w:r>
                    <w:rPr>
                      <w:strike w:val="0"/>
                      <w:dstrike w:val="0"/>
                      <w:color w:val="auto"/>
                      <w:szCs w:val="21"/>
                      <w:highlight w:val="none"/>
                    </w:rPr>
                    <w:t>0</w:t>
                  </w:r>
                </w:p>
              </w:tc>
            </w:tr>
            <w:tr w14:paraId="1D2687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3" w:hRule="atLeast"/>
                <w:tblHeader/>
                <w:jc w:val="center"/>
              </w:trPr>
              <w:tc>
                <w:tcPr>
                  <w:tcW w:w="443" w:type="dxa"/>
                  <w:vMerge w:val="continue"/>
                  <w:vAlign w:val="center"/>
                </w:tcPr>
                <w:p w14:paraId="109B3412">
                  <w:pPr>
                    <w:jc w:val="center"/>
                    <w:rPr>
                      <w:strike w:val="0"/>
                      <w:dstrike w:val="0"/>
                      <w:color w:val="auto"/>
                      <w:szCs w:val="21"/>
                      <w:highlight w:val="none"/>
                    </w:rPr>
                  </w:pPr>
                </w:p>
              </w:tc>
              <w:tc>
                <w:tcPr>
                  <w:tcW w:w="915" w:type="dxa"/>
                  <w:vMerge w:val="continue"/>
                  <w:vAlign w:val="center"/>
                </w:tcPr>
                <w:p w14:paraId="5AC1B108">
                  <w:pPr>
                    <w:pStyle w:val="99"/>
                    <w:jc w:val="center"/>
                    <w:rPr>
                      <w:rFonts w:ascii="Times New Roman" w:hAnsi="Times New Roman" w:eastAsia="黑体"/>
                      <w:strike w:val="0"/>
                      <w:dstrike w:val="0"/>
                      <w:color w:val="auto"/>
                      <w:sz w:val="21"/>
                      <w:szCs w:val="21"/>
                      <w:highlight w:val="none"/>
                    </w:rPr>
                  </w:pPr>
                </w:p>
              </w:tc>
              <w:tc>
                <w:tcPr>
                  <w:tcW w:w="703" w:type="dxa"/>
                  <w:vMerge w:val="continue"/>
                  <w:vAlign w:val="center"/>
                </w:tcPr>
                <w:p w14:paraId="61E59B37">
                  <w:pPr>
                    <w:pStyle w:val="99"/>
                    <w:jc w:val="center"/>
                    <w:rPr>
                      <w:rFonts w:ascii="Times New Roman" w:hAnsi="Times New Roman"/>
                      <w:strike w:val="0"/>
                      <w:dstrike w:val="0"/>
                      <w:color w:val="auto"/>
                      <w:sz w:val="21"/>
                      <w:szCs w:val="21"/>
                      <w:highlight w:val="none"/>
                    </w:rPr>
                  </w:pPr>
                </w:p>
              </w:tc>
              <w:tc>
                <w:tcPr>
                  <w:tcW w:w="1225" w:type="dxa"/>
                  <w:vMerge w:val="continue"/>
                  <w:vAlign w:val="center"/>
                </w:tcPr>
                <w:p w14:paraId="733C19FF">
                  <w:pPr>
                    <w:jc w:val="center"/>
                    <w:rPr>
                      <w:strike w:val="0"/>
                      <w:dstrike w:val="0"/>
                      <w:color w:val="auto"/>
                      <w:szCs w:val="21"/>
                      <w:highlight w:val="none"/>
                    </w:rPr>
                  </w:pPr>
                </w:p>
              </w:tc>
              <w:tc>
                <w:tcPr>
                  <w:tcW w:w="1154" w:type="dxa"/>
                  <w:vMerge w:val="continue"/>
                  <w:vAlign w:val="center"/>
                </w:tcPr>
                <w:p w14:paraId="3B753F04">
                  <w:pPr>
                    <w:jc w:val="center"/>
                    <w:rPr>
                      <w:strike w:val="0"/>
                      <w:dstrike w:val="0"/>
                      <w:color w:val="auto"/>
                      <w:szCs w:val="21"/>
                      <w:highlight w:val="none"/>
                    </w:rPr>
                  </w:pPr>
                </w:p>
              </w:tc>
              <w:tc>
                <w:tcPr>
                  <w:tcW w:w="800" w:type="dxa"/>
                  <w:vMerge w:val="continue"/>
                  <w:vAlign w:val="center"/>
                </w:tcPr>
                <w:p w14:paraId="7C286B28">
                  <w:pPr>
                    <w:jc w:val="center"/>
                    <w:rPr>
                      <w:strike w:val="0"/>
                      <w:dstrike w:val="0"/>
                      <w:color w:val="auto"/>
                      <w:szCs w:val="21"/>
                      <w:highlight w:val="none"/>
                    </w:rPr>
                  </w:pPr>
                </w:p>
              </w:tc>
              <w:tc>
                <w:tcPr>
                  <w:tcW w:w="557" w:type="dxa"/>
                  <w:vMerge w:val="continue"/>
                  <w:vAlign w:val="center"/>
                </w:tcPr>
                <w:p w14:paraId="05FFD425">
                  <w:pPr>
                    <w:jc w:val="center"/>
                    <w:rPr>
                      <w:strike w:val="0"/>
                      <w:dstrike w:val="0"/>
                      <w:color w:val="auto"/>
                      <w:szCs w:val="21"/>
                      <w:highlight w:val="none"/>
                    </w:rPr>
                  </w:pPr>
                </w:p>
              </w:tc>
              <w:tc>
                <w:tcPr>
                  <w:tcW w:w="774" w:type="dxa"/>
                  <w:vMerge w:val="continue"/>
                  <w:vAlign w:val="center"/>
                </w:tcPr>
                <w:p w14:paraId="17FDEBDC">
                  <w:pPr>
                    <w:jc w:val="center"/>
                    <w:rPr>
                      <w:strike w:val="0"/>
                      <w:dstrike w:val="0"/>
                      <w:color w:val="auto"/>
                      <w:szCs w:val="21"/>
                      <w:highlight w:val="none"/>
                    </w:rPr>
                  </w:pPr>
                </w:p>
              </w:tc>
              <w:tc>
                <w:tcPr>
                  <w:tcW w:w="840" w:type="dxa"/>
                  <w:vAlign w:val="center"/>
                </w:tcPr>
                <w:p w14:paraId="1579DF8F">
                  <w:pPr>
                    <w:jc w:val="center"/>
                    <w:rPr>
                      <w:strike w:val="0"/>
                      <w:dstrike w:val="0"/>
                      <w:color w:val="auto"/>
                      <w:szCs w:val="21"/>
                      <w:highlight w:val="none"/>
                    </w:rPr>
                  </w:pPr>
                  <w:r>
                    <w:rPr>
                      <w:bCs/>
                      <w:strike w:val="0"/>
                      <w:dstrike w:val="0"/>
                      <w:color w:val="auto"/>
                      <w:kern w:val="0"/>
                      <w:szCs w:val="21"/>
                      <w:highlight w:val="none"/>
                    </w:rPr>
                    <w:t>BOD</w:t>
                  </w:r>
                  <w:r>
                    <w:rPr>
                      <w:bCs/>
                      <w:strike w:val="0"/>
                      <w:dstrike w:val="0"/>
                      <w:color w:val="auto"/>
                      <w:kern w:val="0"/>
                      <w:szCs w:val="21"/>
                      <w:highlight w:val="none"/>
                      <w:vertAlign w:val="subscript"/>
                    </w:rPr>
                    <w:t>5</w:t>
                  </w:r>
                </w:p>
              </w:tc>
              <w:tc>
                <w:tcPr>
                  <w:tcW w:w="1190" w:type="dxa"/>
                  <w:vAlign w:val="center"/>
                </w:tcPr>
                <w:p w14:paraId="7F4798EC">
                  <w:pPr>
                    <w:jc w:val="center"/>
                    <w:rPr>
                      <w:strike w:val="0"/>
                      <w:dstrike w:val="0"/>
                      <w:color w:val="auto"/>
                      <w:szCs w:val="21"/>
                      <w:highlight w:val="none"/>
                    </w:rPr>
                  </w:pPr>
                  <w:r>
                    <w:rPr>
                      <w:strike w:val="0"/>
                      <w:dstrike w:val="0"/>
                      <w:color w:val="auto"/>
                      <w:szCs w:val="21"/>
                      <w:highlight w:val="none"/>
                    </w:rPr>
                    <w:t>10</w:t>
                  </w:r>
                </w:p>
              </w:tc>
            </w:tr>
            <w:tr w14:paraId="5D8D7C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5" w:hRule="atLeast"/>
                <w:tblHeader/>
                <w:jc w:val="center"/>
              </w:trPr>
              <w:tc>
                <w:tcPr>
                  <w:tcW w:w="443" w:type="dxa"/>
                  <w:vMerge w:val="continue"/>
                  <w:vAlign w:val="center"/>
                </w:tcPr>
                <w:p w14:paraId="1B106E3E">
                  <w:pPr>
                    <w:jc w:val="center"/>
                    <w:rPr>
                      <w:strike w:val="0"/>
                      <w:dstrike w:val="0"/>
                      <w:color w:val="auto"/>
                      <w:szCs w:val="21"/>
                      <w:highlight w:val="none"/>
                    </w:rPr>
                  </w:pPr>
                </w:p>
              </w:tc>
              <w:tc>
                <w:tcPr>
                  <w:tcW w:w="915" w:type="dxa"/>
                  <w:vMerge w:val="continue"/>
                  <w:vAlign w:val="center"/>
                </w:tcPr>
                <w:p w14:paraId="55F1D845">
                  <w:pPr>
                    <w:pStyle w:val="99"/>
                    <w:jc w:val="center"/>
                    <w:rPr>
                      <w:rFonts w:ascii="Times New Roman" w:hAnsi="Times New Roman" w:eastAsia="黑体"/>
                      <w:strike w:val="0"/>
                      <w:dstrike w:val="0"/>
                      <w:color w:val="auto"/>
                      <w:sz w:val="21"/>
                      <w:szCs w:val="21"/>
                      <w:highlight w:val="none"/>
                    </w:rPr>
                  </w:pPr>
                </w:p>
              </w:tc>
              <w:tc>
                <w:tcPr>
                  <w:tcW w:w="703" w:type="dxa"/>
                  <w:vMerge w:val="continue"/>
                  <w:vAlign w:val="center"/>
                </w:tcPr>
                <w:p w14:paraId="24264422">
                  <w:pPr>
                    <w:pStyle w:val="99"/>
                    <w:jc w:val="center"/>
                    <w:rPr>
                      <w:rFonts w:ascii="Times New Roman" w:hAnsi="Times New Roman"/>
                      <w:strike w:val="0"/>
                      <w:dstrike w:val="0"/>
                      <w:color w:val="auto"/>
                      <w:sz w:val="21"/>
                      <w:szCs w:val="21"/>
                      <w:highlight w:val="none"/>
                    </w:rPr>
                  </w:pPr>
                </w:p>
              </w:tc>
              <w:tc>
                <w:tcPr>
                  <w:tcW w:w="1225" w:type="dxa"/>
                  <w:vMerge w:val="continue"/>
                  <w:vAlign w:val="center"/>
                </w:tcPr>
                <w:p w14:paraId="5DC65237">
                  <w:pPr>
                    <w:jc w:val="center"/>
                    <w:rPr>
                      <w:strike w:val="0"/>
                      <w:dstrike w:val="0"/>
                      <w:color w:val="auto"/>
                      <w:szCs w:val="21"/>
                      <w:highlight w:val="none"/>
                    </w:rPr>
                  </w:pPr>
                </w:p>
              </w:tc>
              <w:tc>
                <w:tcPr>
                  <w:tcW w:w="1154" w:type="dxa"/>
                  <w:vMerge w:val="continue"/>
                  <w:vAlign w:val="center"/>
                </w:tcPr>
                <w:p w14:paraId="10FF94DF">
                  <w:pPr>
                    <w:jc w:val="center"/>
                    <w:rPr>
                      <w:strike w:val="0"/>
                      <w:dstrike w:val="0"/>
                      <w:color w:val="auto"/>
                      <w:szCs w:val="21"/>
                      <w:highlight w:val="none"/>
                    </w:rPr>
                  </w:pPr>
                </w:p>
              </w:tc>
              <w:tc>
                <w:tcPr>
                  <w:tcW w:w="800" w:type="dxa"/>
                  <w:vMerge w:val="continue"/>
                  <w:vAlign w:val="center"/>
                </w:tcPr>
                <w:p w14:paraId="4CB45BD1">
                  <w:pPr>
                    <w:jc w:val="center"/>
                    <w:rPr>
                      <w:strike w:val="0"/>
                      <w:dstrike w:val="0"/>
                      <w:color w:val="auto"/>
                      <w:szCs w:val="21"/>
                      <w:highlight w:val="none"/>
                    </w:rPr>
                  </w:pPr>
                </w:p>
              </w:tc>
              <w:tc>
                <w:tcPr>
                  <w:tcW w:w="557" w:type="dxa"/>
                  <w:vMerge w:val="continue"/>
                  <w:vAlign w:val="center"/>
                </w:tcPr>
                <w:p w14:paraId="145BC9F8">
                  <w:pPr>
                    <w:jc w:val="center"/>
                    <w:rPr>
                      <w:strike w:val="0"/>
                      <w:dstrike w:val="0"/>
                      <w:color w:val="auto"/>
                      <w:szCs w:val="21"/>
                      <w:highlight w:val="none"/>
                    </w:rPr>
                  </w:pPr>
                </w:p>
              </w:tc>
              <w:tc>
                <w:tcPr>
                  <w:tcW w:w="774" w:type="dxa"/>
                  <w:vMerge w:val="continue"/>
                  <w:vAlign w:val="center"/>
                </w:tcPr>
                <w:p w14:paraId="6B2D7345">
                  <w:pPr>
                    <w:jc w:val="center"/>
                    <w:rPr>
                      <w:strike w:val="0"/>
                      <w:dstrike w:val="0"/>
                      <w:color w:val="auto"/>
                      <w:szCs w:val="21"/>
                      <w:highlight w:val="none"/>
                    </w:rPr>
                  </w:pPr>
                </w:p>
              </w:tc>
              <w:tc>
                <w:tcPr>
                  <w:tcW w:w="840" w:type="dxa"/>
                  <w:vAlign w:val="center"/>
                </w:tcPr>
                <w:p w14:paraId="5AF89C04">
                  <w:pPr>
                    <w:jc w:val="center"/>
                    <w:rPr>
                      <w:strike w:val="0"/>
                      <w:dstrike w:val="0"/>
                      <w:color w:val="auto"/>
                      <w:szCs w:val="21"/>
                      <w:highlight w:val="none"/>
                    </w:rPr>
                  </w:pPr>
                  <w:r>
                    <w:rPr>
                      <w:strike w:val="0"/>
                      <w:dstrike w:val="0"/>
                      <w:color w:val="auto"/>
                      <w:szCs w:val="21"/>
                      <w:highlight w:val="none"/>
                    </w:rPr>
                    <w:t>SS</w:t>
                  </w:r>
                </w:p>
              </w:tc>
              <w:tc>
                <w:tcPr>
                  <w:tcW w:w="1190" w:type="dxa"/>
                  <w:vAlign w:val="center"/>
                </w:tcPr>
                <w:p w14:paraId="6F8E5342">
                  <w:pPr>
                    <w:jc w:val="center"/>
                    <w:rPr>
                      <w:strike w:val="0"/>
                      <w:dstrike w:val="0"/>
                      <w:color w:val="auto"/>
                      <w:szCs w:val="21"/>
                      <w:highlight w:val="none"/>
                    </w:rPr>
                  </w:pPr>
                  <w:r>
                    <w:rPr>
                      <w:strike w:val="0"/>
                      <w:dstrike w:val="0"/>
                      <w:color w:val="auto"/>
                      <w:szCs w:val="21"/>
                      <w:highlight w:val="none"/>
                    </w:rPr>
                    <w:t>10</w:t>
                  </w:r>
                </w:p>
              </w:tc>
            </w:tr>
            <w:tr w14:paraId="5CD92C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5" w:hRule="atLeast"/>
                <w:tblHeader/>
                <w:jc w:val="center"/>
              </w:trPr>
              <w:tc>
                <w:tcPr>
                  <w:tcW w:w="443" w:type="dxa"/>
                  <w:vMerge w:val="continue"/>
                  <w:vAlign w:val="center"/>
                </w:tcPr>
                <w:p w14:paraId="21175310">
                  <w:pPr>
                    <w:jc w:val="center"/>
                    <w:rPr>
                      <w:strike w:val="0"/>
                      <w:dstrike w:val="0"/>
                      <w:color w:val="auto"/>
                      <w:szCs w:val="21"/>
                      <w:highlight w:val="none"/>
                    </w:rPr>
                  </w:pPr>
                </w:p>
              </w:tc>
              <w:tc>
                <w:tcPr>
                  <w:tcW w:w="915" w:type="dxa"/>
                  <w:vMerge w:val="continue"/>
                  <w:vAlign w:val="center"/>
                </w:tcPr>
                <w:p w14:paraId="6B8657A2">
                  <w:pPr>
                    <w:pStyle w:val="99"/>
                    <w:jc w:val="center"/>
                    <w:rPr>
                      <w:rFonts w:ascii="Times New Roman" w:hAnsi="Times New Roman" w:eastAsia="黑体"/>
                      <w:strike w:val="0"/>
                      <w:dstrike w:val="0"/>
                      <w:color w:val="auto"/>
                      <w:sz w:val="21"/>
                      <w:szCs w:val="21"/>
                      <w:highlight w:val="none"/>
                    </w:rPr>
                  </w:pPr>
                </w:p>
              </w:tc>
              <w:tc>
                <w:tcPr>
                  <w:tcW w:w="703" w:type="dxa"/>
                  <w:vMerge w:val="continue"/>
                  <w:vAlign w:val="center"/>
                </w:tcPr>
                <w:p w14:paraId="2956F2A2">
                  <w:pPr>
                    <w:pStyle w:val="99"/>
                    <w:jc w:val="center"/>
                    <w:rPr>
                      <w:rFonts w:ascii="Times New Roman" w:hAnsi="Times New Roman"/>
                      <w:strike w:val="0"/>
                      <w:dstrike w:val="0"/>
                      <w:color w:val="auto"/>
                      <w:sz w:val="21"/>
                      <w:szCs w:val="21"/>
                      <w:highlight w:val="none"/>
                    </w:rPr>
                  </w:pPr>
                </w:p>
              </w:tc>
              <w:tc>
                <w:tcPr>
                  <w:tcW w:w="1225" w:type="dxa"/>
                  <w:vMerge w:val="continue"/>
                  <w:vAlign w:val="center"/>
                </w:tcPr>
                <w:p w14:paraId="7694C83F">
                  <w:pPr>
                    <w:jc w:val="center"/>
                    <w:rPr>
                      <w:strike w:val="0"/>
                      <w:dstrike w:val="0"/>
                      <w:color w:val="auto"/>
                      <w:szCs w:val="21"/>
                      <w:highlight w:val="none"/>
                    </w:rPr>
                  </w:pPr>
                </w:p>
              </w:tc>
              <w:tc>
                <w:tcPr>
                  <w:tcW w:w="1154" w:type="dxa"/>
                  <w:vMerge w:val="continue"/>
                  <w:vAlign w:val="center"/>
                </w:tcPr>
                <w:p w14:paraId="1E3D9411">
                  <w:pPr>
                    <w:jc w:val="center"/>
                    <w:rPr>
                      <w:strike w:val="0"/>
                      <w:dstrike w:val="0"/>
                      <w:color w:val="auto"/>
                      <w:szCs w:val="21"/>
                      <w:highlight w:val="none"/>
                    </w:rPr>
                  </w:pPr>
                </w:p>
              </w:tc>
              <w:tc>
                <w:tcPr>
                  <w:tcW w:w="800" w:type="dxa"/>
                  <w:vMerge w:val="continue"/>
                  <w:vAlign w:val="center"/>
                </w:tcPr>
                <w:p w14:paraId="072CED2A">
                  <w:pPr>
                    <w:jc w:val="center"/>
                    <w:rPr>
                      <w:strike w:val="0"/>
                      <w:dstrike w:val="0"/>
                      <w:color w:val="auto"/>
                      <w:szCs w:val="21"/>
                      <w:highlight w:val="none"/>
                    </w:rPr>
                  </w:pPr>
                </w:p>
              </w:tc>
              <w:tc>
                <w:tcPr>
                  <w:tcW w:w="557" w:type="dxa"/>
                  <w:vMerge w:val="continue"/>
                  <w:vAlign w:val="center"/>
                </w:tcPr>
                <w:p w14:paraId="66AA0BD3">
                  <w:pPr>
                    <w:jc w:val="center"/>
                    <w:rPr>
                      <w:strike w:val="0"/>
                      <w:dstrike w:val="0"/>
                      <w:color w:val="auto"/>
                      <w:szCs w:val="21"/>
                      <w:highlight w:val="none"/>
                    </w:rPr>
                  </w:pPr>
                </w:p>
              </w:tc>
              <w:tc>
                <w:tcPr>
                  <w:tcW w:w="774" w:type="dxa"/>
                  <w:vMerge w:val="continue"/>
                  <w:vAlign w:val="center"/>
                </w:tcPr>
                <w:p w14:paraId="7E2C4CE9">
                  <w:pPr>
                    <w:jc w:val="center"/>
                    <w:rPr>
                      <w:strike w:val="0"/>
                      <w:dstrike w:val="0"/>
                      <w:color w:val="auto"/>
                      <w:szCs w:val="21"/>
                      <w:highlight w:val="none"/>
                    </w:rPr>
                  </w:pPr>
                </w:p>
              </w:tc>
              <w:tc>
                <w:tcPr>
                  <w:tcW w:w="840" w:type="dxa"/>
                  <w:vAlign w:val="center"/>
                </w:tcPr>
                <w:p w14:paraId="470C2873">
                  <w:pPr>
                    <w:jc w:val="center"/>
                    <w:rPr>
                      <w:strike w:val="0"/>
                      <w:dstrike w:val="0"/>
                      <w:color w:val="auto"/>
                      <w:szCs w:val="21"/>
                      <w:highlight w:val="none"/>
                    </w:rPr>
                  </w:pPr>
                  <w:r>
                    <w:rPr>
                      <w:rFonts w:hint="eastAsia"/>
                      <w:strike w:val="0"/>
                      <w:dstrike w:val="0"/>
                      <w:color w:val="auto"/>
                      <w:szCs w:val="21"/>
                      <w:highlight w:val="none"/>
                    </w:rPr>
                    <w:t>TP</w:t>
                  </w:r>
                </w:p>
              </w:tc>
              <w:tc>
                <w:tcPr>
                  <w:tcW w:w="1190" w:type="dxa"/>
                  <w:vAlign w:val="center"/>
                </w:tcPr>
                <w:p w14:paraId="4A1BB48C">
                  <w:pPr>
                    <w:jc w:val="center"/>
                    <w:rPr>
                      <w:rFonts w:hint="eastAsia" w:eastAsia="宋体"/>
                      <w:strike w:val="0"/>
                      <w:dstrike w:val="0"/>
                      <w:color w:val="auto"/>
                      <w:szCs w:val="21"/>
                      <w:highlight w:val="none"/>
                      <w:lang w:eastAsia="zh-CN"/>
                    </w:rPr>
                  </w:pPr>
                  <w:r>
                    <w:rPr>
                      <w:rFonts w:hint="eastAsia"/>
                      <w:strike w:val="0"/>
                      <w:dstrike w:val="0"/>
                      <w:color w:val="auto"/>
                      <w:szCs w:val="21"/>
                      <w:highlight w:val="none"/>
                    </w:rPr>
                    <w:t>0.</w:t>
                  </w:r>
                  <w:r>
                    <w:rPr>
                      <w:rFonts w:hint="eastAsia"/>
                      <w:strike w:val="0"/>
                      <w:dstrike w:val="0"/>
                      <w:color w:val="auto"/>
                      <w:szCs w:val="21"/>
                      <w:highlight w:val="none"/>
                      <w:lang w:val="en-US" w:eastAsia="zh-CN"/>
                    </w:rPr>
                    <w:t>5</w:t>
                  </w:r>
                </w:p>
              </w:tc>
            </w:tr>
            <w:tr w14:paraId="56828F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5" w:hRule="atLeast"/>
                <w:tblHeader/>
                <w:jc w:val="center"/>
              </w:trPr>
              <w:tc>
                <w:tcPr>
                  <w:tcW w:w="443" w:type="dxa"/>
                  <w:vMerge w:val="continue"/>
                  <w:vAlign w:val="center"/>
                </w:tcPr>
                <w:p w14:paraId="44BA67A4">
                  <w:pPr>
                    <w:jc w:val="center"/>
                    <w:rPr>
                      <w:strike w:val="0"/>
                      <w:dstrike w:val="0"/>
                      <w:color w:val="auto"/>
                      <w:szCs w:val="21"/>
                      <w:highlight w:val="none"/>
                    </w:rPr>
                  </w:pPr>
                </w:p>
              </w:tc>
              <w:tc>
                <w:tcPr>
                  <w:tcW w:w="915" w:type="dxa"/>
                  <w:vMerge w:val="continue"/>
                  <w:vAlign w:val="center"/>
                </w:tcPr>
                <w:p w14:paraId="34B8A83F">
                  <w:pPr>
                    <w:pStyle w:val="99"/>
                    <w:jc w:val="center"/>
                    <w:rPr>
                      <w:rFonts w:ascii="Times New Roman" w:hAnsi="Times New Roman" w:eastAsia="黑体"/>
                      <w:strike w:val="0"/>
                      <w:dstrike w:val="0"/>
                      <w:color w:val="auto"/>
                      <w:sz w:val="21"/>
                      <w:szCs w:val="21"/>
                      <w:highlight w:val="none"/>
                    </w:rPr>
                  </w:pPr>
                </w:p>
              </w:tc>
              <w:tc>
                <w:tcPr>
                  <w:tcW w:w="703" w:type="dxa"/>
                  <w:vMerge w:val="continue"/>
                  <w:vAlign w:val="center"/>
                </w:tcPr>
                <w:p w14:paraId="3C6775B1">
                  <w:pPr>
                    <w:pStyle w:val="99"/>
                    <w:jc w:val="center"/>
                    <w:rPr>
                      <w:rFonts w:ascii="Times New Roman" w:hAnsi="Times New Roman"/>
                      <w:strike w:val="0"/>
                      <w:dstrike w:val="0"/>
                      <w:color w:val="auto"/>
                      <w:sz w:val="21"/>
                      <w:szCs w:val="21"/>
                      <w:highlight w:val="none"/>
                    </w:rPr>
                  </w:pPr>
                </w:p>
              </w:tc>
              <w:tc>
                <w:tcPr>
                  <w:tcW w:w="1225" w:type="dxa"/>
                  <w:vMerge w:val="continue"/>
                  <w:vAlign w:val="center"/>
                </w:tcPr>
                <w:p w14:paraId="6A396B83">
                  <w:pPr>
                    <w:jc w:val="center"/>
                    <w:rPr>
                      <w:strike w:val="0"/>
                      <w:dstrike w:val="0"/>
                      <w:color w:val="auto"/>
                      <w:szCs w:val="21"/>
                      <w:highlight w:val="none"/>
                    </w:rPr>
                  </w:pPr>
                </w:p>
              </w:tc>
              <w:tc>
                <w:tcPr>
                  <w:tcW w:w="1154" w:type="dxa"/>
                  <w:vMerge w:val="continue"/>
                  <w:vAlign w:val="center"/>
                </w:tcPr>
                <w:p w14:paraId="713EE5A2">
                  <w:pPr>
                    <w:jc w:val="center"/>
                    <w:rPr>
                      <w:strike w:val="0"/>
                      <w:dstrike w:val="0"/>
                      <w:color w:val="auto"/>
                      <w:szCs w:val="21"/>
                      <w:highlight w:val="none"/>
                    </w:rPr>
                  </w:pPr>
                </w:p>
              </w:tc>
              <w:tc>
                <w:tcPr>
                  <w:tcW w:w="800" w:type="dxa"/>
                  <w:vMerge w:val="continue"/>
                  <w:vAlign w:val="center"/>
                </w:tcPr>
                <w:p w14:paraId="2743E138">
                  <w:pPr>
                    <w:jc w:val="center"/>
                    <w:rPr>
                      <w:strike w:val="0"/>
                      <w:dstrike w:val="0"/>
                      <w:color w:val="auto"/>
                      <w:szCs w:val="21"/>
                      <w:highlight w:val="none"/>
                    </w:rPr>
                  </w:pPr>
                </w:p>
              </w:tc>
              <w:tc>
                <w:tcPr>
                  <w:tcW w:w="557" w:type="dxa"/>
                  <w:vMerge w:val="continue"/>
                  <w:vAlign w:val="center"/>
                </w:tcPr>
                <w:p w14:paraId="5C2497A2">
                  <w:pPr>
                    <w:jc w:val="center"/>
                    <w:rPr>
                      <w:strike w:val="0"/>
                      <w:dstrike w:val="0"/>
                      <w:color w:val="auto"/>
                      <w:szCs w:val="21"/>
                      <w:highlight w:val="none"/>
                    </w:rPr>
                  </w:pPr>
                </w:p>
              </w:tc>
              <w:tc>
                <w:tcPr>
                  <w:tcW w:w="774" w:type="dxa"/>
                  <w:vMerge w:val="continue"/>
                  <w:vAlign w:val="center"/>
                </w:tcPr>
                <w:p w14:paraId="1A4EBF34">
                  <w:pPr>
                    <w:jc w:val="center"/>
                    <w:rPr>
                      <w:strike w:val="0"/>
                      <w:dstrike w:val="0"/>
                      <w:color w:val="auto"/>
                      <w:szCs w:val="21"/>
                      <w:highlight w:val="none"/>
                    </w:rPr>
                  </w:pPr>
                </w:p>
              </w:tc>
              <w:tc>
                <w:tcPr>
                  <w:tcW w:w="840" w:type="dxa"/>
                  <w:vAlign w:val="center"/>
                </w:tcPr>
                <w:p w14:paraId="50EA82CE">
                  <w:pPr>
                    <w:jc w:val="center"/>
                    <w:rPr>
                      <w:strike w:val="0"/>
                      <w:dstrike w:val="0"/>
                      <w:color w:val="auto"/>
                      <w:szCs w:val="21"/>
                      <w:highlight w:val="none"/>
                    </w:rPr>
                  </w:pPr>
                  <w:r>
                    <w:rPr>
                      <w:strike w:val="0"/>
                      <w:dstrike w:val="0"/>
                      <w:color w:val="auto"/>
                      <w:szCs w:val="21"/>
                      <w:highlight w:val="none"/>
                    </w:rPr>
                    <w:t>NH</w:t>
                  </w:r>
                  <w:r>
                    <w:rPr>
                      <w:strike w:val="0"/>
                      <w:dstrike w:val="0"/>
                      <w:color w:val="auto"/>
                      <w:szCs w:val="21"/>
                      <w:highlight w:val="none"/>
                      <w:vertAlign w:val="subscript"/>
                    </w:rPr>
                    <w:t>3</w:t>
                  </w:r>
                  <w:r>
                    <w:rPr>
                      <w:strike w:val="0"/>
                      <w:dstrike w:val="0"/>
                      <w:color w:val="auto"/>
                      <w:szCs w:val="21"/>
                      <w:highlight w:val="none"/>
                    </w:rPr>
                    <w:t>-N</w:t>
                  </w:r>
                </w:p>
              </w:tc>
              <w:tc>
                <w:tcPr>
                  <w:tcW w:w="1190" w:type="dxa"/>
                  <w:vAlign w:val="center"/>
                </w:tcPr>
                <w:p w14:paraId="6899DCFE">
                  <w:pPr>
                    <w:jc w:val="center"/>
                    <w:rPr>
                      <w:strike w:val="0"/>
                      <w:dstrike w:val="0"/>
                      <w:color w:val="auto"/>
                      <w:szCs w:val="21"/>
                      <w:highlight w:val="none"/>
                    </w:rPr>
                  </w:pPr>
                  <w:r>
                    <w:rPr>
                      <w:rFonts w:hint="eastAsia"/>
                      <w:strike w:val="0"/>
                      <w:dstrike w:val="0"/>
                      <w:color w:val="auto"/>
                      <w:szCs w:val="21"/>
                      <w:highlight w:val="none"/>
                      <w:lang w:val="en-US" w:eastAsia="zh-CN"/>
                    </w:rPr>
                    <w:t>5</w:t>
                  </w:r>
                  <w:r>
                    <w:rPr>
                      <w:strike w:val="0"/>
                      <w:dstrike w:val="0"/>
                      <w:color w:val="auto"/>
                      <w:szCs w:val="21"/>
                      <w:highlight w:val="none"/>
                    </w:rPr>
                    <w:t>.0（</w:t>
                  </w:r>
                  <w:r>
                    <w:rPr>
                      <w:rFonts w:hint="eastAsia"/>
                      <w:strike w:val="0"/>
                      <w:dstrike w:val="0"/>
                      <w:color w:val="auto"/>
                      <w:szCs w:val="21"/>
                      <w:highlight w:val="none"/>
                      <w:lang w:val="en-US" w:eastAsia="zh-CN"/>
                    </w:rPr>
                    <w:t>8</w:t>
                  </w:r>
                  <w:r>
                    <w:rPr>
                      <w:strike w:val="0"/>
                      <w:dstrike w:val="0"/>
                      <w:color w:val="auto"/>
                      <w:szCs w:val="21"/>
                      <w:highlight w:val="none"/>
                    </w:rPr>
                    <w:t>.0）</w:t>
                  </w:r>
                </w:p>
              </w:tc>
            </w:tr>
          </w:tbl>
          <w:p w14:paraId="42953BB0">
            <w:pPr>
              <w:spacing w:line="360" w:lineRule="auto"/>
              <w:rPr>
                <w:color w:val="auto"/>
                <w:sz w:val="24"/>
              </w:rPr>
            </w:pPr>
            <w:r>
              <w:rPr>
                <w:b/>
                <w:bCs/>
                <w:color w:val="auto"/>
                <w:sz w:val="24"/>
              </w:rPr>
              <w:t>三、声环境影响分析</w:t>
            </w:r>
          </w:p>
          <w:p w14:paraId="2C9BFCFB">
            <w:pPr>
              <w:pStyle w:val="100"/>
              <w:ind w:firstLine="0" w:firstLineChars="0"/>
              <w:rPr>
                <w:b/>
                <w:bCs/>
                <w:color w:val="auto"/>
              </w:rPr>
            </w:pPr>
            <w:r>
              <w:rPr>
                <w:b/>
                <w:bCs/>
                <w:color w:val="auto"/>
              </w:rPr>
              <w:t>1、噪声污染源强分析</w:t>
            </w:r>
          </w:p>
          <w:p w14:paraId="02906DFC">
            <w:pPr>
              <w:spacing w:line="360" w:lineRule="auto"/>
              <w:ind w:firstLine="480" w:firstLineChars="200"/>
              <w:rPr>
                <w:color w:val="auto"/>
                <w:sz w:val="24"/>
              </w:rPr>
            </w:pPr>
            <w:r>
              <w:rPr>
                <w:bCs/>
                <w:color w:val="auto"/>
                <w:sz w:val="24"/>
              </w:rPr>
              <w:t>本项目主要噪声来自</w:t>
            </w:r>
            <w:r>
              <w:rPr>
                <w:rFonts w:hint="eastAsia"/>
                <w:color w:val="auto"/>
                <w:kern w:val="0"/>
                <w:sz w:val="24"/>
                <w:lang w:eastAsia="zh-CN" w:bidi="ar"/>
              </w:rPr>
              <w:t>生成</w:t>
            </w:r>
            <w:r>
              <w:rPr>
                <w:color w:val="auto"/>
                <w:kern w:val="0"/>
                <w:sz w:val="24"/>
                <w:lang w:bidi="ar"/>
              </w:rPr>
              <w:t>设备以及</w:t>
            </w:r>
            <w:r>
              <w:rPr>
                <w:color w:val="auto"/>
                <w:sz w:val="24"/>
              </w:rPr>
              <w:t>风机</w:t>
            </w:r>
            <w:r>
              <w:rPr>
                <w:bCs/>
                <w:color w:val="auto"/>
                <w:sz w:val="24"/>
              </w:rPr>
              <w:t>等环保辅助设备</w:t>
            </w:r>
            <w:r>
              <w:rPr>
                <w:rFonts w:ascii="Times New Roman" w:hAnsi="Times New Roman" w:eastAsia="宋体" w:cs="Times New Roman"/>
                <w:bCs/>
                <w:color w:val="auto"/>
                <w:sz w:val="24"/>
              </w:rPr>
              <w:t>，以</w:t>
            </w:r>
            <w:r>
              <w:rPr>
                <w:rFonts w:hint="eastAsia" w:ascii="Times New Roman" w:hAnsi="Times New Roman" w:eastAsia="宋体" w:cs="Times New Roman"/>
                <w:bCs/>
                <w:color w:val="auto"/>
                <w:sz w:val="24"/>
                <w:lang w:val="en-US" w:eastAsia="zh-CN"/>
              </w:rPr>
              <w:t>厂房一的</w:t>
            </w:r>
            <w:r>
              <w:rPr>
                <w:color w:val="auto"/>
                <w:sz w:val="24"/>
              </w:rPr>
              <w:t>总平面布置的最西边和最南边的交点为原点，建立坐标系，正北方向为正y轴，正东方向为x轴。</w:t>
            </w:r>
            <w:r>
              <w:rPr>
                <w:color w:val="auto"/>
                <w:sz w:val="24"/>
                <w:lang w:bidi="ar"/>
              </w:rPr>
              <w:t>项目主要噪声源强见下表。</w:t>
            </w:r>
          </w:p>
          <w:p w14:paraId="5AF130F0">
            <w:pPr>
              <w:pStyle w:val="2"/>
              <w:rPr>
                <w:rFonts w:hint="eastAsia"/>
                <w:color w:val="auto"/>
                <w:lang w:val="en-US" w:eastAsia="zh-CN"/>
              </w:rPr>
            </w:pPr>
          </w:p>
        </w:tc>
      </w:tr>
    </w:tbl>
    <w:p w14:paraId="79176254">
      <w:pPr>
        <w:rPr>
          <w:rFonts w:hint="eastAsia"/>
          <w:color w:val="auto"/>
        </w:rPr>
        <w:sectPr>
          <w:pgSz w:w="11907" w:h="16840"/>
          <w:pgMar w:top="1701" w:right="1531" w:bottom="2127" w:left="1531" w:header="851" w:footer="851" w:gutter="0"/>
          <w:cols w:space="720" w:num="1"/>
          <w:docGrid w:linePitch="312" w:charSpace="0"/>
        </w:sect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
        <w:gridCol w:w="12988"/>
      </w:tblGrid>
      <w:tr w14:paraId="23102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 w:type="dxa"/>
          </w:tcPr>
          <w:p w14:paraId="5E1AFC0B">
            <w:pPr>
              <w:pStyle w:val="2"/>
              <w:rPr>
                <w:rFonts w:hint="eastAsia"/>
                <w:color w:val="auto"/>
                <w:vertAlign w:val="baseline"/>
              </w:rPr>
            </w:pPr>
          </w:p>
        </w:tc>
        <w:tc>
          <w:tcPr>
            <w:tcW w:w="12988" w:type="dxa"/>
          </w:tcPr>
          <w:p w14:paraId="7C02619D">
            <w:pPr>
              <w:adjustRightInd w:val="0"/>
              <w:snapToGrid w:val="0"/>
              <w:jc w:val="center"/>
              <w:rPr>
                <w:b/>
                <w:bCs/>
                <w:color w:val="auto"/>
                <w:sz w:val="21"/>
                <w:szCs w:val="21"/>
              </w:rPr>
            </w:pPr>
            <w:r>
              <w:rPr>
                <w:b/>
                <w:bCs/>
                <w:color w:val="auto"/>
                <w:sz w:val="21"/>
                <w:szCs w:val="21"/>
              </w:rPr>
              <w:t>表4-1</w:t>
            </w:r>
            <w:r>
              <w:rPr>
                <w:rFonts w:hint="eastAsia"/>
                <w:b/>
                <w:bCs/>
                <w:color w:val="auto"/>
                <w:sz w:val="21"/>
                <w:szCs w:val="21"/>
                <w:lang w:val="en-US" w:eastAsia="zh-CN"/>
              </w:rPr>
              <w:t>9</w:t>
            </w:r>
            <w:r>
              <w:rPr>
                <w:b/>
                <w:bCs/>
                <w:color w:val="auto"/>
                <w:sz w:val="21"/>
                <w:szCs w:val="21"/>
              </w:rPr>
              <w:t>主要噪声源强统计</w:t>
            </w:r>
            <w:r>
              <w:rPr>
                <w:b/>
                <w:bCs/>
                <w:color w:val="auto"/>
                <w:kern w:val="0"/>
                <w:sz w:val="21"/>
                <w:szCs w:val="21"/>
              </w:rPr>
              <w:t>一览表</w:t>
            </w:r>
          </w:p>
          <w:tbl>
            <w:tblPr>
              <w:tblStyle w:val="28"/>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900"/>
              <w:gridCol w:w="895"/>
              <w:gridCol w:w="1178"/>
              <w:gridCol w:w="900"/>
              <w:gridCol w:w="1045"/>
              <w:gridCol w:w="1021"/>
              <w:gridCol w:w="640"/>
              <w:gridCol w:w="877"/>
              <w:gridCol w:w="1170"/>
              <w:gridCol w:w="607"/>
              <w:gridCol w:w="1170"/>
              <w:gridCol w:w="1170"/>
              <w:gridCol w:w="614"/>
            </w:tblGrid>
            <w:tr w14:paraId="0FB93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215" w:type="pct"/>
                  <w:vMerge w:val="restart"/>
                  <w:tcBorders>
                    <w:top w:val="single" w:color="auto" w:sz="4" w:space="0"/>
                    <w:left w:val="single" w:color="auto" w:sz="4" w:space="0"/>
                    <w:bottom w:val="single" w:color="auto" w:sz="4" w:space="0"/>
                    <w:right w:val="single" w:color="auto" w:sz="4" w:space="0"/>
                  </w:tcBorders>
                  <w:noWrap w:val="0"/>
                  <w:vAlign w:val="center"/>
                </w:tcPr>
                <w:p w14:paraId="6E6D3C37">
                  <w:pPr>
                    <w:pStyle w:val="2"/>
                    <w:tabs>
                      <w:tab w:val="left" w:pos="851"/>
                    </w:tabs>
                    <w:spacing w:after="0"/>
                    <w:ind w:left="0" w:leftChars="0" w:firstLine="0" w:firstLineChars="0"/>
                    <w:jc w:val="center"/>
                    <w:rPr>
                      <w:rFonts w:hint="default" w:ascii="Times New Roman" w:hAnsi="Times New Roman" w:eastAsia="宋体" w:cs="Times New Roman"/>
                      <w:b w:val="0"/>
                      <w:bCs/>
                      <w:color w:val="auto"/>
                      <w:sz w:val="21"/>
                      <w:szCs w:val="21"/>
                      <w:lang w:eastAsia="zh-CN"/>
                    </w:rPr>
                  </w:pPr>
                  <w:r>
                    <w:rPr>
                      <w:rFonts w:hint="eastAsia" w:cs="Times New Roman"/>
                      <w:b w:val="0"/>
                      <w:bCs/>
                      <w:color w:val="auto"/>
                      <w:sz w:val="21"/>
                      <w:szCs w:val="21"/>
                      <w:lang w:eastAsia="zh-CN"/>
                    </w:rPr>
                    <w:t>序号</w:t>
                  </w:r>
                </w:p>
              </w:tc>
              <w:tc>
                <w:tcPr>
                  <w:tcW w:w="353" w:type="pct"/>
                  <w:vMerge w:val="restart"/>
                  <w:tcBorders>
                    <w:top w:val="single" w:color="auto" w:sz="4" w:space="0"/>
                    <w:left w:val="single" w:color="auto" w:sz="4" w:space="0"/>
                    <w:bottom w:val="single" w:color="auto" w:sz="4" w:space="0"/>
                    <w:right w:val="single" w:color="auto" w:sz="4" w:space="0"/>
                  </w:tcBorders>
                  <w:noWrap w:val="0"/>
                  <w:vAlign w:val="center"/>
                </w:tcPr>
                <w:p w14:paraId="0CB60CCE">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建筑物名称</w:t>
                  </w:r>
                </w:p>
              </w:tc>
              <w:tc>
                <w:tcPr>
                  <w:tcW w:w="351" w:type="pct"/>
                  <w:vMerge w:val="restart"/>
                  <w:tcBorders>
                    <w:top w:val="single" w:color="auto" w:sz="4" w:space="0"/>
                    <w:left w:val="single" w:color="auto" w:sz="4" w:space="0"/>
                    <w:bottom w:val="single" w:color="auto" w:sz="4" w:space="0"/>
                    <w:right w:val="single" w:color="auto" w:sz="4" w:space="0"/>
                  </w:tcBorders>
                  <w:noWrap w:val="0"/>
                  <w:vAlign w:val="center"/>
                </w:tcPr>
                <w:p w14:paraId="355ECD9E">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声源名称</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6E612416">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声源源强</w:t>
                  </w:r>
                </w:p>
              </w:tc>
              <w:tc>
                <w:tcPr>
                  <w:tcW w:w="353" w:type="pct"/>
                  <w:vMerge w:val="restart"/>
                  <w:tcBorders>
                    <w:top w:val="single" w:color="auto" w:sz="4" w:space="0"/>
                    <w:left w:val="single" w:color="auto" w:sz="4" w:space="0"/>
                    <w:right w:val="single" w:color="auto" w:sz="4" w:space="0"/>
                  </w:tcBorders>
                  <w:noWrap w:val="0"/>
                  <w:vAlign w:val="center"/>
                </w:tcPr>
                <w:p w14:paraId="6E62BBA3">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r>
                    <w:rPr>
                      <w:rFonts w:hint="default" w:ascii="Times New Roman" w:hAnsi="Times New Roman" w:cs="Times New Roman"/>
                      <w:b w:val="0"/>
                      <w:bCs/>
                      <w:color w:val="auto"/>
                      <w:kern w:val="0"/>
                      <w:sz w:val="21"/>
                      <w:szCs w:val="21"/>
                      <w:lang w:bidi="ar"/>
                    </w:rPr>
                    <w:t>声源控制措施</w:t>
                  </w:r>
                </w:p>
              </w:tc>
              <w:tc>
                <w:tcPr>
                  <w:tcW w:w="1061" w:type="pct"/>
                  <w:gridSpan w:val="3"/>
                  <w:tcBorders>
                    <w:top w:val="single" w:color="auto" w:sz="4" w:space="0"/>
                    <w:left w:val="single" w:color="auto" w:sz="4" w:space="0"/>
                    <w:bottom w:val="single" w:color="auto" w:sz="4" w:space="0"/>
                    <w:right w:val="single" w:color="auto" w:sz="4" w:space="0"/>
                  </w:tcBorders>
                  <w:noWrap w:val="0"/>
                  <w:vAlign w:val="center"/>
                </w:tcPr>
                <w:p w14:paraId="276DC39D">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空间相对位置</w:t>
                  </w:r>
                </w:p>
              </w:tc>
              <w:tc>
                <w:tcPr>
                  <w:tcW w:w="344" w:type="pct"/>
                  <w:vMerge w:val="restart"/>
                  <w:tcBorders>
                    <w:top w:val="single" w:color="auto" w:sz="4" w:space="0"/>
                    <w:left w:val="single" w:color="auto" w:sz="4" w:space="0"/>
                    <w:right w:val="single" w:color="auto" w:sz="4" w:space="0"/>
                  </w:tcBorders>
                  <w:noWrap w:val="0"/>
                  <w:vAlign w:val="center"/>
                </w:tcPr>
                <w:p w14:paraId="488A96E3">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距室内边界距离/m</w:t>
                  </w:r>
                </w:p>
              </w:tc>
              <w:tc>
                <w:tcPr>
                  <w:tcW w:w="459" w:type="pct"/>
                  <w:vMerge w:val="restart"/>
                  <w:tcBorders>
                    <w:top w:val="single" w:color="auto" w:sz="4" w:space="0"/>
                    <w:left w:val="single" w:color="auto" w:sz="4" w:space="0"/>
                    <w:bottom w:val="single" w:color="auto" w:sz="4" w:space="0"/>
                    <w:right w:val="single" w:color="auto" w:sz="4" w:space="0"/>
                  </w:tcBorders>
                  <w:noWrap w:val="0"/>
                  <w:vAlign w:val="center"/>
                </w:tcPr>
                <w:p w14:paraId="3AB59A44">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室内边界声级/dB(A)</w:t>
                  </w:r>
                </w:p>
              </w:tc>
              <w:tc>
                <w:tcPr>
                  <w:tcW w:w="238" w:type="pct"/>
                  <w:vMerge w:val="restart"/>
                  <w:tcBorders>
                    <w:top w:val="single" w:color="auto" w:sz="4" w:space="0"/>
                    <w:left w:val="single" w:color="auto" w:sz="4" w:space="0"/>
                    <w:right w:val="single" w:color="auto" w:sz="4" w:space="0"/>
                  </w:tcBorders>
                  <w:noWrap w:val="0"/>
                  <w:vAlign w:val="center"/>
                </w:tcPr>
                <w:p w14:paraId="4BD89068">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default" w:ascii="Times New Roman" w:hAnsi="Times New Roman" w:cs="Times New Roman"/>
                      <w:b w:val="0"/>
                      <w:bCs/>
                      <w:color w:val="auto"/>
                      <w:sz w:val="21"/>
                      <w:szCs w:val="21"/>
                    </w:rPr>
                    <w:t>运行时段</w:t>
                  </w:r>
                </w:p>
                <w:p w14:paraId="275E1C36">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59" w:type="pct"/>
                  <w:vMerge w:val="restart"/>
                  <w:tcBorders>
                    <w:top w:val="single" w:color="auto" w:sz="4" w:space="0"/>
                    <w:left w:val="single" w:color="auto" w:sz="4" w:space="0"/>
                    <w:right w:val="single" w:color="auto" w:sz="4" w:space="0"/>
                  </w:tcBorders>
                  <w:noWrap w:val="0"/>
                  <w:vAlign w:val="center"/>
                </w:tcPr>
                <w:p w14:paraId="0F5608E1">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default" w:ascii="Times New Roman" w:hAnsi="Times New Roman" w:cs="Times New Roman"/>
                      <w:b w:val="0"/>
                      <w:bCs/>
                      <w:color w:val="auto"/>
                      <w:sz w:val="21"/>
                      <w:szCs w:val="21"/>
                    </w:rPr>
                    <w:t>建筑物插入损失/dB(A)</w:t>
                  </w:r>
                </w:p>
                <w:p w14:paraId="06C4924B">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59" w:type="pct"/>
                  <w:vMerge w:val="restart"/>
                  <w:tcBorders>
                    <w:top w:val="single" w:color="auto" w:sz="4" w:space="0"/>
                    <w:left w:val="single" w:color="auto" w:sz="4" w:space="0"/>
                    <w:bottom w:val="single" w:color="auto" w:sz="4" w:space="0"/>
                    <w:right w:val="single" w:color="auto" w:sz="4" w:space="0"/>
                  </w:tcBorders>
                  <w:noWrap w:val="0"/>
                  <w:vAlign w:val="center"/>
                </w:tcPr>
                <w:p w14:paraId="3411FF52">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声压级/dB(A)</w:t>
                  </w:r>
                </w:p>
              </w:tc>
              <w:tc>
                <w:tcPr>
                  <w:tcW w:w="241" w:type="pct"/>
                  <w:vMerge w:val="restart"/>
                  <w:tcBorders>
                    <w:top w:val="single" w:color="auto" w:sz="4" w:space="0"/>
                    <w:left w:val="single" w:color="auto" w:sz="4" w:space="0"/>
                    <w:right w:val="single" w:color="auto" w:sz="4" w:space="0"/>
                  </w:tcBorders>
                  <w:noWrap w:val="0"/>
                  <w:vAlign w:val="center"/>
                </w:tcPr>
                <w:p w14:paraId="7B98268D">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建筑物外距离/m</w:t>
                  </w:r>
                </w:p>
              </w:tc>
            </w:tr>
            <w:tr w14:paraId="28173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 w:type="pct"/>
                  <w:vMerge w:val="continue"/>
                  <w:tcBorders>
                    <w:top w:val="single" w:color="auto" w:sz="4" w:space="0"/>
                    <w:left w:val="single" w:color="auto" w:sz="4" w:space="0"/>
                    <w:bottom w:val="single" w:color="auto" w:sz="4" w:space="0"/>
                    <w:right w:val="single" w:color="auto" w:sz="4" w:space="0"/>
                  </w:tcBorders>
                  <w:noWrap w:val="0"/>
                  <w:vAlign w:val="center"/>
                </w:tcPr>
                <w:p w14:paraId="03776455">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353" w:type="pct"/>
                  <w:vMerge w:val="continue"/>
                  <w:tcBorders>
                    <w:top w:val="single" w:color="auto" w:sz="4" w:space="0"/>
                    <w:left w:val="single" w:color="auto" w:sz="4" w:space="0"/>
                    <w:bottom w:val="single" w:color="auto" w:sz="4" w:space="0"/>
                    <w:right w:val="single" w:color="auto" w:sz="4" w:space="0"/>
                  </w:tcBorders>
                  <w:noWrap w:val="0"/>
                  <w:vAlign w:val="center"/>
                </w:tcPr>
                <w:p w14:paraId="7A3ED8FE">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351" w:type="pct"/>
                  <w:vMerge w:val="continue"/>
                  <w:tcBorders>
                    <w:top w:val="single" w:color="auto" w:sz="4" w:space="0"/>
                    <w:left w:val="single" w:color="auto" w:sz="4" w:space="0"/>
                    <w:bottom w:val="single" w:color="auto" w:sz="4" w:space="0"/>
                    <w:right w:val="single" w:color="auto" w:sz="4" w:space="0"/>
                  </w:tcBorders>
                  <w:noWrap w:val="0"/>
                  <w:vAlign w:val="center"/>
                </w:tcPr>
                <w:p w14:paraId="72E2B815">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62" w:type="pct"/>
                  <w:tcBorders>
                    <w:top w:val="single" w:color="auto" w:sz="4" w:space="0"/>
                    <w:left w:val="single" w:color="auto" w:sz="4" w:space="0"/>
                    <w:bottom w:val="single" w:color="auto" w:sz="4" w:space="0"/>
                    <w:right w:val="single" w:color="auto" w:sz="4" w:space="0"/>
                  </w:tcBorders>
                  <w:noWrap w:val="0"/>
                  <w:vAlign w:val="center"/>
                </w:tcPr>
                <w:p w14:paraId="37DD2541">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声功率级</w:t>
                  </w:r>
                </w:p>
              </w:tc>
              <w:tc>
                <w:tcPr>
                  <w:tcW w:w="353" w:type="pct"/>
                  <w:vMerge w:val="continue"/>
                  <w:tcBorders>
                    <w:left w:val="single" w:color="auto" w:sz="4" w:space="0"/>
                    <w:bottom w:val="single" w:color="auto" w:sz="4" w:space="0"/>
                    <w:right w:val="single" w:color="auto" w:sz="4" w:space="0"/>
                  </w:tcBorders>
                  <w:noWrap w:val="0"/>
                  <w:vAlign w:val="center"/>
                </w:tcPr>
                <w:p w14:paraId="7BAA1FB1">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4CC4351F">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X</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4E428516">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Y</w:t>
                  </w:r>
                </w:p>
              </w:tc>
              <w:tc>
                <w:tcPr>
                  <w:tcW w:w="250" w:type="pct"/>
                  <w:tcBorders>
                    <w:top w:val="single" w:color="auto" w:sz="4" w:space="0"/>
                    <w:left w:val="single" w:color="auto" w:sz="4" w:space="0"/>
                    <w:bottom w:val="single" w:color="auto" w:sz="4" w:space="0"/>
                    <w:right w:val="single" w:color="auto" w:sz="4" w:space="0"/>
                  </w:tcBorders>
                  <w:noWrap w:val="0"/>
                  <w:vAlign w:val="center"/>
                </w:tcPr>
                <w:p w14:paraId="5B3205E9">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Z</w:t>
                  </w:r>
                </w:p>
              </w:tc>
              <w:tc>
                <w:tcPr>
                  <w:tcW w:w="344" w:type="pct"/>
                  <w:vMerge w:val="continue"/>
                  <w:tcBorders>
                    <w:left w:val="single" w:color="auto" w:sz="4" w:space="0"/>
                    <w:bottom w:val="single" w:color="auto" w:sz="4" w:space="0"/>
                    <w:right w:val="single" w:color="auto" w:sz="4" w:space="0"/>
                  </w:tcBorders>
                  <w:noWrap w:val="0"/>
                  <w:vAlign w:val="center"/>
                </w:tcPr>
                <w:p w14:paraId="524D7FB2">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59" w:type="pct"/>
                  <w:vMerge w:val="continue"/>
                  <w:tcBorders>
                    <w:top w:val="single" w:color="auto" w:sz="4" w:space="0"/>
                    <w:left w:val="single" w:color="auto" w:sz="4" w:space="0"/>
                    <w:bottom w:val="single" w:color="auto" w:sz="4" w:space="0"/>
                    <w:right w:val="single" w:color="auto" w:sz="4" w:space="0"/>
                  </w:tcBorders>
                  <w:noWrap w:val="0"/>
                  <w:vAlign w:val="center"/>
                </w:tcPr>
                <w:p w14:paraId="209B0187">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238" w:type="pct"/>
                  <w:vMerge w:val="continue"/>
                  <w:tcBorders>
                    <w:left w:val="single" w:color="auto" w:sz="4" w:space="0"/>
                    <w:bottom w:val="single" w:color="auto" w:sz="4" w:space="0"/>
                    <w:right w:val="single" w:color="auto" w:sz="4" w:space="0"/>
                  </w:tcBorders>
                  <w:noWrap w:val="0"/>
                  <w:vAlign w:val="center"/>
                </w:tcPr>
                <w:p w14:paraId="79D3C758">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59" w:type="pct"/>
                  <w:vMerge w:val="continue"/>
                  <w:tcBorders>
                    <w:left w:val="single" w:color="auto" w:sz="4" w:space="0"/>
                    <w:bottom w:val="single" w:color="auto" w:sz="4" w:space="0"/>
                    <w:right w:val="single" w:color="auto" w:sz="4" w:space="0"/>
                  </w:tcBorders>
                  <w:noWrap w:val="0"/>
                  <w:vAlign w:val="center"/>
                </w:tcPr>
                <w:p w14:paraId="4195B078">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59" w:type="pct"/>
                  <w:vMerge w:val="continue"/>
                  <w:tcBorders>
                    <w:top w:val="single" w:color="auto" w:sz="4" w:space="0"/>
                    <w:left w:val="single" w:color="auto" w:sz="4" w:space="0"/>
                    <w:bottom w:val="single" w:color="auto" w:sz="4" w:space="0"/>
                    <w:right w:val="single" w:color="auto" w:sz="4" w:space="0"/>
                  </w:tcBorders>
                  <w:noWrap w:val="0"/>
                  <w:vAlign w:val="center"/>
                </w:tcPr>
                <w:p w14:paraId="4914F18A">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241" w:type="pct"/>
                  <w:vMerge w:val="continue"/>
                  <w:tcBorders>
                    <w:left w:val="single" w:color="auto" w:sz="4" w:space="0"/>
                    <w:right w:val="single" w:color="auto" w:sz="4" w:space="0"/>
                  </w:tcBorders>
                  <w:noWrap w:val="0"/>
                  <w:vAlign w:val="center"/>
                </w:tcPr>
                <w:p w14:paraId="6410A8D2">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r w14:paraId="3CBC2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15" w:type="pct"/>
                  <w:vMerge w:val="restart"/>
                  <w:tcBorders>
                    <w:top w:val="single" w:color="auto" w:sz="4" w:space="0"/>
                    <w:left w:val="single" w:color="auto" w:sz="4" w:space="0"/>
                    <w:right w:val="single" w:color="auto" w:sz="4" w:space="0"/>
                  </w:tcBorders>
                  <w:shd w:val="clear" w:color="auto" w:fill="auto"/>
                  <w:noWrap w:val="0"/>
                  <w:vAlign w:val="center"/>
                </w:tcPr>
                <w:p w14:paraId="4B63EBE3">
                  <w:pPr>
                    <w:pStyle w:val="2"/>
                    <w:tabs>
                      <w:tab w:val="left" w:pos="851"/>
                    </w:tabs>
                    <w:spacing w:after="0"/>
                    <w:ind w:left="0" w:leftChars="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sz w:val="21"/>
                      <w:szCs w:val="21"/>
                      <w:lang w:val="en-US" w:eastAsia="zh-CN"/>
                    </w:rPr>
                    <w:t>1</w:t>
                  </w:r>
                </w:p>
              </w:tc>
              <w:tc>
                <w:tcPr>
                  <w:tcW w:w="353" w:type="pct"/>
                  <w:vMerge w:val="restart"/>
                  <w:tcBorders>
                    <w:top w:val="single" w:color="auto" w:sz="4" w:space="0"/>
                    <w:left w:val="single" w:color="auto" w:sz="4" w:space="0"/>
                    <w:right w:val="single" w:color="auto" w:sz="4" w:space="0"/>
                  </w:tcBorders>
                  <w:noWrap w:val="0"/>
                  <w:vAlign w:val="center"/>
                </w:tcPr>
                <w:p w14:paraId="4155C0BE">
                  <w:pPr>
                    <w:bidi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厂房一</w:t>
                  </w:r>
                </w:p>
              </w:tc>
              <w:tc>
                <w:tcPr>
                  <w:tcW w:w="351" w:type="pct"/>
                  <w:tcBorders>
                    <w:top w:val="single" w:color="auto" w:sz="4" w:space="0"/>
                    <w:left w:val="single" w:color="auto" w:sz="4" w:space="0"/>
                    <w:bottom w:val="single" w:color="auto" w:sz="4" w:space="0"/>
                    <w:right w:val="single" w:color="auto" w:sz="4" w:space="0"/>
                  </w:tcBorders>
                  <w:noWrap w:val="0"/>
                  <w:vAlign w:val="center"/>
                </w:tcPr>
                <w:p w14:paraId="41B3AA8F">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除杂机</w:t>
                  </w:r>
                  <w:r>
                    <w:rPr>
                      <w:rFonts w:hint="eastAsia" w:cs="Times New Roman"/>
                      <w:color w:val="auto"/>
                      <w:sz w:val="21"/>
                      <w:szCs w:val="21"/>
                      <w:lang w:val="en-US" w:eastAsia="zh-CN"/>
                    </w:rPr>
                    <w:t>1A</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46A8C1D0">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70</w:t>
                  </w:r>
                </w:p>
              </w:tc>
              <w:tc>
                <w:tcPr>
                  <w:tcW w:w="353" w:type="pct"/>
                  <w:vMerge w:val="restart"/>
                  <w:tcBorders>
                    <w:left w:val="single" w:color="auto" w:sz="4" w:space="0"/>
                    <w:right w:val="single" w:color="auto" w:sz="4" w:space="0"/>
                  </w:tcBorders>
                  <w:noWrap w:val="0"/>
                  <w:vAlign w:val="center"/>
                </w:tcPr>
                <w:p w14:paraId="162215ED">
                  <w:pPr>
                    <w:bidi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基础减振，建筑隔声</w:t>
                  </w:r>
                </w:p>
              </w:tc>
              <w:tc>
                <w:tcPr>
                  <w:tcW w:w="410" w:type="pct"/>
                  <w:tcBorders>
                    <w:top w:val="single" w:color="auto" w:sz="4" w:space="0"/>
                    <w:left w:val="single" w:color="auto" w:sz="4" w:space="0"/>
                    <w:bottom w:val="single" w:color="auto" w:sz="4" w:space="0"/>
                    <w:right w:val="single" w:color="auto" w:sz="4" w:space="0"/>
                  </w:tcBorders>
                  <w:noWrap w:val="0"/>
                  <w:vAlign w:val="center"/>
                </w:tcPr>
                <w:p w14:paraId="08045DEA">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18.1</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40A044F0">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15</w:t>
                  </w:r>
                </w:p>
              </w:tc>
              <w:tc>
                <w:tcPr>
                  <w:tcW w:w="250" w:type="pct"/>
                  <w:tcBorders>
                    <w:top w:val="single" w:color="auto" w:sz="4" w:space="0"/>
                    <w:left w:val="single" w:color="auto" w:sz="4" w:space="0"/>
                    <w:bottom w:val="single" w:color="auto" w:sz="4" w:space="0"/>
                    <w:right w:val="single" w:color="auto" w:sz="4" w:space="0"/>
                  </w:tcBorders>
                  <w:noWrap w:val="0"/>
                  <w:vAlign w:val="center"/>
                </w:tcPr>
                <w:p w14:paraId="10802D8F">
                  <w:pPr>
                    <w:bidi w:val="0"/>
                    <w:jc w:val="center"/>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w:t>
                  </w:r>
                </w:p>
              </w:tc>
              <w:tc>
                <w:tcPr>
                  <w:tcW w:w="344" w:type="pct"/>
                  <w:tcBorders>
                    <w:left w:val="single" w:color="auto" w:sz="4" w:space="0"/>
                    <w:bottom w:val="single" w:color="auto" w:sz="4" w:space="0"/>
                    <w:right w:val="single" w:color="auto" w:sz="4" w:space="0"/>
                  </w:tcBorders>
                  <w:noWrap w:val="0"/>
                  <w:vAlign w:val="center"/>
                </w:tcPr>
                <w:p w14:paraId="78FCDBE9">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12.3</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74835433">
                  <w:pPr>
                    <w:pStyle w:val="2"/>
                    <w:tabs>
                      <w:tab w:val="left" w:pos="851"/>
                    </w:tabs>
                    <w:spacing w:after="0"/>
                    <w:ind w:left="0" w:leftChars="0" w:firstLine="0" w:firstLineChars="0"/>
                    <w:jc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48.2</w:t>
                  </w:r>
                </w:p>
              </w:tc>
              <w:tc>
                <w:tcPr>
                  <w:tcW w:w="238" w:type="pct"/>
                  <w:vMerge w:val="restart"/>
                  <w:tcBorders>
                    <w:left w:val="single" w:color="auto" w:sz="4" w:space="0"/>
                    <w:right w:val="single" w:color="auto" w:sz="4" w:space="0"/>
                  </w:tcBorders>
                  <w:noWrap w:val="0"/>
                  <w:vAlign w:val="center"/>
                </w:tcPr>
                <w:p w14:paraId="5C90C79B">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default" w:ascii="Times New Roman" w:hAnsi="Times New Roman" w:cs="Times New Roman"/>
                      <w:b w:val="0"/>
                      <w:bCs/>
                      <w:color w:val="auto"/>
                      <w:spacing w:val="4"/>
                      <w:kern w:val="2"/>
                      <w:sz w:val="21"/>
                      <w:szCs w:val="21"/>
                      <w:lang w:val="en-US" w:eastAsia="zh-CN" w:bidi="ar-SA"/>
                    </w:rPr>
                    <w:t>昼</w:t>
                  </w:r>
                </w:p>
              </w:tc>
              <w:tc>
                <w:tcPr>
                  <w:tcW w:w="459" w:type="pct"/>
                  <w:vMerge w:val="restart"/>
                  <w:tcBorders>
                    <w:left w:val="single" w:color="auto" w:sz="4" w:space="0"/>
                    <w:right w:val="single" w:color="auto" w:sz="4" w:space="0"/>
                  </w:tcBorders>
                  <w:noWrap w:val="0"/>
                  <w:vAlign w:val="center"/>
                </w:tcPr>
                <w:p w14:paraId="496D4BD9">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eastAsia" w:cs="Times New Roman"/>
                      <w:b w:val="0"/>
                      <w:bCs/>
                      <w:color w:val="auto"/>
                      <w:spacing w:val="4"/>
                      <w:kern w:val="2"/>
                      <w:sz w:val="21"/>
                      <w:szCs w:val="21"/>
                      <w:lang w:val="en-US" w:eastAsia="zh-CN" w:bidi="ar-SA"/>
                    </w:rPr>
                    <w:t>20</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1E7E0DB6">
                  <w:pPr>
                    <w:pStyle w:val="2"/>
                    <w:tabs>
                      <w:tab w:val="left" w:pos="851"/>
                    </w:tabs>
                    <w:spacing w:after="0"/>
                    <w:ind w:left="0" w:leftChars="0" w:firstLine="0" w:firstLineChars="0"/>
                    <w:jc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28.2</w:t>
                  </w:r>
                </w:p>
              </w:tc>
              <w:tc>
                <w:tcPr>
                  <w:tcW w:w="241" w:type="pct"/>
                  <w:vMerge w:val="restart"/>
                  <w:tcBorders>
                    <w:left w:val="single" w:color="auto" w:sz="4" w:space="0"/>
                    <w:right w:val="single" w:color="auto" w:sz="4" w:space="0"/>
                  </w:tcBorders>
                  <w:noWrap w:val="0"/>
                  <w:vAlign w:val="center"/>
                </w:tcPr>
                <w:p w14:paraId="295F2964">
                  <w:pPr>
                    <w:pStyle w:val="2"/>
                    <w:tabs>
                      <w:tab w:val="left" w:pos="851"/>
                    </w:tabs>
                    <w:spacing w:after="0"/>
                    <w:ind w:left="0" w:leftChars="0" w:firstLine="0" w:firstLineChars="0"/>
                    <w:jc w:val="center"/>
                    <w:rPr>
                      <w:rFonts w:hint="eastAsia"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1</w:t>
                  </w:r>
                </w:p>
              </w:tc>
            </w:tr>
            <w:tr w14:paraId="3D53C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215" w:type="pct"/>
                  <w:vMerge w:val="continue"/>
                  <w:tcBorders>
                    <w:left w:val="single" w:color="auto" w:sz="4" w:space="0"/>
                    <w:bottom w:val="single" w:color="auto" w:sz="4" w:space="0"/>
                    <w:right w:val="single" w:color="auto" w:sz="4" w:space="0"/>
                  </w:tcBorders>
                  <w:shd w:val="clear" w:color="auto" w:fill="auto"/>
                  <w:noWrap w:val="0"/>
                  <w:vAlign w:val="center"/>
                </w:tcPr>
                <w:p w14:paraId="5161018A">
                  <w:pPr>
                    <w:pStyle w:val="2"/>
                    <w:tabs>
                      <w:tab w:val="left" w:pos="851"/>
                    </w:tabs>
                    <w:spacing w:after="0"/>
                    <w:ind w:left="0" w:leftChars="0" w:firstLine="0" w:firstLineChars="0"/>
                    <w:jc w:val="center"/>
                    <w:rPr>
                      <w:rFonts w:hint="eastAsia" w:cs="Times New Roman"/>
                      <w:b w:val="0"/>
                      <w:bCs/>
                      <w:color w:val="auto"/>
                      <w:sz w:val="21"/>
                      <w:szCs w:val="21"/>
                      <w:lang w:val="en-US" w:eastAsia="zh-CN"/>
                    </w:rPr>
                  </w:pPr>
                </w:p>
              </w:tc>
              <w:tc>
                <w:tcPr>
                  <w:tcW w:w="353" w:type="pct"/>
                  <w:vMerge w:val="continue"/>
                  <w:tcBorders>
                    <w:left w:val="single" w:color="auto" w:sz="4" w:space="0"/>
                    <w:right w:val="single" w:color="auto" w:sz="4" w:space="0"/>
                  </w:tcBorders>
                  <w:noWrap w:val="0"/>
                  <w:vAlign w:val="center"/>
                </w:tcPr>
                <w:p w14:paraId="73FC27C4">
                  <w:pPr>
                    <w:bidi w:val="0"/>
                    <w:jc w:val="center"/>
                    <w:rPr>
                      <w:rFonts w:hint="eastAsia" w:ascii="Times New Roman" w:hAnsi="Times New Roman" w:eastAsia="宋体" w:cs="Times New Roman"/>
                      <w:color w:val="auto"/>
                      <w:sz w:val="21"/>
                      <w:szCs w:val="21"/>
                      <w:lang w:val="en-US" w:eastAsia="zh-CN"/>
                    </w:rPr>
                  </w:pPr>
                </w:p>
              </w:tc>
              <w:tc>
                <w:tcPr>
                  <w:tcW w:w="3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E64DE6C">
                  <w:pPr>
                    <w:bidi w:val="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除杂机</w:t>
                  </w:r>
                  <w:r>
                    <w:rPr>
                      <w:rFonts w:hint="eastAsia" w:cs="Times New Roman"/>
                      <w:color w:val="auto"/>
                      <w:sz w:val="21"/>
                      <w:szCs w:val="21"/>
                      <w:lang w:val="en-US" w:eastAsia="zh-CN"/>
                    </w:rPr>
                    <w:t>1B</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2CF8CDDC">
                  <w:pPr>
                    <w:bidi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70</w:t>
                  </w:r>
                </w:p>
              </w:tc>
              <w:tc>
                <w:tcPr>
                  <w:tcW w:w="353" w:type="pct"/>
                  <w:vMerge w:val="continue"/>
                  <w:tcBorders>
                    <w:left w:val="single" w:color="auto" w:sz="4" w:space="0"/>
                    <w:right w:val="single" w:color="auto" w:sz="4" w:space="0"/>
                  </w:tcBorders>
                  <w:noWrap w:val="0"/>
                  <w:vAlign w:val="center"/>
                </w:tcPr>
                <w:p w14:paraId="1E8BCB74">
                  <w:pPr>
                    <w:bidi w:val="0"/>
                    <w:jc w:val="center"/>
                    <w:rPr>
                      <w:rFonts w:hint="default" w:ascii="Times New Roman" w:hAnsi="Times New Roman" w:eastAsia="宋体" w:cs="Times New Roman"/>
                      <w:color w:val="auto"/>
                      <w:sz w:val="21"/>
                      <w:szCs w:val="21"/>
                      <w:lang w:val="en-US" w:eastAsia="zh-CN"/>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07081F38">
                  <w:pPr>
                    <w:bidi w:val="0"/>
                    <w:jc w:val="center"/>
                    <w:rPr>
                      <w:rFonts w:hint="default" w:cs="Times New Roman"/>
                      <w:color w:val="auto"/>
                      <w:sz w:val="21"/>
                      <w:szCs w:val="21"/>
                      <w:lang w:val="en-US" w:eastAsia="zh-CN"/>
                    </w:rPr>
                  </w:pPr>
                  <w:r>
                    <w:rPr>
                      <w:rFonts w:hint="eastAsia" w:cs="Times New Roman"/>
                      <w:color w:val="auto"/>
                      <w:sz w:val="21"/>
                      <w:szCs w:val="21"/>
                      <w:lang w:val="en-US" w:eastAsia="zh-CN"/>
                    </w:rPr>
                    <w:t>23.6</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79DB3675">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15</w:t>
                  </w:r>
                </w:p>
              </w:tc>
              <w:tc>
                <w:tcPr>
                  <w:tcW w:w="250" w:type="pct"/>
                  <w:tcBorders>
                    <w:top w:val="single" w:color="auto" w:sz="4" w:space="0"/>
                    <w:left w:val="single" w:color="auto" w:sz="4" w:space="0"/>
                    <w:bottom w:val="single" w:color="auto" w:sz="4" w:space="0"/>
                    <w:right w:val="single" w:color="auto" w:sz="4" w:space="0"/>
                  </w:tcBorders>
                  <w:noWrap w:val="0"/>
                  <w:vAlign w:val="center"/>
                </w:tcPr>
                <w:p w14:paraId="0DC18FE6">
                  <w:pPr>
                    <w:bidi w:val="0"/>
                    <w:jc w:val="center"/>
                    <w:rPr>
                      <w:rFonts w:hint="default" w:cs="Times New Roman"/>
                      <w:color w:val="auto"/>
                      <w:sz w:val="21"/>
                      <w:szCs w:val="21"/>
                      <w:lang w:val="en-US" w:eastAsia="zh-CN"/>
                    </w:rPr>
                  </w:pPr>
                  <w:r>
                    <w:rPr>
                      <w:rFonts w:hint="eastAsia" w:cs="Times New Roman"/>
                      <w:color w:val="auto"/>
                      <w:sz w:val="21"/>
                      <w:szCs w:val="21"/>
                      <w:lang w:val="en-US" w:eastAsia="zh-CN"/>
                    </w:rPr>
                    <w:t>2</w:t>
                  </w:r>
                </w:p>
              </w:tc>
              <w:tc>
                <w:tcPr>
                  <w:tcW w:w="344" w:type="pct"/>
                  <w:tcBorders>
                    <w:left w:val="single" w:color="auto" w:sz="4" w:space="0"/>
                    <w:bottom w:val="single" w:color="auto" w:sz="4" w:space="0"/>
                    <w:right w:val="single" w:color="auto" w:sz="4" w:space="0"/>
                  </w:tcBorders>
                  <w:noWrap w:val="0"/>
                  <w:vAlign w:val="center"/>
                </w:tcPr>
                <w:p w14:paraId="37AE5EA1">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11.2</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61BA2F71">
                  <w:pPr>
                    <w:pStyle w:val="2"/>
                    <w:tabs>
                      <w:tab w:val="left" w:pos="851"/>
                    </w:tabs>
                    <w:spacing w:after="0"/>
                    <w:ind w:left="0" w:leftChars="0" w:firstLine="0" w:firstLineChars="0"/>
                    <w:jc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49.0</w:t>
                  </w:r>
                </w:p>
              </w:tc>
              <w:tc>
                <w:tcPr>
                  <w:tcW w:w="238" w:type="pct"/>
                  <w:vMerge w:val="continue"/>
                  <w:tcBorders>
                    <w:left w:val="single" w:color="auto" w:sz="4" w:space="0"/>
                    <w:right w:val="single" w:color="auto" w:sz="4" w:space="0"/>
                  </w:tcBorders>
                  <w:noWrap w:val="0"/>
                  <w:vAlign w:val="center"/>
                </w:tcPr>
                <w:p w14:paraId="5209824F">
                  <w:pPr>
                    <w:pStyle w:val="2"/>
                    <w:tabs>
                      <w:tab w:val="left" w:pos="851"/>
                    </w:tabs>
                    <w:spacing w:after="0"/>
                    <w:ind w:left="0" w:leftChars="0" w:firstLine="0" w:firstLineChars="0"/>
                    <w:jc w:val="center"/>
                    <w:rPr>
                      <w:rFonts w:hint="default" w:ascii="Times New Roman" w:hAnsi="Times New Roman" w:cs="Times New Roman"/>
                      <w:b w:val="0"/>
                      <w:bCs/>
                      <w:color w:val="auto"/>
                      <w:spacing w:val="4"/>
                      <w:kern w:val="2"/>
                      <w:sz w:val="21"/>
                      <w:szCs w:val="21"/>
                      <w:lang w:val="en-US" w:eastAsia="zh-CN" w:bidi="ar-SA"/>
                    </w:rPr>
                  </w:pPr>
                </w:p>
              </w:tc>
              <w:tc>
                <w:tcPr>
                  <w:tcW w:w="459" w:type="pct"/>
                  <w:vMerge w:val="continue"/>
                  <w:tcBorders>
                    <w:left w:val="single" w:color="auto" w:sz="4" w:space="0"/>
                    <w:right w:val="single" w:color="auto" w:sz="4" w:space="0"/>
                  </w:tcBorders>
                  <w:noWrap w:val="0"/>
                  <w:vAlign w:val="center"/>
                </w:tcPr>
                <w:p w14:paraId="245A881C">
                  <w:pPr>
                    <w:pStyle w:val="2"/>
                    <w:tabs>
                      <w:tab w:val="left" w:pos="851"/>
                    </w:tabs>
                    <w:spacing w:after="0"/>
                    <w:ind w:left="0" w:leftChars="0" w:firstLine="0" w:firstLineChars="0"/>
                    <w:jc w:val="center"/>
                    <w:rPr>
                      <w:rFonts w:hint="eastAsia" w:cs="Times New Roman"/>
                      <w:b w:val="0"/>
                      <w:bCs/>
                      <w:color w:val="auto"/>
                      <w:spacing w:val="4"/>
                      <w:kern w:val="2"/>
                      <w:sz w:val="21"/>
                      <w:szCs w:val="21"/>
                      <w:lang w:val="en-US" w:eastAsia="zh-CN" w:bidi="ar-SA"/>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5DEF5215">
                  <w:pPr>
                    <w:pStyle w:val="2"/>
                    <w:tabs>
                      <w:tab w:val="left" w:pos="851"/>
                    </w:tabs>
                    <w:spacing w:after="0"/>
                    <w:ind w:left="0" w:leftChars="0" w:firstLine="0" w:firstLineChars="0"/>
                    <w:jc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29</w:t>
                  </w:r>
                </w:p>
              </w:tc>
              <w:tc>
                <w:tcPr>
                  <w:tcW w:w="241" w:type="pct"/>
                  <w:vMerge w:val="continue"/>
                  <w:tcBorders>
                    <w:left w:val="single" w:color="auto" w:sz="4" w:space="0"/>
                    <w:right w:val="single" w:color="auto" w:sz="4" w:space="0"/>
                  </w:tcBorders>
                  <w:noWrap w:val="0"/>
                  <w:vAlign w:val="center"/>
                </w:tcPr>
                <w:p w14:paraId="2AAD6614">
                  <w:pPr>
                    <w:pStyle w:val="2"/>
                    <w:tabs>
                      <w:tab w:val="left" w:pos="851"/>
                    </w:tabs>
                    <w:spacing w:after="0"/>
                    <w:ind w:left="0" w:leftChars="0" w:firstLine="0" w:firstLineChars="0"/>
                    <w:jc w:val="center"/>
                    <w:rPr>
                      <w:rFonts w:hint="eastAsia" w:cs="Times New Roman"/>
                      <w:b w:val="0"/>
                      <w:bCs/>
                      <w:color w:val="auto"/>
                      <w:sz w:val="21"/>
                      <w:szCs w:val="21"/>
                      <w:lang w:val="en-US" w:eastAsia="zh-CN"/>
                    </w:rPr>
                  </w:pPr>
                </w:p>
              </w:tc>
            </w:tr>
            <w:tr w14:paraId="4A11F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C9439F2">
                  <w:pPr>
                    <w:pStyle w:val="2"/>
                    <w:tabs>
                      <w:tab w:val="left" w:pos="851"/>
                    </w:tabs>
                    <w:spacing w:after="0"/>
                    <w:ind w:left="0" w:leftChars="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sz w:val="21"/>
                      <w:szCs w:val="21"/>
                      <w:lang w:val="en-US" w:eastAsia="zh-CN"/>
                    </w:rPr>
                    <w:t>2</w:t>
                  </w:r>
                </w:p>
              </w:tc>
              <w:tc>
                <w:tcPr>
                  <w:tcW w:w="353" w:type="pct"/>
                  <w:vMerge w:val="continue"/>
                  <w:tcBorders>
                    <w:left w:val="single" w:color="auto" w:sz="4" w:space="0"/>
                    <w:right w:val="single" w:color="auto" w:sz="4" w:space="0"/>
                  </w:tcBorders>
                  <w:noWrap w:val="0"/>
                  <w:vAlign w:val="center"/>
                </w:tcPr>
                <w:p w14:paraId="34EBD792">
                  <w:pPr>
                    <w:bidi w:val="0"/>
                    <w:jc w:val="center"/>
                    <w:rPr>
                      <w:rFonts w:hint="eastAsia" w:ascii="Times New Roman" w:hAnsi="Times New Roman" w:eastAsia="宋体" w:cs="Times New Roman"/>
                      <w:color w:val="auto"/>
                      <w:sz w:val="21"/>
                      <w:szCs w:val="21"/>
                      <w:lang w:val="en-US" w:eastAsia="zh-CN"/>
                    </w:rPr>
                  </w:pPr>
                </w:p>
              </w:tc>
              <w:tc>
                <w:tcPr>
                  <w:tcW w:w="3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998F962">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除杂机出渣螺旋1</w:t>
                  </w:r>
                  <w:r>
                    <w:rPr>
                      <w:rFonts w:hint="eastAsia" w:cs="Times New Roman"/>
                      <w:color w:val="auto"/>
                      <w:sz w:val="21"/>
                      <w:szCs w:val="21"/>
                      <w:lang w:val="en-US" w:eastAsia="zh-CN"/>
                    </w:rPr>
                    <w:t>A</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1B</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2FD53A12">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80</w:t>
                  </w:r>
                </w:p>
              </w:tc>
              <w:tc>
                <w:tcPr>
                  <w:tcW w:w="353" w:type="pct"/>
                  <w:vMerge w:val="continue"/>
                  <w:tcBorders>
                    <w:left w:val="single" w:color="auto" w:sz="4" w:space="0"/>
                    <w:right w:val="single" w:color="auto" w:sz="4" w:space="0"/>
                  </w:tcBorders>
                  <w:noWrap w:val="0"/>
                  <w:vAlign w:val="center"/>
                </w:tcPr>
                <w:p w14:paraId="0BD3B84C">
                  <w:pPr>
                    <w:bidi w:val="0"/>
                    <w:jc w:val="center"/>
                    <w:rPr>
                      <w:rFonts w:hint="default" w:ascii="Times New Roman" w:hAnsi="Times New Roman" w:eastAsia="宋体" w:cs="Times New Roman"/>
                      <w:color w:val="auto"/>
                      <w:sz w:val="21"/>
                      <w:szCs w:val="21"/>
                      <w:lang w:val="en-US" w:eastAsia="zh-CN"/>
                    </w:rPr>
                  </w:pPr>
                </w:p>
              </w:tc>
              <w:tc>
                <w:tcPr>
                  <w:tcW w:w="41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FBC95B5">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24.5</w:t>
                  </w:r>
                </w:p>
              </w:tc>
              <w:tc>
                <w:tcPr>
                  <w:tcW w:w="40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4782E8A">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13.9-28.5</w:t>
                  </w:r>
                </w:p>
              </w:tc>
              <w:tc>
                <w:tcPr>
                  <w:tcW w:w="250" w:type="pct"/>
                  <w:tcBorders>
                    <w:left w:val="single" w:color="auto" w:sz="4" w:space="0"/>
                    <w:right w:val="single" w:color="auto" w:sz="4" w:space="0"/>
                  </w:tcBorders>
                  <w:shd w:val="clear" w:color="auto" w:fill="auto"/>
                  <w:noWrap w:val="0"/>
                  <w:vAlign w:val="center"/>
                </w:tcPr>
                <w:p w14:paraId="1A190B66">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w:t>
                  </w:r>
                </w:p>
              </w:tc>
              <w:tc>
                <w:tcPr>
                  <w:tcW w:w="344" w:type="pct"/>
                  <w:tcBorders>
                    <w:left w:val="single" w:color="auto" w:sz="4" w:space="0"/>
                    <w:right w:val="single" w:color="auto" w:sz="4" w:space="0"/>
                  </w:tcBorders>
                  <w:noWrap w:val="0"/>
                  <w:vAlign w:val="center"/>
                </w:tcPr>
                <w:p w14:paraId="58FA0738">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13</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33BE359B">
                  <w:pPr>
                    <w:pStyle w:val="101"/>
                    <w:spacing w:line="240" w:lineRule="auto"/>
                    <w:jc w:val="center"/>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cs="Times New Roman"/>
                      <w:b w:val="0"/>
                      <w:bCs/>
                      <w:color w:val="auto"/>
                      <w:kern w:val="2"/>
                      <w:sz w:val="21"/>
                      <w:szCs w:val="21"/>
                      <w:lang w:val="en-US" w:eastAsia="zh-CN" w:bidi="ar-SA"/>
                    </w:rPr>
                    <w:t>57.7</w:t>
                  </w:r>
                </w:p>
              </w:tc>
              <w:tc>
                <w:tcPr>
                  <w:tcW w:w="238" w:type="pct"/>
                  <w:vMerge w:val="continue"/>
                  <w:tcBorders>
                    <w:left w:val="single" w:color="auto" w:sz="4" w:space="0"/>
                    <w:right w:val="single" w:color="auto" w:sz="4" w:space="0"/>
                  </w:tcBorders>
                  <w:noWrap w:val="0"/>
                  <w:vAlign w:val="center"/>
                </w:tcPr>
                <w:p w14:paraId="5CD5646B">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p>
              </w:tc>
              <w:tc>
                <w:tcPr>
                  <w:tcW w:w="459" w:type="pct"/>
                  <w:vMerge w:val="continue"/>
                  <w:tcBorders>
                    <w:left w:val="single" w:color="auto" w:sz="4" w:space="0"/>
                    <w:right w:val="single" w:color="auto" w:sz="4" w:space="0"/>
                  </w:tcBorders>
                  <w:noWrap w:val="0"/>
                  <w:vAlign w:val="center"/>
                </w:tcPr>
                <w:p w14:paraId="7904BD3C">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383BA9C4">
                  <w:pPr>
                    <w:pStyle w:val="101"/>
                    <w:spacing w:line="240" w:lineRule="auto"/>
                    <w:jc w:val="both"/>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cs="Times New Roman"/>
                      <w:b w:val="0"/>
                      <w:bCs/>
                      <w:color w:val="auto"/>
                      <w:kern w:val="2"/>
                      <w:sz w:val="21"/>
                      <w:szCs w:val="21"/>
                      <w:lang w:val="en-US" w:eastAsia="zh-CN" w:bidi="ar-SA"/>
                    </w:rPr>
                    <w:t>37.7</w:t>
                  </w:r>
                </w:p>
              </w:tc>
              <w:tc>
                <w:tcPr>
                  <w:tcW w:w="241" w:type="pct"/>
                  <w:vMerge w:val="continue"/>
                  <w:tcBorders>
                    <w:left w:val="single" w:color="auto" w:sz="4" w:space="0"/>
                    <w:right w:val="single" w:color="auto" w:sz="4" w:space="0"/>
                  </w:tcBorders>
                  <w:noWrap w:val="0"/>
                  <w:vAlign w:val="center"/>
                </w:tcPr>
                <w:p w14:paraId="6B2BAF92">
                  <w:pPr>
                    <w:pStyle w:val="2"/>
                    <w:tabs>
                      <w:tab w:val="left" w:pos="851"/>
                    </w:tabs>
                    <w:spacing w:after="0"/>
                    <w:ind w:left="0" w:leftChars="0" w:firstLine="0" w:firstLineChars="0"/>
                    <w:jc w:val="center"/>
                    <w:rPr>
                      <w:rFonts w:hint="eastAsia" w:ascii="Times New Roman" w:hAnsi="Times New Roman" w:eastAsia="宋体" w:cs="Times New Roman"/>
                      <w:b w:val="0"/>
                      <w:bCs/>
                      <w:color w:val="auto"/>
                      <w:sz w:val="21"/>
                      <w:szCs w:val="21"/>
                      <w:lang w:val="en-US" w:eastAsia="zh-CN"/>
                    </w:rPr>
                  </w:pPr>
                </w:p>
              </w:tc>
            </w:tr>
            <w:tr w14:paraId="47855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jc w:val="center"/>
              </w:trPr>
              <w:tc>
                <w:tcPr>
                  <w:tcW w:w="215" w:type="pct"/>
                  <w:tcBorders>
                    <w:top w:val="single" w:color="auto" w:sz="4" w:space="0"/>
                    <w:left w:val="single" w:color="auto" w:sz="4" w:space="0"/>
                    <w:bottom w:val="single" w:color="auto" w:sz="4" w:space="0"/>
                    <w:right w:val="single" w:color="auto" w:sz="4" w:space="0"/>
                  </w:tcBorders>
                  <w:noWrap w:val="0"/>
                  <w:vAlign w:val="center"/>
                </w:tcPr>
                <w:p w14:paraId="1C536322">
                  <w:pPr>
                    <w:pStyle w:val="2"/>
                    <w:tabs>
                      <w:tab w:val="left" w:pos="851"/>
                    </w:tabs>
                    <w:spacing w:after="0"/>
                    <w:ind w:left="0" w:leftChars="0" w:firstLine="0" w:firstLineChars="0"/>
                    <w:jc w:val="center"/>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3</w:t>
                  </w:r>
                </w:p>
              </w:tc>
              <w:tc>
                <w:tcPr>
                  <w:tcW w:w="353" w:type="pct"/>
                  <w:vMerge w:val="continue"/>
                  <w:tcBorders>
                    <w:left w:val="single" w:color="auto" w:sz="4" w:space="0"/>
                    <w:right w:val="single" w:color="auto" w:sz="4" w:space="0"/>
                  </w:tcBorders>
                  <w:noWrap w:val="0"/>
                  <w:vAlign w:val="center"/>
                </w:tcPr>
                <w:p w14:paraId="083573BD">
                  <w:pPr>
                    <w:bidi w:val="0"/>
                    <w:jc w:val="center"/>
                    <w:rPr>
                      <w:rFonts w:hint="default" w:ascii="Times New Roman" w:hAnsi="Times New Roman" w:eastAsia="宋体" w:cs="Times New Roman"/>
                      <w:color w:val="auto"/>
                      <w:sz w:val="21"/>
                      <w:szCs w:val="21"/>
                      <w:lang w:val="en-US" w:eastAsia="zh-CN"/>
                    </w:rPr>
                  </w:pPr>
                </w:p>
              </w:tc>
              <w:tc>
                <w:tcPr>
                  <w:tcW w:w="3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655E1A0">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除杂机出渣螺旋</w:t>
                  </w:r>
                  <w:r>
                    <w:rPr>
                      <w:rFonts w:hint="eastAsia" w:cs="Times New Roman"/>
                      <w:color w:val="auto"/>
                      <w:sz w:val="21"/>
                      <w:szCs w:val="21"/>
                      <w:lang w:val="en-US" w:eastAsia="zh-CN"/>
                    </w:rPr>
                    <w:t>2</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752DD2AF">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80</w:t>
                  </w:r>
                </w:p>
              </w:tc>
              <w:tc>
                <w:tcPr>
                  <w:tcW w:w="353" w:type="pct"/>
                  <w:vMerge w:val="continue"/>
                  <w:tcBorders>
                    <w:left w:val="single" w:color="auto" w:sz="4" w:space="0"/>
                    <w:right w:val="single" w:color="auto" w:sz="4" w:space="0"/>
                  </w:tcBorders>
                  <w:noWrap w:val="0"/>
                  <w:vAlign w:val="center"/>
                </w:tcPr>
                <w:p w14:paraId="7CEB9989">
                  <w:pPr>
                    <w:bidi w:val="0"/>
                    <w:jc w:val="center"/>
                    <w:rPr>
                      <w:rFonts w:hint="default" w:ascii="Times New Roman" w:hAnsi="Times New Roman" w:eastAsia="宋体" w:cs="Times New Roman"/>
                      <w:color w:val="auto"/>
                      <w:sz w:val="21"/>
                      <w:szCs w:val="21"/>
                      <w:lang w:val="en-US" w:eastAsia="zh-CN"/>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72744943">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28.6</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513744A6">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13.9-28.5</w:t>
                  </w:r>
                </w:p>
              </w:tc>
              <w:tc>
                <w:tcPr>
                  <w:tcW w:w="250" w:type="pct"/>
                  <w:tcBorders>
                    <w:left w:val="single" w:color="auto" w:sz="4" w:space="0"/>
                    <w:right w:val="single" w:color="auto" w:sz="4" w:space="0"/>
                  </w:tcBorders>
                  <w:noWrap w:val="0"/>
                  <w:vAlign w:val="center"/>
                </w:tcPr>
                <w:p w14:paraId="42AE4B7C">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w:t>
                  </w:r>
                </w:p>
              </w:tc>
              <w:tc>
                <w:tcPr>
                  <w:tcW w:w="344" w:type="pct"/>
                  <w:tcBorders>
                    <w:left w:val="single" w:color="auto" w:sz="4" w:space="0"/>
                    <w:right w:val="single" w:color="auto" w:sz="4" w:space="0"/>
                  </w:tcBorders>
                  <w:noWrap w:val="0"/>
                  <w:vAlign w:val="center"/>
                </w:tcPr>
                <w:p w14:paraId="36CCACC8">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17.5</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1A9515FA">
                  <w:pPr>
                    <w:pStyle w:val="101"/>
                    <w:spacing w:line="240" w:lineRule="auto"/>
                    <w:jc w:val="center"/>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55.1</w:t>
                  </w:r>
                </w:p>
              </w:tc>
              <w:tc>
                <w:tcPr>
                  <w:tcW w:w="238" w:type="pct"/>
                  <w:vMerge w:val="continue"/>
                  <w:tcBorders>
                    <w:left w:val="single" w:color="auto" w:sz="4" w:space="0"/>
                    <w:right w:val="single" w:color="auto" w:sz="4" w:space="0"/>
                  </w:tcBorders>
                  <w:noWrap w:val="0"/>
                  <w:vAlign w:val="center"/>
                </w:tcPr>
                <w:p w14:paraId="43639CED">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59" w:type="pct"/>
                  <w:vMerge w:val="continue"/>
                  <w:tcBorders>
                    <w:left w:val="single" w:color="auto" w:sz="4" w:space="0"/>
                    <w:right w:val="single" w:color="auto" w:sz="4" w:space="0"/>
                  </w:tcBorders>
                  <w:noWrap w:val="0"/>
                  <w:vAlign w:val="center"/>
                </w:tcPr>
                <w:p w14:paraId="17360F9D">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4BFE4CE8">
                  <w:pPr>
                    <w:pStyle w:val="101"/>
                    <w:spacing w:line="240" w:lineRule="auto"/>
                    <w:jc w:val="center"/>
                    <w:rPr>
                      <w:rFonts w:hint="default" w:ascii="Times New Roman" w:hAnsi="Times New Roman" w:eastAsia="宋体" w:cs="Times New Roman"/>
                      <w:b w:val="0"/>
                      <w:bCs/>
                      <w:color w:val="auto"/>
                      <w:szCs w:val="21"/>
                      <w:lang w:val="en-US" w:eastAsia="zh-CN"/>
                    </w:rPr>
                  </w:pPr>
                  <w:r>
                    <w:rPr>
                      <w:rFonts w:hint="eastAsia" w:ascii="Times New Roman" w:hAnsi="Times New Roman" w:cs="Times New Roman"/>
                      <w:b w:val="0"/>
                      <w:bCs/>
                      <w:color w:val="auto"/>
                      <w:szCs w:val="21"/>
                      <w:lang w:val="en-US" w:eastAsia="zh-CN"/>
                    </w:rPr>
                    <w:t>35.1</w:t>
                  </w:r>
                </w:p>
              </w:tc>
              <w:tc>
                <w:tcPr>
                  <w:tcW w:w="241" w:type="pct"/>
                  <w:vMerge w:val="continue"/>
                  <w:tcBorders>
                    <w:left w:val="single" w:color="auto" w:sz="4" w:space="0"/>
                    <w:right w:val="single" w:color="auto" w:sz="4" w:space="0"/>
                  </w:tcBorders>
                  <w:noWrap w:val="0"/>
                  <w:vAlign w:val="center"/>
                </w:tcPr>
                <w:p w14:paraId="769B85E8">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r w14:paraId="4188B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B2B7128">
                  <w:pPr>
                    <w:pStyle w:val="2"/>
                    <w:tabs>
                      <w:tab w:val="left" w:pos="851"/>
                    </w:tabs>
                    <w:spacing w:after="0"/>
                    <w:ind w:left="0" w:leftChars="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sz w:val="21"/>
                      <w:szCs w:val="21"/>
                      <w:lang w:val="en-US" w:eastAsia="zh-CN"/>
                    </w:rPr>
                    <w:t>4</w:t>
                  </w:r>
                </w:p>
              </w:tc>
              <w:tc>
                <w:tcPr>
                  <w:tcW w:w="353" w:type="pct"/>
                  <w:vMerge w:val="continue"/>
                  <w:tcBorders>
                    <w:left w:val="single" w:color="auto" w:sz="4" w:space="0"/>
                    <w:right w:val="single" w:color="auto" w:sz="4" w:space="0"/>
                  </w:tcBorders>
                  <w:noWrap w:val="0"/>
                  <w:vAlign w:val="center"/>
                </w:tcPr>
                <w:p w14:paraId="0821CC94">
                  <w:pPr>
                    <w:bidi w:val="0"/>
                    <w:jc w:val="center"/>
                    <w:rPr>
                      <w:rFonts w:hint="default" w:ascii="Times New Roman" w:hAnsi="Times New Roman" w:eastAsia="宋体" w:cs="Times New Roman"/>
                      <w:color w:val="auto"/>
                      <w:sz w:val="21"/>
                      <w:szCs w:val="21"/>
                      <w:lang w:val="en-US" w:eastAsia="zh-CN"/>
                    </w:rPr>
                  </w:pPr>
                </w:p>
              </w:tc>
              <w:tc>
                <w:tcPr>
                  <w:tcW w:w="351" w:type="pct"/>
                  <w:vMerge w:val="restart"/>
                  <w:tcBorders>
                    <w:top w:val="single" w:color="auto" w:sz="4" w:space="0"/>
                    <w:left w:val="single" w:color="auto" w:sz="4" w:space="0"/>
                    <w:right w:val="single" w:color="auto" w:sz="4" w:space="0"/>
                  </w:tcBorders>
                  <w:shd w:val="clear" w:color="auto" w:fill="auto"/>
                  <w:noWrap w:val="0"/>
                  <w:vAlign w:val="center"/>
                </w:tcPr>
                <w:p w14:paraId="3671719D">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加热罐进料泵</w:t>
                  </w:r>
                </w:p>
              </w:tc>
              <w:tc>
                <w:tcPr>
                  <w:tcW w:w="462" w:type="pct"/>
                  <w:vMerge w:val="restart"/>
                  <w:tcBorders>
                    <w:top w:val="single" w:color="auto" w:sz="4" w:space="0"/>
                    <w:left w:val="single" w:color="auto" w:sz="4" w:space="0"/>
                    <w:right w:val="single" w:color="auto" w:sz="4" w:space="0"/>
                  </w:tcBorders>
                  <w:noWrap w:val="0"/>
                  <w:vAlign w:val="center"/>
                </w:tcPr>
                <w:p w14:paraId="24C0EEB4">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80</w:t>
                  </w:r>
                </w:p>
              </w:tc>
              <w:tc>
                <w:tcPr>
                  <w:tcW w:w="353" w:type="pct"/>
                  <w:vMerge w:val="continue"/>
                  <w:tcBorders>
                    <w:left w:val="single" w:color="auto" w:sz="4" w:space="0"/>
                    <w:right w:val="single" w:color="auto" w:sz="4" w:space="0"/>
                  </w:tcBorders>
                  <w:noWrap w:val="0"/>
                  <w:vAlign w:val="center"/>
                </w:tcPr>
                <w:p w14:paraId="6776857B">
                  <w:pPr>
                    <w:bidi w:val="0"/>
                    <w:jc w:val="center"/>
                    <w:rPr>
                      <w:rFonts w:hint="default" w:ascii="Times New Roman" w:hAnsi="Times New Roman" w:eastAsia="宋体" w:cs="Times New Roman"/>
                      <w:color w:val="auto"/>
                      <w:sz w:val="21"/>
                      <w:szCs w:val="21"/>
                      <w:lang w:val="en-US" w:eastAsia="zh-CN"/>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53D79B28">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23.4</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54AD48F1">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18.9</w:t>
                  </w:r>
                </w:p>
              </w:tc>
              <w:tc>
                <w:tcPr>
                  <w:tcW w:w="250" w:type="pct"/>
                  <w:tcBorders>
                    <w:left w:val="single" w:color="auto" w:sz="4" w:space="0"/>
                    <w:right w:val="single" w:color="auto" w:sz="4" w:space="0"/>
                  </w:tcBorders>
                  <w:noWrap w:val="0"/>
                  <w:vAlign w:val="center"/>
                </w:tcPr>
                <w:p w14:paraId="4B27B1F3">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w:t>
                  </w:r>
                </w:p>
              </w:tc>
              <w:tc>
                <w:tcPr>
                  <w:tcW w:w="344" w:type="pct"/>
                  <w:tcBorders>
                    <w:left w:val="single" w:color="auto" w:sz="4" w:space="0"/>
                    <w:right w:val="single" w:color="auto" w:sz="4" w:space="0"/>
                  </w:tcBorders>
                  <w:noWrap w:val="0"/>
                  <w:vAlign w:val="center"/>
                </w:tcPr>
                <w:p w14:paraId="39847B70">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15.6</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052565BB">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56.1</w:t>
                  </w:r>
                </w:p>
              </w:tc>
              <w:tc>
                <w:tcPr>
                  <w:tcW w:w="238" w:type="pct"/>
                  <w:vMerge w:val="continue"/>
                  <w:tcBorders>
                    <w:left w:val="single" w:color="auto" w:sz="4" w:space="0"/>
                    <w:right w:val="single" w:color="auto" w:sz="4" w:space="0"/>
                  </w:tcBorders>
                  <w:noWrap w:val="0"/>
                  <w:vAlign w:val="center"/>
                </w:tcPr>
                <w:p w14:paraId="42FE56AD">
                  <w:pPr>
                    <w:bidi w:val="0"/>
                    <w:jc w:val="center"/>
                    <w:rPr>
                      <w:rFonts w:hint="default" w:ascii="Times New Roman" w:hAnsi="Times New Roman" w:eastAsia="宋体" w:cs="Times New Roman"/>
                      <w:color w:val="auto"/>
                      <w:sz w:val="21"/>
                      <w:szCs w:val="21"/>
                      <w:lang w:val="en-US" w:eastAsia="zh-CN"/>
                    </w:rPr>
                  </w:pPr>
                </w:p>
              </w:tc>
              <w:tc>
                <w:tcPr>
                  <w:tcW w:w="459" w:type="pct"/>
                  <w:vMerge w:val="continue"/>
                  <w:tcBorders>
                    <w:left w:val="single" w:color="auto" w:sz="4" w:space="0"/>
                    <w:right w:val="single" w:color="auto" w:sz="4" w:space="0"/>
                  </w:tcBorders>
                  <w:noWrap w:val="0"/>
                  <w:vAlign w:val="center"/>
                </w:tcPr>
                <w:p w14:paraId="2468052B">
                  <w:pPr>
                    <w:bidi w:val="0"/>
                    <w:jc w:val="center"/>
                    <w:rPr>
                      <w:rFonts w:hint="default" w:ascii="Times New Roman" w:hAnsi="Times New Roman" w:eastAsia="宋体" w:cs="Times New Roman"/>
                      <w:color w:val="auto"/>
                      <w:sz w:val="21"/>
                      <w:szCs w:val="21"/>
                      <w:lang w:val="en-US" w:eastAsia="zh-CN"/>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6A22A54B">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36.1</w:t>
                  </w:r>
                </w:p>
              </w:tc>
              <w:tc>
                <w:tcPr>
                  <w:tcW w:w="241" w:type="pct"/>
                  <w:vMerge w:val="continue"/>
                  <w:tcBorders>
                    <w:left w:val="single" w:color="auto" w:sz="4" w:space="0"/>
                    <w:right w:val="single" w:color="auto" w:sz="4" w:space="0"/>
                  </w:tcBorders>
                  <w:noWrap w:val="0"/>
                  <w:vAlign w:val="center"/>
                </w:tcPr>
                <w:p w14:paraId="1055C6A7">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r w14:paraId="42F55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59F6C3F">
                  <w:pPr>
                    <w:pStyle w:val="2"/>
                    <w:tabs>
                      <w:tab w:val="left" w:pos="851"/>
                    </w:tabs>
                    <w:spacing w:after="0"/>
                    <w:ind w:left="0" w:leftChars="0" w:firstLine="0" w:firstLineChars="0"/>
                    <w:jc w:val="center"/>
                    <w:rPr>
                      <w:rFonts w:hint="eastAsia" w:cs="Times New Roman"/>
                      <w:b w:val="0"/>
                      <w:bCs/>
                      <w:color w:val="auto"/>
                      <w:sz w:val="21"/>
                      <w:szCs w:val="21"/>
                      <w:lang w:val="en-US" w:eastAsia="zh-CN"/>
                    </w:rPr>
                  </w:pPr>
                </w:p>
              </w:tc>
              <w:tc>
                <w:tcPr>
                  <w:tcW w:w="353" w:type="pct"/>
                  <w:vMerge w:val="continue"/>
                  <w:tcBorders>
                    <w:left w:val="single" w:color="auto" w:sz="4" w:space="0"/>
                    <w:right w:val="single" w:color="auto" w:sz="4" w:space="0"/>
                  </w:tcBorders>
                  <w:noWrap w:val="0"/>
                  <w:vAlign w:val="center"/>
                </w:tcPr>
                <w:p w14:paraId="59B7B9B7">
                  <w:pPr>
                    <w:bidi w:val="0"/>
                    <w:jc w:val="center"/>
                    <w:rPr>
                      <w:rFonts w:hint="default" w:ascii="Times New Roman" w:hAnsi="Times New Roman" w:eastAsia="宋体" w:cs="Times New Roman"/>
                      <w:color w:val="auto"/>
                      <w:sz w:val="21"/>
                      <w:szCs w:val="21"/>
                      <w:lang w:val="en-US" w:eastAsia="zh-CN"/>
                    </w:rPr>
                  </w:pPr>
                </w:p>
              </w:tc>
              <w:tc>
                <w:tcPr>
                  <w:tcW w:w="351" w:type="pct"/>
                  <w:vMerge w:val="continue"/>
                  <w:tcBorders>
                    <w:left w:val="single" w:color="auto" w:sz="4" w:space="0"/>
                    <w:bottom w:val="single" w:color="auto" w:sz="4" w:space="0"/>
                    <w:right w:val="single" w:color="auto" w:sz="4" w:space="0"/>
                  </w:tcBorders>
                  <w:shd w:val="clear" w:color="auto" w:fill="auto"/>
                  <w:noWrap w:val="0"/>
                  <w:vAlign w:val="center"/>
                </w:tcPr>
                <w:p w14:paraId="10E8876D">
                  <w:pPr>
                    <w:bidi w:val="0"/>
                    <w:jc w:val="center"/>
                    <w:rPr>
                      <w:rFonts w:hint="eastAsia" w:ascii="Times New Roman" w:hAnsi="Times New Roman" w:eastAsia="宋体" w:cs="Times New Roman"/>
                      <w:color w:val="auto"/>
                      <w:sz w:val="21"/>
                      <w:szCs w:val="21"/>
                      <w:lang w:val="en-US" w:eastAsia="zh-CN"/>
                    </w:rPr>
                  </w:pPr>
                </w:p>
              </w:tc>
              <w:tc>
                <w:tcPr>
                  <w:tcW w:w="462" w:type="pct"/>
                  <w:vMerge w:val="continue"/>
                  <w:tcBorders>
                    <w:left w:val="single" w:color="auto" w:sz="4" w:space="0"/>
                    <w:bottom w:val="single" w:color="auto" w:sz="4" w:space="0"/>
                    <w:right w:val="single" w:color="auto" w:sz="4" w:space="0"/>
                  </w:tcBorders>
                  <w:noWrap w:val="0"/>
                  <w:vAlign w:val="center"/>
                </w:tcPr>
                <w:p w14:paraId="02682B2D">
                  <w:pPr>
                    <w:bidi w:val="0"/>
                    <w:jc w:val="center"/>
                    <w:rPr>
                      <w:rFonts w:hint="eastAsia" w:ascii="Times New Roman" w:hAnsi="Times New Roman" w:eastAsia="宋体" w:cs="Times New Roman"/>
                      <w:color w:val="auto"/>
                      <w:sz w:val="21"/>
                      <w:szCs w:val="21"/>
                      <w:lang w:val="en-US" w:eastAsia="zh-CN"/>
                    </w:rPr>
                  </w:pPr>
                </w:p>
              </w:tc>
              <w:tc>
                <w:tcPr>
                  <w:tcW w:w="353" w:type="pct"/>
                  <w:vMerge w:val="continue"/>
                  <w:tcBorders>
                    <w:left w:val="single" w:color="auto" w:sz="4" w:space="0"/>
                    <w:right w:val="single" w:color="auto" w:sz="4" w:space="0"/>
                  </w:tcBorders>
                  <w:noWrap w:val="0"/>
                  <w:vAlign w:val="center"/>
                </w:tcPr>
                <w:p w14:paraId="0949A9E1">
                  <w:pPr>
                    <w:bidi w:val="0"/>
                    <w:jc w:val="center"/>
                    <w:rPr>
                      <w:rFonts w:hint="default" w:ascii="Times New Roman" w:hAnsi="Times New Roman" w:eastAsia="宋体" w:cs="Times New Roman"/>
                      <w:color w:val="auto"/>
                      <w:sz w:val="21"/>
                      <w:szCs w:val="21"/>
                      <w:lang w:val="en-US" w:eastAsia="zh-CN"/>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2C6253B7">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29.2</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1ABABA3A">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18.9</w:t>
                  </w:r>
                </w:p>
              </w:tc>
              <w:tc>
                <w:tcPr>
                  <w:tcW w:w="250" w:type="pct"/>
                  <w:tcBorders>
                    <w:left w:val="single" w:color="auto" w:sz="4" w:space="0"/>
                    <w:right w:val="single" w:color="auto" w:sz="4" w:space="0"/>
                  </w:tcBorders>
                  <w:noWrap w:val="0"/>
                  <w:vAlign w:val="center"/>
                </w:tcPr>
                <w:p w14:paraId="09152EC2">
                  <w:pPr>
                    <w:bidi w:val="0"/>
                    <w:jc w:val="center"/>
                    <w:rPr>
                      <w:rFonts w:hint="default" w:cs="Times New Roman"/>
                      <w:color w:val="auto"/>
                      <w:sz w:val="21"/>
                      <w:szCs w:val="21"/>
                      <w:lang w:val="en-US" w:eastAsia="zh-CN"/>
                    </w:rPr>
                  </w:pPr>
                  <w:r>
                    <w:rPr>
                      <w:rFonts w:hint="eastAsia" w:cs="Times New Roman"/>
                      <w:color w:val="auto"/>
                      <w:sz w:val="21"/>
                      <w:szCs w:val="21"/>
                      <w:lang w:val="en-US" w:eastAsia="zh-CN"/>
                    </w:rPr>
                    <w:t>1</w:t>
                  </w:r>
                </w:p>
              </w:tc>
              <w:tc>
                <w:tcPr>
                  <w:tcW w:w="344" w:type="pct"/>
                  <w:tcBorders>
                    <w:left w:val="single" w:color="auto" w:sz="4" w:space="0"/>
                    <w:right w:val="single" w:color="auto" w:sz="4" w:space="0"/>
                  </w:tcBorders>
                  <w:noWrap w:val="0"/>
                  <w:vAlign w:val="center"/>
                </w:tcPr>
                <w:p w14:paraId="45C36EC1">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14.6</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30C2AD25">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56.7</w:t>
                  </w:r>
                </w:p>
              </w:tc>
              <w:tc>
                <w:tcPr>
                  <w:tcW w:w="238" w:type="pct"/>
                  <w:vMerge w:val="continue"/>
                  <w:tcBorders>
                    <w:left w:val="single" w:color="auto" w:sz="4" w:space="0"/>
                    <w:right w:val="single" w:color="auto" w:sz="4" w:space="0"/>
                  </w:tcBorders>
                  <w:noWrap w:val="0"/>
                  <w:vAlign w:val="center"/>
                </w:tcPr>
                <w:p w14:paraId="6153F181">
                  <w:pPr>
                    <w:bidi w:val="0"/>
                    <w:jc w:val="center"/>
                    <w:rPr>
                      <w:rFonts w:hint="default" w:ascii="Times New Roman" w:hAnsi="Times New Roman" w:eastAsia="宋体" w:cs="Times New Roman"/>
                      <w:color w:val="auto"/>
                      <w:sz w:val="21"/>
                      <w:szCs w:val="21"/>
                      <w:lang w:val="en-US" w:eastAsia="zh-CN"/>
                    </w:rPr>
                  </w:pPr>
                </w:p>
              </w:tc>
              <w:tc>
                <w:tcPr>
                  <w:tcW w:w="459" w:type="pct"/>
                  <w:vMerge w:val="continue"/>
                  <w:tcBorders>
                    <w:left w:val="single" w:color="auto" w:sz="4" w:space="0"/>
                    <w:right w:val="single" w:color="auto" w:sz="4" w:space="0"/>
                  </w:tcBorders>
                  <w:noWrap w:val="0"/>
                  <w:vAlign w:val="center"/>
                </w:tcPr>
                <w:p w14:paraId="17900E3C">
                  <w:pPr>
                    <w:bidi w:val="0"/>
                    <w:jc w:val="center"/>
                    <w:rPr>
                      <w:rFonts w:hint="default" w:ascii="Times New Roman" w:hAnsi="Times New Roman" w:eastAsia="宋体" w:cs="Times New Roman"/>
                      <w:color w:val="auto"/>
                      <w:sz w:val="21"/>
                      <w:szCs w:val="21"/>
                      <w:lang w:val="en-US" w:eastAsia="zh-CN"/>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3358118C">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36.7</w:t>
                  </w:r>
                </w:p>
              </w:tc>
              <w:tc>
                <w:tcPr>
                  <w:tcW w:w="241" w:type="pct"/>
                  <w:vMerge w:val="continue"/>
                  <w:tcBorders>
                    <w:left w:val="single" w:color="auto" w:sz="4" w:space="0"/>
                    <w:right w:val="single" w:color="auto" w:sz="4" w:space="0"/>
                  </w:tcBorders>
                  <w:noWrap w:val="0"/>
                  <w:vAlign w:val="center"/>
                </w:tcPr>
                <w:p w14:paraId="2A1B6BA1">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r w14:paraId="49872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9A0E2A0">
                  <w:pPr>
                    <w:pStyle w:val="2"/>
                    <w:tabs>
                      <w:tab w:val="left" w:pos="851"/>
                    </w:tabs>
                    <w:spacing w:after="0"/>
                    <w:ind w:left="0" w:leftChars="0" w:firstLine="0" w:firstLineChars="0"/>
                    <w:jc w:val="center"/>
                    <w:rPr>
                      <w:rFonts w:hint="eastAsia" w:ascii="Times New Roman" w:hAnsi="Times New Roman" w:eastAsia="宋体" w:cs="Times New Roman"/>
                      <w:b w:val="0"/>
                      <w:bCs/>
                      <w:color w:val="auto"/>
                      <w:kern w:val="0"/>
                      <w:sz w:val="21"/>
                      <w:szCs w:val="21"/>
                      <w:lang w:val="en-US" w:eastAsia="zh-CN" w:bidi="ar-SA"/>
                    </w:rPr>
                  </w:pPr>
                  <w:r>
                    <w:rPr>
                      <w:rFonts w:hint="eastAsia" w:cs="Times New Roman"/>
                      <w:b w:val="0"/>
                      <w:bCs/>
                      <w:color w:val="auto"/>
                      <w:sz w:val="21"/>
                      <w:szCs w:val="21"/>
                      <w:lang w:val="en-US" w:eastAsia="zh-CN"/>
                    </w:rPr>
                    <w:t>5</w:t>
                  </w:r>
                </w:p>
              </w:tc>
              <w:tc>
                <w:tcPr>
                  <w:tcW w:w="353" w:type="pct"/>
                  <w:vMerge w:val="continue"/>
                  <w:tcBorders>
                    <w:left w:val="single" w:color="auto" w:sz="4" w:space="0"/>
                    <w:right w:val="single" w:color="auto" w:sz="4" w:space="0"/>
                  </w:tcBorders>
                  <w:noWrap w:val="0"/>
                  <w:vAlign w:val="center"/>
                </w:tcPr>
                <w:p w14:paraId="578EBFB3">
                  <w:pPr>
                    <w:bidi w:val="0"/>
                    <w:jc w:val="center"/>
                    <w:rPr>
                      <w:rFonts w:hint="default" w:ascii="Times New Roman" w:hAnsi="Times New Roman" w:eastAsia="宋体" w:cs="Times New Roman"/>
                      <w:color w:val="auto"/>
                      <w:sz w:val="21"/>
                      <w:szCs w:val="21"/>
                      <w:lang w:val="en-US" w:eastAsia="zh-CN"/>
                    </w:rPr>
                  </w:pPr>
                </w:p>
              </w:tc>
              <w:tc>
                <w:tcPr>
                  <w:tcW w:w="3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5DF6002">
                  <w:pPr>
                    <w:bidi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排水罐出料泵</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6C54C99A">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80</w:t>
                  </w:r>
                </w:p>
              </w:tc>
              <w:tc>
                <w:tcPr>
                  <w:tcW w:w="353" w:type="pct"/>
                  <w:vMerge w:val="continue"/>
                  <w:tcBorders>
                    <w:left w:val="single" w:color="auto" w:sz="4" w:space="0"/>
                    <w:right w:val="single" w:color="auto" w:sz="4" w:space="0"/>
                  </w:tcBorders>
                  <w:noWrap w:val="0"/>
                  <w:vAlign w:val="center"/>
                </w:tcPr>
                <w:p w14:paraId="7D5DBE64">
                  <w:pPr>
                    <w:bidi w:val="0"/>
                    <w:jc w:val="center"/>
                    <w:rPr>
                      <w:rFonts w:hint="default" w:ascii="Times New Roman" w:hAnsi="Times New Roman" w:eastAsia="宋体" w:cs="Times New Roman"/>
                      <w:color w:val="auto"/>
                      <w:sz w:val="21"/>
                      <w:szCs w:val="21"/>
                      <w:lang w:val="en-US" w:eastAsia="zh-CN"/>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6B3A96E6">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23.6</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5BECD66C">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22.5</w:t>
                  </w:r>
                </w:p>
              </w:tc>
              <w:tc>
                <w:tcPr>
                  <w:tcW w:w="250" w:type="pct"/>
                  <w:tcBorders>
                    <w:left w:val="single" w:color="auto" w:sz="4" w:space="0"/>
                    <w:right w:val="single" w:color="auto" w:sz="4" w:space="0"/>
                  </w:tcBorders>
                  <w:noWrap w:val="0"/>
                  <w:vAlign w:val="center"/>
                </w:tcPr>
                <w:p w14:paraId="50E2DAB2">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w:t>
                  </w:r>
                </w:p>
              </w:tc>
              <w:tc>
                <w:tcPr>
                  <w:tcW w:w="344" w:type="pct"/>
                  <w:tcBorders>
                    <w:left w:val="single" w:color="auto" w:sz="4" w:space="0"/>
                    <w:right w:val="single" w:color="auto" w:sz="4" w:space="0"/>
                  </w:tcBorders>
                  <w:noWrap w:val="0"/>
                  <w:vAlign w:val="center"/>
                </w:tcPr>
                <w:p w14:paraId="4A27F65C">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20.3</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748FC42F">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53.8</w:t>
                  </w:r>
                </w:p>
              </w:tc>
              <w:tc>
                <w:tcPr>
                  <w:tcW w:w="238" w:type="pct"/>
                  <w:vMerge w:val="continue"/>
                  <w:tcBorders>
                    <w:left w:val="single" w:color="auto" w:sz="4" w:space="0"/>
                    <w:right w:val="single" w:color="auto" w:sz="4" w:space="0"/>
                  </w:tcBorders>
                  <w:noWrap w:val="0"/>
                  <w:vAlign w:val="center"/>
                </w:tcPr>
                <w:p w14:paraId="3009E3C8">
                  <w:pPr>
                    <w:bidi w:val="0"/>
                    <w:jc w:val="center"/>
                    <w:rPr>
                      <w:rFonts w:hint="default" w:ascii="Times New Roman" w:hAnsi="Times New Roman" w:eastAsia="宋体" w:cs="Times New Roman"/>
                      <w:color w:val="auto"/>
                      <w:sz w:val="21"/>
                      <w:szCs w:val="21"/>
                      <w:lang w:val="en-US" w:eastAsia="zh-CN"/>
                    </w:rPr>
                  </w:pPr>
                </w:p>
              </w:tc>
              <w:tc>
                <w:tcPr>
                  <w:tcW w:w="459" w:type="pct"/>
                  <w:vMerge w:val="continue"/>
                  <w:tcBorders>
                    <w:left w:val="single" w:color="auto" w:sz="4" w:space="0"/>
                    <w:right w:val="single" w:color="auto" w:sz="4" w:space="0"/>
                  </w:tcBorders>
                  <w:noWrap w:val="0"/>
                  <w:vAlign w:val="center"/>
                </w:tcPr>
                <w:p w14:paraId="1646F240">
                  <w:pPr>
                    <w:bidi w:val="0"/>
                    <w:jc w:val="center"/>
                    <w:rPr>
                      <w:rFonts w:hint="default" w:ascii="Times New Roman" w:hAnsi="Times New Roman" w:eastAsia="宋体" w:cs="Times New Roman"/>
                      <w:color w:val="auto"/>
                      <w:sz w:val="21"/>
                      <w:szCs w:val="21"/>
                      <w:lang w:val="en-US" w:eastAsia="zh-CN"/>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7C48414B">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33.8</w:t>
                  </w:r>
                </w:p>
              </w:tc>
              <w:tc>
                <w:tcPr>
                  <w:tcW w:w="241" w:type="pct"/>
                  <w:vMerge w:val="continue"/>
                  <w:tcBorders>
                    <w:left w:val="single" w:color="auto" w:sz="4" w:space="0"/>
                    <w:right w:val="single" w:color="auto" w:sz="4" w:space="0"/>
                  </w:tcBorders>
                  <w:noWrap w:val="0"/>
                  <w:vAlign w:val="center"/>
                </w:tcPr>
                <w:p w14:paraId="74FC3D78">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r w14:paraId="1BFB6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91AB711">
                  <w:pPr>
                    <w:pStyle w:val="2"/>
                    <w:tabs>
                      <w:tab w:val="left" w:pos="851"/>
                    </w:tabs>
                    <w:spacing w:after="0"/>
                    <w:ind w:left="0" w:leftChars="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sz w:val="21"/>
                      <w:szCs w:val="21"/>
                      <w:lang w:val="en-US" w:eastAsia="zh-CN"/>
                    </w:rPr>
                    <w:t>6</w:t>
                  </w:r>
                </w:p>
              </w:tc>
              <w:tc>
                <w:tcPr>
                  <w:tcW w:w="353" w:type="pct"/>
                  <w:vMerge w:val="continue"/>
                  <w:tcBorders>
                    <w:left w:val="single" w:color="auto" w:sz="4" w:space="0"/>
                    <w:right w:val="single" w:color="auto" w:sz="4" w:space="0"/>
                  </w:tcBorders>
                  <w:noWrap w:val="0"/>
                  <w:vAlign w:val="center"/>
                </w:tcPr>
                <w:p w14:paraId="33C5CF1D">
                  <w:pPr>
                    <w:bidi w:val="0"/>
                    <w:jc w:val="center"/>
                    <w:rPr>
                      <w:rFonts w:hint="default" w:ascii="Times New Roman" w:hAnsi="Times New Roman" w:eastAsia="宋体" w:cs="Times New Roman"/>
                      <w:color w:val="auto"/>
                      <w:sz w:val="21"/>
                      <w:szCs w:val="21"/>
                      <w:lang w:val="en-US" w:eastAsia="zh-CN"/>
                    </w:rPr>
                  </w:pPr>
                </w:p>
              </w:tc>
              <w:tc>
                <w:tcPr>
                  <w:tcW w:w="3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65A12C6">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离心机进料泵</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710FBDD4">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80</w:t>
                  </w:r>
                </w:p>
              </w:tc>
              <w:tc>
                <w:tcPr>
                  <w:tcW w:w="353" w:type="pct"/>
                  <w:vMerge w:val="continue"/>
                  <w:tcBorders>
                    <w:left w:val="single" w:color="auto" w:sz="4" w:space="0"/>
                    <w:right w:val="single" w:color="auto" w:sz="4" w:space="0"/>
                  </w:tcBorders>
                  <w:noWrap w:val="0"/>
                  <w:vAlign w:val="center"/>
                </w:tcPr>
                <w:p w14:paraId="625E3C57">
                  <w:pPr>
                    <w:bidi w:val="0"/>
                    <w:jc w:val="center"/>
                    <w:rPr>
                      <w:rFonts w:hint="default" w:ascii="Times New Roman" w:hAnsi="Times New Roman" w:eastAsia="宋体" w:cs="Times New Roman"/>
                      <w:color w:val="auto"/>
                      <w:sz w:val="21"/>
                      <w:szCs w:val="21"/>
                      <w:lang w:val="en-US" w:eastAsia="zh-CN"/>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115C6A61">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26</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1823E588">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33</w:t>
                  </w:r>
                </w:p>
              </w:tc>
              <w:tc>
                <w:tcPr>
                  <w:tcW w:w="250" w:type="pct"/>
                  <w:tcBorders>
                    <w:left w:val="single" w:color="auto" w:sz="4" w:space="0"/>
                    <w:right w:val="single" w:color="auto" w:sz="4" w:space="0"/>
                  </w:tcBorders>
                  <w:noWrap w:val="0"/>
                  <w:vAlign w:val="center"/>
                </w:tcPr>
                <w:p w14:paraId="6E3CE975">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w:t>
                  </w:r>
                </w:p>
              </w:tc>
              <w:tc>
                <w:tcPr>
                  <w:tcW w:w="344" w:type="pct"/>
                  <w:tcBorders>
                    <w:left w:val="single" w:color="auto" w:sz="4" w:space="0"/>
                    <w:right w:val="single" w:color="auto" w:sz="4" w:space="0"/>
                  </w:tcBorders>
                  <w:noWrap w:val="0"/>
                  <w:vAlign w:val="center"/>
                </w:tcPr>
                <w:p w14:paraId="299BD21B">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w:t>
                  </w:r>
                  <w:r>
                    <w:rPr>
                      <w:rFonts w:hint="eastAsia" w:cs="Times New Roman"/>
                      <w:color w:val="auto"/>
                      <w:sz w:val="21"/>
                      <w:szCs w:val="21"/>
                      <w:lang w:val="en-US" w:eastAsia="zh-CN"/>
                    </w:rPr>
                    <w:t>5.8</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36C27812">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56.0</w:t>
                  </w:r>
                </w:p>
              </w:tc>
              <w:tc>
                <w:tcPr>
                  <w:tcW w:w="238" w:type="pct"/>
                  <w:vMerge w:val="continue"/>
                  <w:tcBorders>
                    <w:left w:val="single" w:color="auto" w:sz="4" w:space="0"/>
                    <w:right w:val="single" w:color="auto" w:sz="4" w:space="0"/>
                  </w:tcBorders>
                  <w:noWrap w:val="0"/>
                  <w:vAlign w:val="center"/>
                </w:tcPr>
                <w:p w14:paraId="48356456">
                  <w:pPr>
                    <w:bidi w:val="0"/>
                    <w:jc w:val="center"/>
                    <w:rPr>
                      <w:rFonts w:hint="default" w:ascii="Times New Roman" w:hAnsi="Times New Roman" w:eastAsia="宋体" w:cs="Times New Roman"/>
                      <w:color w:val="auto"/>
                      <w:sz w:val="21"/>
                      <w:szCs w:val="21"/>
                      <w:lang w:val="en-US" w:eastAsia="zh-CN"/>
                    </w:rPr>
                  </w:pPr>
                </w:p>
              </w:tc>
              <w:tc>
                <w:tcPr>
                  <w:tcW w:w="459" w:type="pct"/>
                  <w:vMerge w:val="continue"/>
                  <w:tcBorders>
                    <w:left w:val="single" w:color="auto" w:sz="4" w:space="0"/>
                    <w:right w:val="single" w:color="auto" w:sz="4" w:space="0"/>
                  </w:tcBorders>
                  <w:noWrap w:val="0"/>
                  <w:vAlign w:val="center"/>
                </w:tcPr>
                <w:p w14:paraId="32B6AB67">
                  <w:pPr>
                    <w:bidi w:val="0"/>
                    <w:jc w:val="center"/>
                    <w:rPr>
                      <w:rFonts w:hint="default" w:ascii="Times New Roman" w:hAnsi="Times New Roman" w:eastAsia="宋体" w:cs="Times New Roman"/>
                      <w:color w:val="auto"/>
                      <w:sz w:val="21"/>
                      <w:szCs w:val="21"/>
                      <w:lang w:val="en-US" w:eastAsia="zh-CN"/>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3956D12A">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36.0</w:t>
                  </w:r>
                </w:p>
              </w:tc>
              <w:tc>
                <w:tcPr>
                  <w:tcW w:w="241" w:type="pct"/>
                  <w:vMerge w:val="continue"/>
                  <w:tcBorders>
                    <w:left w:val="single" w:color="auto" w:sz="4" w:space="0"/>
                    <w:right w:val="single" w:color="auto" w:sz="4" w:space="0"/>
                  </w:tcBorders>
                  <w:noWrap w:val="0"/>
                  <w:vAlign w:val="center"/>
                </w:tcPr>
                <w:p w14:paraId="305BEEAF">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r w14:paraId="01177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1CDB0FA">
                  <w:pPr>
                    <w:pStyle w:val="2"/>
                    <w:tabs>
                      <w:tab w:val="left" w:pos="851"/>
                    </w:tabs>
                    <w:spacing w:after="0"/>
                    <w:ind w:left="0" w:leftChars="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sz w:val="21"/>
                      <w:szCs w:val="21"/>
                      <w:lang w:val="en-US" w:eastAsia="zh-CN"/>
                    </w:rPr>
                    <w:t>7</w:t>
                  </w:r>
                </w:p>
              </w:tc>
              <w:tc>
                <w:tcPr>
                  <w:tcW w:w="353" w:type="pct"/>
                  <w:vMerge w:val="continue"/>
                  <w:tcBorders>
                    <w:left w:val="single" w:color="auto" w:sz="4" w:space="0"/>
                    <w:right w:val="single" w:color="auto" w:sz="4" w:space="0"/>
                  </w:tcBorders>
                  <w:noWrap w:val="0"/>
                  <w:vAlign w:val="center"/>
                </w:tcPr>
                <w:p w14:paraId="35628BC2">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3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7601E10">
                  <w:pPr>
                    <w:bidi w:val="0"/>
                    <w:jc w:val="center"/>
                    <w:rPr>
                      <w:rFonts w:hint="default" w:ascii="Times New Roman" w:hAnsi="Times New Roman" w:eastAsia="宋体" w:cs="Times New Roman"/>
                      <w:color w:val="auto"/>
                      <w:kern w:val="2"/>
                      <w:sz w:val="21"/>
                      <w:szCs w:val="24"/>
                      <w:lang w:val="en-US" w:eastAsia="zh-CN" w:bidi="ar-SA"/>
                    </w:rPr>
                  </w:pPr>
                  <w:r>
                    <w:rPr>
                      <w:rFonts w:hint="eastAsia" w:eastAsia="宋体" w:cs="Times New Roman"/>
                      <w:strike w:val="0"/>
                      <w:dstrike w:val="0"/>
                      <w:color w:val="auto"/>
                      <w:sz w:val="21"/>
                      <w:szCs w:val="21"/>
                      <w:lang w:val="en-US" w:eastAsia="zh-CN"/>
                    </w:rPr>
                    <w:t>三相离心机</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36B6448E">
                  <w:pPr>
                    <w:spacing w:line="240" w:lineRule="auto"/>
                    <w:jc w:val="center"/>
                    <w:rPr>
                      <w:rFonts w:hint="default" w:ascii="Times New Roman" w:hAnsi="Times New Roman" w:eastAsia="宋体" w:cs="Times New Roman"/>
                      <w:b w:val="0"/>
                      <w:bCs/>
                      <w:color w:val="auto"/>
                      <w:kern w:val="2"/>
                      <w:sz w:val="21"/>
                      <w:szCs w:val="21"/>
                      <w:lang w:val="en-US" w:eastAsia="zh-CN" w:bidi="ar-SA"/>
                    </w:rPr>
                  </w:pPr>
                  <w:r>
                    <w:rPr>
                      <w:rFonts w:hint="eastAsia"/>
                      <w:color w:val="auto"/>
                      <w:lang w:val="en-US" w:eastAsia="zh-CN"/>
                    </w:rPr>
                    <w:t>75</w:t>
                  </w:r>
                </w:p>
              </w:tc>
              <w:tc>
                <w:tcPr>
                  <w:tcW w:w="353" w:type="pct"/>
                  <w:vMerge w:val="continue"/>
                  <w:tcBorders>
                    <w:left w:val="single" w:color="auto" w:sz="4" w:space="0"/>
                    <w:right w:val="single" w:color="auto" w:sz="4" w:space="0"/>
                  </w:tcBorders>
                  <w:noWrap w:val="0"/>
                  <w:vAlign w:val="center"/>
                </w:tcPr>
                <w:p w14:paraId="09C654F2">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1D20B9C6">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eastAsia" w:cs="Times New Roman"/>
                      <w:b w:val="0"/>
                      <w:bCs/>
                      <w:color w:val="auto"/>
                      <w:spacing w:val="4"/>
                      <w:kern w:val="2"/>
                      <w:sz w:val="21"/>
                      <w:szCs w:val="21"/>
                      <w:lang w:val="en-US" w:eastAsia="zh-CN" w:bidi="ar-SA"/>
                    </w:rPr>
                    <w:t>21-25</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2250AC36">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eastAsia" w:cs="Times New Roman"/>
                      <w:b w:val="0"/>
                      <w:bCs/>
                      <w:color w:val="auto"/>
                      <w:spacing w:val="4"/>
                      <w:kern w:val="2"/>
                      <w:sz w:val="21"/>
                      <w:szCs w:val="21"/>
                      <w:lang w:val="en-US" w:eastAsia="zh-CN" w:bidi="ar-SA"/>
                    </w:rPr>
                    <w:t>33-36</w:t>
                  </w:r>
                </w:p>
              </w:tc>
              <w:tc>
                <w:tcPr>
                  <w:tcW w:w="250" w:type="pct"/>
                  <w:tcBorders>
                    <w:left w:val="single" w:color="auto" w:sz="4" w:space="0"/>
                    <w:right w:val="single" w:color="auto" w:sz="4" w:space="0"/>
                  </w:tcBorders>
                  <w:noWrap w:val="0"/>
                  <w:vAlign w:val="center"/>
                </w:tcPr>
                <w:p w14:paraId="10C3B4FF">
                  <w:pPr>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eastAsia" w:cs="Times New Roman"/>
                      <w:color w:val="auto"/>
                      <w:sz w:val="21"/>
                      <w:szCs w:val="21"/>
                      <w:lang w:val="en-US" w:eastAsia="zh-CN"/>
                    </w:rPr>
                    <w:t>2</w:t>
                  </w:r>
                </w:p>
              </w:tc>
              <w:tc>
                <w:tcPr>
                  <w:tcW w:w="344" w:type="pct"/>
                  <w:tcBorders>
                    <w:left w:val="single" w:color="auto" w:sz="4" w:space="0"/>
                    <w:right w:val="single" w:color="auto" w:sz="4" w:space="0"/>
                  </w:tcBorders>
                  <w:noWrap w:val="0"/>
                  <w:vAlign w:val="center"/>
                </w:tcPr>
                <w:p w14:paraId="40C674CE">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eastAsia" w:cs="Times New Roman"/>
                      <w:b w:val="0"/>
                      <w:bCs/>
                      <w:color w:val="auto"/>
                      <w:spacing w:val="4"/>
                      <w:kern w:val="2"/>
                      <w:sz w:val="21"/>
                      <w:szCs w:val="21"/>
                      <w:lang w:val="en-US" w:eastAsia="zh-CN" w:bidi="ar-SA"/>
                    </w:rPr>
                    <w:t>11.8</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102CD73C">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53.5</w:t>
                  </w:r>
                </w:p>
              </w:tc>
              <w:tc>
                <w:tcPr>
                  <w:tcW w:w="238" w:type="pct"/>
                  <w:vMerge w:val="continue"/>
                  <w:tcBorders>
                    <w:left w:val="single" w:color="auto" w:sz="4" w:space="0"/>
                    <w:right w:val="single" w:color="auto" w:sz="4" w:space="0"/>
                  </w:tcBorders>
                  <w:noWrap w:val="0"/>
                  <w:vAlign w:val="center"/>
                </w:tcPr>
                <w:p w14:paraId="667F47DC">
                  <w:pPr>
                    <w:bidi w:val="0"/>
                    <w:jc w:val="center"/>
                    <w:rPr>
                      <w:rFonts w:hint="default" w:ascii="Times New Roman" w:hAnsi="Times New Roman" w:eastAsia="宋体" w:cs="Times New Roman"/>
                      <w:color w:val="auto"/>
                      <w:sz w:val="21"/>
                      <w:szCs w:val="21"/>
                      <w:lang w:val="en-US" w:eastAsia="zh-CN"/>
                    </w:rPr>
                  </w:pPr>
                </w:p>
              </w:tc>
              <w:tc>
                <w:tcPr>
                  <w:tcW w:w="459" w:type="pct"/>
                  <w:vMerge w:val="continue"/>
                  <w:tcBorders>
                    <w:left w:val="single" w:color="auto" w:sz="4" w:space="0"/>
                    <w:right w:val="single" w:color="auto" w:sz="4" w:space="0"/>
                  </w:tcBorders>
                  <w:noWrap w:val="0"/>
                  <w:vAlign w:val="center"/>
                </w:tcPr>
                <w:p w14:paraId="359D601A">
                  <w:pPr>
                    <w:bidi w:val="0"/>
                    <w:jc w:val="center"/>
                    <w:rPr>
                      <w:rFonts w:hint="default" w:ascii="Times New Roman" w:hAnsi="Times New Roman" w:eastAsia="宋体" w:cs="Times New Roman"/>
                      <w:color w:val="auto"/>
                      <w:sz w:val="21"/>
                      <w:szCs w:val="21"/>
                      <w:lang w:val="en-US" w:eastAsia="zh-CN"/>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576836A7">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33.5</w:t>
                  </w:r>
                </w:p>
              </w:tc>
              <w:tc>
                <w:tcPr>
                  <w:tcW w:w="241" w:type="pct"/>
                  <w:vMerge w:val="continue"/>
                  <w:tcBorders>
                    <w:left w:val="single" w:color="auto" w:sz="4" w:space="0"/>
                    <w:right w:val="single" w:color="auto" w:sz="4" w:space="0"/>
                  </w:tcBorders>
                  <w:noWrap w:val="0"/>
                  <w:vAlign w:val="center"/>
                </w:tcPr>
                <w:p w14:paraId="19350935">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r w14:paraId="09422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7E0FE74">
                  <w:pPr>
                    <w:pStyle w:val="2"/>
                    <w:tabs>
                      <w:tab w:val="left" w:pos="851"/>
                    </w:tabs>
                    <w:spacing w:after="0"/>
                    <w:ind w:left="0" w:leftChars="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sz w:val="21"/>
                      <w:szCs w:val="21"/>
                      <w:lang w:val="en-US" w:eastAsia="zh-CN"/>
                    </w:rPr>
                    <w:t>8</w:t>
                  </w:r>
                </w:p>
              </w:tc>
              <w:tc>
                <w:tcPr>
                  <w:tcW w:w="353" w:type="pct"/>
                  <w:vMerge w:val="continue"/>
                  <w:tcBorders>
                    <w:left w:val="single" w:color="auto" w:sz="4" w:space="0"/>
                    <w:right w:val="single" w:color="auto" w:sz="4" w:space="0"/>
                  </w:tcBorders>
                  <w:noWrap w:val="0"/>
                  <w:vAlign w:val="center"/>
                </w:tcPr>
                <w:p w14:paraId="507A172C">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3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F262429">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color w:val="auto"/>
                      <w:kern w:val="2"/>
                      <w:sz w:val="21"/>
                      <w:szCs w:val="24"/>
                      <w:lang w:val="en-US" w:eastAsia="zh-CN" w:bidi="ar-SA"/>
                    </w:rPr>
                  </w:pPr>
                  <w:r>
                    <w:rPr>
                      <w:rFonts w:hint="eastAsia" w:eastAsia="宋体" w:cs="Times New Roman"/>
                      <w:color w:val="auto"/>
                      <w:sz w:val="21"/>
                      <w:szCs w:val="21"/>
                      <w:lang w:val="en-US" w:eastAsia="zh-CN"/>
                    </w:rPr>
                    <w:t>三相离心机出渣螺旋</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2F27C8AF">
                  <w:pPr>
                    <w:spacing w:line="240" w:lineRule="auto"/>
                    <w:jc w:val="center"/>
                    <w:rPr>
                      <w:rFonts w:hint="default" w:ascii="Times New Roman" w:hAnsi="Times New Roman" w:eastAsia="宋体" w:cs="Times New Roman"/>
                      <w:b w:val="0"/>
                      <w:bCs/>
                      <w:color w:val="auto"/>
                      <w:kern w:val="2"/>
                      <w:sz w:val="21"/>
                      <w:szCs w:val="21"/>
                      <w:lang w:val="en-US" w:eastAsia="zh-CN" w:bidi="ar-SA"/>
                    </w:rPr>
                  </w:pPr>
                  <w:r>
                    <w:rPr>
                      <w:rFonts w:hint="eastAsia"/>
                      <w:color w:val="auto"/>
                      <w:lang w:val="en-US" w:eastAsia="zh-CN"/>
                    </w:rPr>
                    <w:t>80</w:t>
                  </w:r>
                </w:p>
              </w:tc>
              <w:tc>
                <w:tcPr>
                  <w:tcW w:w="353" w:type="pct"/>
                  <w:vMerge w:val="continue"/>
                  <w:tcBorders>
                    <w:left w:val="single" w:color="auto" w:sz="4" w:space="0"/>
                    <w:right w:val="single" w:color="auto" w:sz="4" w:space="0"/>
                  </w:tcBorders>
                  <w:noWrap w:val="0"/>
                  <w:vAlign w:val="center"/>
                </w:tcPr>
                <w:p w14:paraId="3A276F88">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25C5C56A">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eastAsia" w:cs="Times New Roman"/>
                      <w:b w:val="0"/>
                      <w:bCs/>
                      <w:color w:val="auto"/>
                      <w:spacing w:val="4"/>
                      <w:kern w:val="2"/>
                      <w:sz w:val="21"/>
                      <w:szCs w:val="21"/>
                      <w:lang w:val="en-US" w:eastAsia="zh-CN" w:bidi="ar-SA"/>
                    </w:rPr>
                    <w:t>27</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6B327A68">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eastAsia" w:cs="Times New Roman"/>
                      <w:b w:val="0"/>
                      <w:bCs/>
                      <w:color w:val="auto"/>
                      <w:spacing w:val="4"/>
                      <w:kern w:val="2"/>
                      <w:sz w:val="21"/>
                      <w:szCs w:val="21"/>
                      <w:lang w:val="en-US" w:eastAsia="zh-CN" w:bidi="ar-SA"/>
                    </w:rPr>
                    <w:t>39</w:t>
                  </w:r>
                </w:p>
              </w:tc>
              <w:tc>
                <w:tcPr>
                  <w:tcW w:w="250" w:type="pct"/>
                  <w:tcBorders>
                    <w:left w:val="single" w:color="auto" w:sz="4" w:space="0"/>
                    <w:right w:val="single" w:color="auto" w:sz="4" w:space="0"/>
                  </w:tcBorders>
                  <w:noWrap w:val="0"/>
                  <w:vAlign w:val="center"/>
                </w:tcPr>
                <w:p w14:paraId="58F11137">
                  <w:pPr>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eastAsia" w:cs="Times New Roman"/>
                      <w:color w:val="auto"/>
                      <w:sz w:val="21"/>
                      <w:szCs w:val="21"/>
                      <w:lang w:val="en-US" w:eastAsia="zh-CN"/>
                    </w:rPr>
                    <w:t>2</w:t>
                  </w:r>
                </w:p>
              </w:tc>
              <w:tc>
                <w:tcPr>
                  <w:tcW w:w="344" w:type="pct"/>
                  <w:tcBorders>
                    <w:left w:val="single" w:color="auto" w:sz="4" w:space="0"/>
                    <w:right w:val="single" w:color="auto" w:sz="4" w:space="0"/>
                  </w:tcBorders>
                  <w:noWrap w:val="0"/>
                  <w:vAlign w:val="center"/>
                </w:tcPr>
                <w:p w14:paraId="1CCBB88F">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eastAsia" w:cs="Times New Roman"/>
                      <w:b w:val="0"/>
                      <w:bCs/>
                      <w:color w:val="auto"/>
                      <w:spacing w:val="4"/>
                      <w:kern w:val="2"/>
                      <w:sz w:val="21"/>
                      <w:szCs w:val="21"/>
                      <w:lang w:val="en-US" w:eastAsia="zh-CN" w:bidi="ar-SA"/>
                    </w:rPr>
                    <w:t>11.8</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231D619B">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58.6</w:t>
                  </w:r>
                </w:p>
              </w:tc>
              <w:tc>
                <w:tcPr>
                  <w:tcW w:w="238" w:type="pct"/>
                  <w:vMerge w:val="continue"/>
                  <w:tcBorders>
                    <w:left w:val="single" w:color="auto" w:sz="4" w:space="0"/>
                    <w:right w:val="single" w:color="auto" w:sz="4" w:space="0"/>
                  </w:tcBorders>
                  <w:noWrap w:val="0"/>
                  <w:vAlign w:val="center"/>
                </w:tcPr>
                <w:p w14:paraId="544064C6">
                  <w:pPr>
                    <w:bidi w:val="0"/>
                    <w:jc w:val="center"/>
                    <w:rPr>
                      <w:rFonts w:hint="default" w:ascii="Times New Roman" w:hAnsi="Times New Roman" w:eastAsia="宋体" w:cs="Times New Roman"/>
                      <w:color w:val="auto"/>
                      <w:sz w:val="21"/>
                      <w:szCs w:val="21"/>
                      <w:lang w:val="en-US" w:eastAsia="zh-CN"/>
                    </w:rPr>
                  </w:pPr>
                </w:p>
              </w:tc>
              <w:tc>
                <w:tcPr>
                  <w:tcW w:w="459" w:type="pct"/>
                  <w:vMerge w:val="continue"/>
                  <w:tcBorders>
                    <w:left w:val="single" w:color="auto" w:sz="4" w:space="0"/>
                    <w:right w:val="single" w:color="auto" w:sz="4" w:space="0"/>
                  </w:tcBorders>
                  <w:noWrap w:val="0"/>
                  <w:vAlign w:val="center"/>
                </w:tcPr>
                <w:p w14:paraId="5F019506">
                  <w:pPr>
                    <w:bidi w:val="0"/>
                    <w:jc w:val="center"/>
                    <w:rPr>
                      <w:rFonts w:hint="default" w:ascii="Times New Roman" w:hAnsi="Times New Roman" w:eastAsia="宋体" w:cs="Times New Roman"/>
                      <w:color w:val="auto"/>
                      <w:sz w:val="21"/>
                      <w:szCs w:val="21"/>
                      <w:lang w:val="en-US" w:eastAsia="zh-CN"/>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4B565C0B">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38.6</w:t>
                  </w:r>
                </w:p>
              </w:tc>
              <w:tc>
                <w:tcPr>
                  <w:tcW w:w="241" w:type="pct"/>
                  <w:vMerge w:val="continue"/>
                  <w:tcBorders>
                    <w:left w:val="single" w:color="auto" w:sz="4" w:space="0"/>
                    <w:right w:val="single" w:color="auto" w:sz="4" w:space="0"/>
                  </w:tcBorders>
                  <w:noWrap w:val="0"/>
                  <w:vAlign w:val="center"/>
                </w:tcPr>
                <w:p w14:paraId="211EABA2">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r w14:paraId="33A31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18AB921">
                  <w:pPr>
                    <w:pStyle w:val="2"/>
                    <w:tabs>
                      <w:tab w:val="left" w:pos="851"/>
                    </w:tabs>
                    <w:spacing w:after="0"/>
                    <w:ind w:left="0" w:leftChars="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sz w:val="21"/>
                      <w:szCs w:val="21"/>
                      <w:lang w:val="en-US" w:eastAsia="zh-CN"/>
                    </w:rPr>
                    <w:t>9</w:t>
                  </w:r>
                </w:p>
              </w:tc>
              <w:tc>
                <w:tcPr>
                  <w:tcW w:w="353" w:type="pct"/>
                  <w:vMerge w:val="continue"/>
                  <w:tcBorders>
                    <w:left w:val="single" w:color="auto" w:sz="4" w:space="0"/>
                    <w:right w:val="single" w:color="auto" w:sz="4" w:space="0"/>
                  </w:tcBorders>
                  <w:noWrap w:val="0"/>
                  <w:vAlign w:val="center"/>
                </w:tcPr>
                <w:p w14:paraId="44223A18">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3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B95EC51">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color w:val="auto"/>
                      <w:kern w:val="2"/>
                      <w:sz w:val="21"/>
                      <w:szCs w:val="24"/>
                      <w:lang w:val="en-US" w:eastAsia="zh-CN" w:bidi="ar-SA"/>
                    </w:rPr>
                  </w:pPr>
                  <w:r>
                    <w:rPr>
                      <w:rFonts w:hint="eastAsia" w:eastAsia="宋体" w:cs="Times New Roman"/>
                      <w:color w:val="auto"/>
                      <w:sz w:val="21"/>
                      <w:szCs w:val="21"/>
                      <w:lang w:val="en-US" w:eastAsia="zh-CN"/>
                    </w:rPr>
                    <w:t>沉降罐进料泵</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6763EB50">
                  <w:pPr>
                    <w:spacing w:line="240" w:lineRule="auto"/>
                    <w:jc w:val="center"/>
                    <w:rPr>
                      <w:rFonts w:hint="default" w:ascii="Times New Roman" w:hAnsi="Times New Roman" w:eastAsia="宋体" w:cs="Times New Roman"/>
                      <w:b w:val="0"/>
                      <w:bCs/>
                      <w:color w:val="auto"/>
                      <w:kern w:val="2"/>
                      <w:sz w:val="21"/>
                      <w:szCs w:val="21"/>
                      <w:lang w:val="en-US" w:eastAsia="zh-CN" w:bidi="ar-SA"/>
                    </w:rPr>
                  </w:pPr>
                  <w:r>
                    <w:rPr>
                      <w:rFonts w:hint="eastAsia"/>
                      <w:color w:val="auto"/>
                      <w:lang w:val="en-US" w:eastAsia="zh-CN"/>
                    </w:rPr>
                    <w:t>80</w:t>
                  </w:r>
                </w:p>
              </w:tc>
              <w:tc>
                <w:tcPr>
                  <w:tcW w:w="353" w:type="pct"/>
                  <w:vMerge w:val="continue"/>
                  <w:tcBorders>
                    <w:left w:val="single" w:color="auto" w:sz="4" w:space="0"/>
                    <w:right w:val="single" w:color="auto" w:sz="4" w:space="0"/>
                  </w:tcBorders>
                  <w:noWrap w:val="0"/>
                  <w:vAlign w:val="center"/>
                </w:tcPr>
                <w:p w14:paraId="79D2D091">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39F704FA">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eastAsia" w:cs="Times New Roman"/>
                      <w:b w:val="0"/>
                      <w:bCs/>
                      <w:color w:val="auto"/>
                      <w:spacing w:val="4"/>
                      <w:kern w:val="2"/>
                      <w:sz w:val="21"/>
                      <w:szCs w:val="21"/>
                      <w:lang w:val="en-US" w:eastAsia="zh-CN" w:bidi="ar-SA"/>
                    </w:rPr>
                    <w:t>41</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47049F7A">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eastAsia" w:cs="Times New Roman"/>
                      <w:b w:val="0"/>
                      <w:bCs/>
                      <w:color w:val="auto"/>
                      <w:spacing w:val="4"/>
                      <w:kern w:val="2"/>
                      <w:sz w:val="21"/>
                      <w:szCs w:val="21"/>
                      <w:lang w:val="en-US" w:eastAsia="zh-CN" w:bidi="ar-SA"/>
                    </w:rPr>
                    <w:t>25</w:t>
                  </w:r>
                </w:p>
              </w:tc>
              <w:tc>
                <w:tcPr>
                  <w:tcW w:w="250" w:type="pct"/>
                  <w:tcBorders>
                    <w:left w:val="single" w:color="auto" w:sz="4" w:space="0"/>
                    <w:right w:val="single" w:color="auto" w:sz="4" w:space="0"/>
                  </w:tcBorders>
                  <w:noWrap w:val="0"/>
                  <w:vAlign w:val="center"/>
                </w:tcPr>
                <w:p w14:paraId="158B96EF">
                  <w:pPr>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eastAsia" w:cs="Times New Roman"/>
                      <w:color w:val="auto"/>
                      <w:sz w:val="21"/>
                      <w:szCs w:val="21"/>
                      <w:lang w:val="en-US" w:eastAsia="zh-CN"/>
                    </w:rPr>
                    <w:t>1</w:t>
                  </w:r>
                </w:p>
              </w:tc>
              <w:tc>
                <w:tcPr>
                  <w:tcW w:w="344" w:type="pct"/>
                  <w:tcBorders>
                    <w:left w:val="single" w:color="auto" w:sz="4" w:space="0"/>
                    <w:right w:val="single" w:color="auto" w:sz="4" w:space="0"/>
                  </w:tcBorders>
                  <w:noWrap w:val="0"/>
                  <w:vAlign w:val="center"/>
                </w:tcPr>
                <w:p w14:paraId="0F0014BE">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eastAsia" w:cs="Times New Roman"/>
                      <w:b w:val="0"/>
                      <w:bCs/>
                      <w:color w:val="auto"/>
                      <w:spacing w:val="4"/>
                      <w:kern w:val="2"/>
                      <w:sz w:val="21"/>
                      <w:szCs w:val="21"/>
                      <w:lang w:val="en-US" w:eastAsia="zh-CN" w:bidi="ar-SA"/>
                    </w:rPr>
                    <w:t>4</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6386B1AA">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68.0</w:t>
                  </w:r>
                </w:p>
              </w:tc>
              <w:tc>
                <w:tcPr>
                  <w:tcW w:w="238" w:type="pct"/>
                  <w:vMerge w:val="continue"/>
                  <w:tcBorders>
                    <w:left w:val="single" w:color="auto" w:sz="4" w:space="0"/>
                    <w:right w:val="single" w:color="auto" w:sz="4" w:space="0"/>
                  </w:tcBorders>
                  <w:noWrap w:val="0"/>
                  <w:vAlign w:val="center"/>
                </w:tcPr>
                <w:p w14:paraId="6F793AE3">
                  <w:pPr>
                    <w:bidi w:val="0"/>
                    <w:jc w:val="center"/>
                    <w:rPr>
                      <w:rFonts w:hint="default" w:ascii="Times New Roman" w:hAnsi="Times New Roman" w:eastAsia="宋体" w:cs="Times New Roman"/>
                      <w:color w:val="auto"/>
                      <w:sz w:val="21"/>
                      <w:szCs w:val="21"/>
                      <w:lang w:val="en-US" w:eastAsia="zh-CN"/>
                    </w:rPr>
                  </w:pPr>
                </w:p>
              </w:tc>
              <w:tc>
                <w:tcPr>
                  <w:tcW w:w="459" w:type="pct"/>
                  <w:vMerge w:val="continue"/>
                  <w:tcBorders>
                    <w:left w:val="single" w:color="auto" w:sz="4" w:space="0"/>
                    <w:right w:val="single" w:color="auto" w:sz="4" w:space="0"/>
                  </w:tcBorders>
                  <w:noWrap w:val="0"/>
                  <w:vAlign w:val="center"/>
                </w:tcPr>
                <w:p w14:paraId="08EE87F4">
                  <w:pPr>
                    <w:bidi w:val="0"/>
                    <w:jc w:val="center"/>
                    <w:rPr>
                      <w:rFonts w:hint="default" w:ascii="Times New Roman" w:hAnsi="Times New Roman" w:eastAsia="宋体" w:cs="Times New Roman"/>
                      <w:color w:val="auto"/>
                      <w:sz w:val="21"/>
                      <w:szCs w:val="21"/>
                      <w:lang w:val="en-US" w:eastAsia="zh-CN"/>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43F3488C">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48</w:t>
                  </w:r>
                </w:p>
              </w:tc>
              <w:tc>
                <w:tcPr>
                  <w:tcW w:w="241" w:type="pct"/>
                  <w:vMerge w:val="continue"/>
                  <w:tcBorders>
                    <w:left w:val="single" w:color="auto" w:sz="4" w:space="0"/>
                    <w:right w:val="single" w:color="auto" w:sz="4" w:space="0"/>
                  </w:tcBorders>
                  <w:noWrap w:val="0"/>
                  <w:vAlign w:val="center"/>
                </w:tcPr>
                <w:p w14:paraId="1EC5BB53">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r w14:paraId="438C8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D03AC52">
                  <w:pPr>
                    <w:pStyle w:val="2"/>
                    <w:tabs>
                      <w:tab w:val="left" w:pos="851"/>
                    </w:tabs>
                    <w:spacing w:after="0"/>
                    <w:ind w:left="0" w:leftChars="0" w:firstLine="0" w:firstLineChars="0"/>
                    <w:jc w:val="center"/>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sz w:val="21"/>
                      <w:szCs w:val="21"/>
                      <w:lang w:val="en-US" w:eastAsia="zh-CN"/>
                    </w:rPr>
                    <w:t>10</w:t>
                  </w:r>
                </w:p>
              </w:tc>
              <w:tc>
                <w:tcPr>
                  <w:tcW w:w="353" w:type="pct"/>
                  <w:vMerge w:val="continue"/>
                  <w:tcBorders>
                    <w:left w:val="single" w:color="auto" w:sz="4" w:space="0"/>
                    <w:right w:val="single" w:color="auto" w:sz="4" w:space="0"/>
                  </w:tcBorders>
                  <w:noWrap w:val="0"/>
                  <w:vAlign w:val="center"/>
                </w:tcPr>
                <w:p w14:paraId="0D35B36E">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3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3A985F3">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Times New Roman" w:hAnsi="Times New Roman" w:eastAsia="宋体" w:cs="Times New Roman"/>
                      <w:color w:val="auto"/>
                      <w:kern w:val="2"/>
                      <w:sz w:val="21"/>
                      <w:szCs w:val="24"/>
                      <w:lang w:val="en-US" w:eastAsia="zh-CN" w:bidi="ar-SA"/>
                    </w:rPr>
                  </w:pPr>
                  <w:r>
                    <w:rPr>
                      <w:rFonts w:hint="eastAsia" w:eastAsia="宋体" w:cs="Times New Roman"/>
                      <w:color w:val="auto"/>
                      <w:sz w:val="21"/>
                      <w:szCs w:val="21"/>
                      <w:lang w:val="en-US" w:eastAsia="zh-CN"/>
                    </w:rPr>
                    <w:t>沉降罐出料泵</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69716BBA">
                  <w:pPr>
                    <w:spacing w:line="240" w:lineRule="auto"/>
                    <w:jc w:val="center"/>
                    <w:rPr>
                      <w:rFonts w:hint="default" w:ascii="Times New Roman" w:hAnsi="Times New Roman" w:eastAsia="宋体" w:cs="Times New Roman"/>
                      <w:b w:val="0"/>
                      <w:bCs/>
                      <w:color w:val="auto"/>
                      <w:kern w:val="2"/>
                      <w:sz w:val="21"/>
                      <w:szCs w:val="21"/>
                      <w:lang w:val="en-US" w:eastAsia="zh-CN" w:bidi="ar-SA"/>
                    </w:rPr>
                  </w:pPr>
                  <w:r>
                    <w:rPr>
                      <w:rFonts w:hint="eastAsia"/>
                      <w:color w:val="auto"/>
                      <w:lang w:val="en-US" w:eastAsia="zh-CN"/>
                    </w:rPr>
                    <w:t>80</w:t>
                  </w:r>
                </w:p>
              </w:tc>
              <w:tc>
                <w:tcPr>
                  <w:tcW w:w="353" w:type="pct"/>
                  <w:vMerge w:val="continue"/>
                  <w:tcBorders>
                    <w:left w:val="single" w:color="auto" w:sz="4" w:space="0"/>
                    <w:right w:val="single" w:color="auto" w:sz="4" w:space="0"/>
                  </w:tcBorders>
                  <w:noWrap w:val="0"/>
                  <w:vAlign w:val="center"/>
                </w:tcPr>
                <w:p w14:paraId="052B7413">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06DEE979">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eastAsia" w:cs="Times New Roman"/>
                      <w:b w:val="0"/>
                      <w:bCs/>
                      <w:color w:val="auto"/>
                      <w:spacing w:val="4"/>
                      <w:kern w:val="2"/>
                      <w:sz w:val="21"/>
                      <w:szCs w:val="21"/>
                      <w:lang w:val="en-US" w:eastAsia="zh-CN" w:bidi="ar-SA"/>
                    </w:rPr>
                    <w:t>38-44</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07D73BA2">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eastAsia" w:cs="Times New Roman"/>
                      <w:b w:val="0"/>
                      <w:bCs/>
                      <w:color w:val="auto"/>
                      <w:spacing w:val="4"/>
                      <w:kern w:val="2"/>
                      <w:sz w:val="21"/>
                      <w:szCs w:val="21"/>
                      <w:lang w:val="en-US" w:eastAsia="zh-CN" w:bidi="ar-SA"/>
                    </w:rPr>
                    <w:t>15-24</w:t>
                  </w:r>
                </w:p>
              </w:tc>
              <w:tc>
                <w:tcPr>
                  <w:tcW w:w="250" w:type="pct"/>
                  <w:tcBorders>
                    <w:left w:val="single" w:color="auto" w:sz="4" w:space="0"/>
                    <w:right w:val="single" w:color="auto" w:sz="4" w:space="0"/>
                  </w:tcBorders>
                  <w:noWrap w:val="0"/>
                  <w:vAlign w:val="center"/>
                </w:tcPr>
                <w:p w14:paraId="1CFF042E">
                  <w:pPr>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eastAsia" w:cs="Times New Roman"/>
                      <w:color w:val="auto"/>
                      <w:sz w:val="21"/>
                      <w:szCs w:val="21"/>
                      <w:lang w:val="en-US" w:eastAsia="zh-CN"/>
                    </w:rPr>
                    <w:t>1</w:t>
                  </w:r>
                </w:p>
              </w:tc>
              <w:tc>
                <w:tcPr>
                  <w:tcW w:w="344" w:type="pct"/>
                  <w:tcBorders>
                    <w:left w:val="single" w:color="auto" w:sz="4" w:space="0"/>
                    <w:right w:val="single" w:color="auto" w:sz="4" w:space="0"/>
                  </w:tcBorders>
                  <w:noWrap w:val="0"/>
                  <w:vAlign w:val="center"/>
                </w:tcPr>
                <w:p w14:paraId="5F6C0038">
                  <w:pPr>
                    <w:pStyle w:val="2"/>
                    <w:tabs>
                      <w:tab w:val="left" w:pos="851"/>
                    </w:tabs>
                    <w:spacing w:after="0"/>
                    <w:ind w:left="0" w:leftChars="0" w:firstLine="0" w:firstLineChars="0"/>
                    <w:jc w:val="center"/>
                    <w:rPr>
                      <w:rFonts w:hint="default" w:ascii="Times New Roman" w:hAnsi="Times New Roman" w:eastAsia="宋体" w:cs="Times New Roman"/>
                      <w:b w:val="0"/>
                      <w:bCs/>
                      <w:color w:val="auto"/>
                      <w:spacing w:val="4"/>
                      <w:kern w:val="2"/>
                      <w:sz w:val="21"/>
                      <w:szCs w:val="21"/>
                      <w:lang w:val="en-US" w:eastAsia="zh-CN" w:bidi="ar-SA"/>
                    </w:rPr>
                  </w:pPr>
                  <w:r>
                    <w:rPr>
                      <w:rFonts w:hint="eastAsia" w:cs="Times New Roman"/>
                      <w:b w:val="0"/>
                      <w:bCs/>
                      <w:color w:val="auto"/>
                      <w:spacing w:val="4"/>
                      <w:kern w:val="2"/>
                      <w:sz w:val="21"/>
                      <w:szCs w:val="21"/>
                      <w:lang w:val="en-US" w:eastAsia="zh-CN" w:bidi="ar-SA"/>
                    </w:rPr>
                    <w:t>1.6</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7409BBEB">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75.9</w:t>
                  </w:r>
                </w:p>
              </w:tc>
              <w:tc>
                <w:tcPr>
                  <w:tcW w:w="238" w:type="pct"/>
                  <w:vMerge w:val="continue"/>
                  <w:tcBorders>
                    <w:left w:val="single" w:color="auto" w:sz="4" w:space="0"/>
                    <w:right w:val="single" w:color="auto" w:sz="4" w:space="0"/>
                  </w:tcBorders>
                  <w:noWrap w:val="0"/>
                  <w:vAlign w:val="center"/>
                </w:tcPr>
                <w:p w14:paraId="072090F1">
                  <w:pPr>
                    <w:bidi w:val="0"/>
                    <w:jc w:val="center"/>
                    <w:rPr>
                      <w:rFonts w:hint="default" w:ascii="Times New Roman" w:hAnsi="Times New Roman" w:eastAsia="宋体" w:cs="Times New Roman"/>
                      <w:color w:val="auto"/>
                      <w:sz w:val="21"/>
                      <w:szCs w:val="21"/>
                      <w:lang w:val="en-US" w:eastAsia="zh-CN"/>
                    </w:rPr>
                  </w:pPr>
                </w:p>
              </w:tc>
              <w:tc>
                <w:tcPr>
                  <w:tcW w:w="459" w:type="pct"/>
                  <w:vMerge w:val="continue"/>
                  <w:tcBorders>
                    <w:left w:val="single" w:color="auto" w:sz="4" w:space="0"/>
                    <w:right w:val="single" w:color="auto" w:sz="4" w:space="0"/>
                  </w:tcBorders>
                  <w:noWrap w:val="0"/>
                  <w:vAlign w:val="center"/>
                </w:tcPr>
                <w:p w14:paraId="5B9291C5">
                  <w:pPr>
                    <w:bidi w:val="0"/>
                    <w:jc w:val="center"/>
                    <w:rPr>
                      <w:rFonts w:hint="default" w:ascii="Times New Roman" w:hAnsi="Times New Roman" w:eastAsia="宋体" w:cs="Times New Roman"/>
                      <w:color w:val="auto"/>
                      <w:sz w:val="21"/>
                      <w:szCs w:val="21"/>
                      <w:lang w:val="en-US" w:eastAsia="zh-CN"/>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1785A209">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55.9</w:t>
                  </w:r>
                </w:p>
              </w:tc>
              <w:tc>
                <w:tcPr>
                  <w:tcW w:w="241" w:type="pct"/>
                  <w:vMerge w:val="continue"/>
                  <w:tcBorders>
                    <w:left w:val="single" w:color="auto" w:sz="4" w:space="0"/>
                    <w:right w:val="single" w:color="auto" w:sz="4" w:space="0"/>
                  </w:tcBorders>
                  <w:noWrap w:val="0"/>
                  <w:vAlign w:val="center"/>
                </w:tcPr>
                <w:p w14:paraId="2B1B6D17">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r w14:paraId="514F0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5" w:type="pct"/>
                  <w:tcBorders>
                    <w:top w:val="single" w:color="auto" w:sz="4" w:space="0"/>
                    <w:left w:val="single" w:color="auto" w:sz="4" w:space="0"/>
                    <w:bottom w:val="single" w:color="auto" w:sz="4" w:space="0"/>
                    <w:right w:val="single" w:color="auto" w:sz="4" w:space="0"/>
                  </w:tcBorders>
                  <w:noWrap w:val="0"/>
                  <w:vAlign w:val="center"/>
                </w:tcPr>
                <w:p w14:paraId="1A60E9A6">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11</w:t>
                  </w:r>
                </w:p>
              </w:tc>
              <w:tc>
                <w:tcPr>
                  <w:tcW w:w="353" w:type="pct"/>
                  <w:vMerge w:val="continue"/>
                  <w:tcBorders>
                    <w:left w:val="single" w:color="auto" w:sz="4" w:space="0"/>
                    <w:right w:val="single" w:color="auto" w:sz="4" w:space="0"/>
                  </w:tcBorders>
                  <w:noWrap w:val="0"/>
                  <w:vAlign w:val="center"/>
                </w:tcPr>
                <w:p w14:paraId="47BE1FBE">
                  <w:pPr>
                    <w:pStyle w:val="2"/>
                    <w:tabs>
                      <w:tab w:val="left" w:pos="851"/>
                    </w:tabs>
                    <w:spacing w:after="0"/>
                    <w:ind w:left="0" w:leftChars="0" w:firstLine="0" w:firstLineChars="0"/>
                    <w:jc w:val="center"/>
                    <w:rPr>
                      <w:rFonts w:hint="eastAsia" w:ascii="Times New Roman" w:hAnsi="Times New Roman" w:eastAsia="宋体" w:cs="Times New Roman"/>
                      <w:b w:val="0"/>
                      <w:bCs/>
                      <w:color w:val="auto"/>
                      <w:sz w:val="21"/>
                      <w:szCs w:val="21"/>
                      <w:lang w:eastAsia="zh-CN"/>
                    </w:rPr>
                  </w:pPr>
                </w:p>
              </w:tc>
              <w:tc>
                <w:tcPr>
                  <w:tcW w:w="3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9F61BC3">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老油卸料泵</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35BC522F">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80</w:t>
                  </w:r>
                </w:p>
              </w:tc>
              <w:tc>
                <w:tcPr>
                  <w:tcW w:w="353" w:type="pct"/>
                  <w:vMerge w:val="continue"/>
                  <w:tcBorders>
                    <w:left w:val="single" w:color="auto" w:sz="4" w:space="0"/>
                    <w:right w:val="single" w:color="auto" w:sz="4" w:space="0"/>
                  </w:tcBorders>
                  <w:noWrap w:val="0"/>
                  <w:vAlign w:val="center"/>
                </w:tcPr>
                <w:p w14:paraId="4087D0F0">
                  <w:pPr>
                    <w:bidi w:val="0"/>
                    <w:jc w:val="center"/>
                    <w:rPr>
                      <w:rFonts w:hint="default" w:ascii="Times New Roman" w:hAnsi="Times New Roman" w:eastAsia="宋体" w:cs="Times New Roman"/>
                      <w:color w:val="auto"/>
                      <w:sz w:val="21"/>
                      <w:szCs w:val="21"/>
                      <w:lang w:val="en-US" w:eastAsia="zh-CN"/>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76992326">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42</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24B1DCCA">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40</w:t>
                  </w:r>
                </w:p>
              </w:tc>
              <w:tc>
                <w:tcPr>
                  <w:tcW w:w="250" w:type="pct"/>
                  <w:tcBorders>
                    <w:left w:val="single" w:color="auto" w:sz="4" w:space="0"/>
                    <w:right w:val="single" w:color="auto" w:sz="4" w:space="0"/>
                  </w:tcBorders>
                  <w:noWrap w:val="0"/>
                  <w:vAlign w:val="center"/>
                </w:tcPr>
                <w:p w14:paraId="043B3C9B">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w:t>
                  </w:r>
                </w:p>
              </w:tc>
              <w:tc>
                <w:tcPr>
                  <w:tcW w:w="344" w:type="pct"/>
                  <w:tcBorders>
                    <w:left w:val="single" w:color="auto" w:sz="4" w:space="0"/>
                    <w:right w:val="single" w:color="auto" w:sz="4" w:space="0"/>
                  </w:tcBorders>
                  <w:noWrap w:val="0"/>
                  <w:vAlign w:val="center"/>
                </w:tcPr>
                <w:p w14:paraId="4F038373">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19E8702B">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70.4</w:t>
                  </w:r>
                </w:p>
              </w:tc>
              <w:tc>
                <w:tcPr>
                  <w:tcW w:w="238" w:type="pct"/>
                  <w:vMerge w:val="continue"/>
                  <w:tcBorders>
                    <w:left w:val="single" w:color="auto" w:sz="4" w:space="0"/>
                    <w:right w:val="single" w:color="auto" w:sz="4" w:space="0"/>
                  </w:tcBorders>
                  <w:noWrap w:val="0"/>
                  <w:vAlign w:val="center"/>
                </w:tcPr>
                <w:p w14:paraId="69062880">
                  <w:pPr>
                    <w:bidi w:val="0"/>
                    <w:jc w:val="center"/>
                    <w:rPr>
                      <w:rFonts w:hint="default" w:ascii="Times New Roman" w:hAnsi="Times New Roman" w:eastAsia="宋体" w:cs="Times New Roman"/>
                      <w:color w:val="auto"/>
                      <w:sz w:val="21"/>
                      <w:szCs w:val="21"/>
                      <w:lang w:val="en-US" w:eastAsia="zh-CN"/>
                    </w:rPr>
                  </w:pPr>
                </w:p>
              </w:tc>
              <w:tc>
                <w:tcPr>
                  <w:tcW w:w="459" w:type="pct"/>
                  <w:vMerge w:val="continue"/>
                  <w:tcBorders>
                    <w:left w:val="single" w:color="auto" w:sz="4" w:space="0"/>
                    <w:right w:val="single" w:color="auto" w:sz="4" w:space="0"/>
                  </w:tcBorders>
                  <w:noWrap w:val="0"/>
                  <w:vAlign w:val="center"/>
                </w:tcPr>
                <w:p w14:paraId="0E802C0A">
                  <w:pPr>
                    <w:bidi w:val="0"/>
                    <w:jc w:val="center"/>
                    <w:rPr>
                      <w:rFonts w:hint="default" w:ascii="Times New Roman" w:hAnsi="Times New Roman" w:eastAsia="宋体" w:cs="Times New Roman"/>
                      <w:color w:val="auto"/>
                      <w:sz w:val="21"/>
                      <w:szCs w:val="21"/>
                      <w:lang w:val="en-US" w:eastAsia="zh-CN"/>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124E5D3E">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50.4</w:t>
                  </w:r>
                </w:p>
              </w:tc>
              <w:tc>
                <w:tcPr>
                  <w:tcW w:w="241" w:type="pct"/>
                  <w:vMerge w:val="continue"/>
                  <w:tcBorders>
                    <w:left w:val="single" w:color="auto" w:sz="4" w:space="0"/>
                    <w:right w:val="single" w:color="auto" w:sz="4" w:space="0"/>
                  </w:tcBorders>
                  <w:noWrap w:val="0"/>
                  <w:vAlign w:val="center"/>
                </w:tcPr>
                <w:p w14:paraId="7CA3E9E0">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r w14:paraId="24A2E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5" w:type="pct"/>
                  <w:tcBorders>
                    <w:top w:val="single" w:color="auto" w:sz="4" w:space="0"/>
                    <w:left w:val="single" w:color="auto" w:sz="4" w:space="0"/>
                    <w:bottom w:val="single" w:color="auto" w:sz="4" w:space="0"/>
                    <w:right w:val="single" w:color="auto" w:sz="4" w:space="0"/>
                  </w:tcBorders>
                  <w:noWrap w:val="0"/>
                  <w:vAlign w:val="center"/>
                </w:tcPr>
                <w:p w14:paraId="30FEA880">
                  <w:pPr>
                    <w:pStyle w:val="2"/>
                    <w:tabs>
                      <w:tab w:val="left" w:pos="851"/>
                    </w:tabs>
                    <w:spacing w:after="0"/>
                    <w:ind w:left="0" w:leftChars="0" w:firstLine="0" w:firstLineChars="0"/>
                    <w:jc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12</w:t>
                  </w:r>
                </w:p>
              </w:tc>
              <w:tc>
                <w:tcPr>
                  <w:tcW w:w="353" w:type="pct"/>
                  <w:vMerge w:val="continue"/>
                  <w:tcBorders>
                    <w:left w:val="single" w:color="auto" w:sz="4" w:space="0"/>
                    <w:right w:val="single" w:color="auto" w:sz="4" w:space="0"/>
                  </w:tcBorders>
                  <w:noWrap w:val="0"/>
                  <w:vAlign w:val="center"/>
                </w:tcPr>
                <w:p w14:paraId="3CE55D4E">
                  <w:pPr>
                    <w:pStyle w:val="2"/>
                    <w:tabs>
                      <w:tab w:val="left" w:pos="851"/>
                    </w:tabs>
                    <w:spacing w:after="0"/>
                    <w:ind w:left="0" w:leftChars="0" w:firstLine="0" w:firstLineChars="0"/>
                    <w:jc w:val="center"/>
                    <w:rPr>
                      <w:rFonts w:hint="eastAsia" w:ascii="Times New Roman" w:hAnsi="Times New Roman" w:eastAsia="宋体" w:cs="Times New Roman"/>
                      <w:b w:val="0"/>
                      <w:bCs/>
                      <w:color w:val="auto"/>
                      <w:sz w:val="21"/>
                      <w:szCs w:val="21"/>
                      <w:lang w:eastAsia="zh-CN"/>
                    </w:rPr>
                  </w:pPr>
                </w:p>
              </w:tc>
              <w:tc>
                <w:tcPr>
                  <w:tcW w:w="3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1D435D3">
                  <w:pPr>
                    <w:bidi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热水泵</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7AB49A7F">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80</w:t>
                  </w:r>
                </w:p>
              </w:tc>
              <w:tc>
                <w:tcPr>
                  <w:tcW w:w="353" w:type="pct"/>
                  <w:vMerge w:val="continue"/>
                  <w:tcBorders>
                    <w:left w:val="single" w:color="auto" w:sz="4" w:space="0"/>
                    <w:right w:val="single" w:color="auto" w:sz="4" w:space="0"/>
                  </w:tcBorders>
                  <w:noWrap w:val="0"/>
                  <w:vAlign w:val="center"/>
                </w:tcPr>
                <w:p w14:paraId="508D48C7">
                  <w:pPr>
                    <w:bidi w:val="0"/>
                    <w:jc w:val="center"/>
                    <w:rPr>
                      <w:rFonts w:hint="default" w:ascii="Times New Roman" w:hAnsi="Times New Roman" w:eastAsia="宋体" w:cs="Times New Roman"/>
                      <w:color w:val="auto"/>
                      <w:sz w:val="21"/>
                      <w:szCs w:val="21"/>
                      <w:lang w:val="en-US" w:eastAsia="zh-CN"/>
                    </w:rPr>
                  </w:pPr>
                </w:p>
              </w:tc>
              <w:tc>
                <w:tcPr>
                  <w:tcW w:w="41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EA582D9">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30</w:t>
                  </w:r>
                </w:p>
              </w:tc>
              <w:tc>
                <w:tcPr>
                  <w:tcW w:w="40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1F6C9AD">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18</w:t>
                  </w:r>
                </w:p>
              </w:tc>
              <w:tc>
                <w:tcPr>
                  <w:tcW w:w="250" w:type="pct"/>
                  <w:tcBorders>
                    <w:left w:val="single" w:color="auto" w:sz="4" w:space="0"/>
                    <w:right w:val="single" w:color="auto" w:sz="4" w:space="0"/>
                  </w:tcBorders>
                  <w:shd w:val="clear" w:color="auto" w:fill="auto"/>
                  <w:noWrap w:val="0"/>
                  <w:vAlign w:val="center"/>
                </w:tcPr>
                <w:p w14:paraId="6B316697">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w:t>
                  </w:r>
                </w:p>
              </w:tc>
              <w:tc>
                <w:tcPr>
                  <w:tcW w:w="344" w:type="pct"/>
                  <w:tcBorders>
                    <w:left w:val="single" w:color="auto" w:sz="4" w:space="0"/>
                    <w:right w:val="single" w:color="auto" w:sz="4" w:space="0"/>
                  </w:tcBorders>
                  <w:shd w:val="clear" w:color="auto" w:fill="auto"/>
                  <w:noWrap w:val="0"/>
                  <w:vAlign w:val="center"/>
                </w:tcPr>
                <w:p w14:paraId="0084BCBD">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15</w:t>
                  </w:r>
                </w:p>
              </w:tc>
              <w:tc>
                <w:tcPr>
                  <w:tcW w:w="45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4F478A3">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56.5</w:t>
                  </w:r>
                </w:p>
              </w:tc>
              <w:tc>
                <w:tcPr>
                  <w:tcW w:w="238" w:type="pct"/>
                  <w:vMerge w:val="continue"/>
                  <w:tcBorders>
                    <w:left w:val="single" w:color="auto" w:sz="4" w:space="0"/>
                    <w:right w:val="single" w:color="auto" w:sz="4" w:space="0"/>
                  </w:tcBorders>
                  <w:noWrap w:val="0"/>
                  <w:vAlign w:val="center"/>
                </w:tcPr>
                <w:p w14:paraId="1D1489BD">
                  <w:pPr>
                    <w:bidi w:val="0"/>
                    <w:jc w:val="center"/>
                    <w:rPr>
                      <w:rFonts w:hint="default" w:ascii="Times New Roman" w:hAnsi="Times New Roman" w:eastAsia="宋体" w:cs="Times New Roman"/>
                      <w:color w:val="auto"/>
                      <w:sz w:val="21"/>
                      <w:szCs w:val="21"/>
                      <w:lang w:val="en-US" w:eastAsia="zh-CN"/>
                    </w:rPr>
                  </w:pPr>
                </w:p>
              </w:tc>
              <w:tc>
                <w:tcPr>
                  <w:tcW w:w="459" w:type="pct"/>
                  <w:vMerge w:val="continue"/>
                  <w:tcBorders>
                    <w:left w:val="single" w:color="auto" w:sz="4" w:space="0"/>
                    <w:right w:val="single" w:color="auto" w:sz="4" w:space="0"/>
                  </w:tcBorders>
                  <w:noWrap w:val="0"/>
                  <w:vAlign w:val="center"/>
                </w:tcPr>
                <w:p w14:paraId="124EA8A0">
                  <w:pPr>
                    <w:bidi w:val="0"/>
                    <w:jc w:val="center"/>
                    <w:rPr>
                      <w:rFonts w:hint="default" w:ascii="Times New Roman" w:hAnsi="Times New Roman" w:eastAsia="宋体" w:cs="Times New Roman"/>
                      <w:color w:val="auto"/>
                      <w:sz w:val="21"/>
                      <w:szCs w:val="21"/>
                      <w:lang w:val="en-US" w:eastAsia="zh-CN"/>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39668EC7">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36.5</w:t>
                  </w:r>
                </w:p>
              </w:tc>
              <w:tc>
                <w:tcPr>
                  <w:tcW w:w="241" w:type="pct"/>
                  <w:vMerge w:val="continue"/>
                  <w:tcBorders>
                    <w:left w:val="single" w:color="auto" w:sz="4" w:space="0"/>
                    <w:right w:val="single" w:color="auto" w:sz="4" w:space="0"/>
                  </w:tcBorders>
                  <w:noWrap w:val="0"/>
                  <w:vAlign w:val="center"/>
                </w:tcPr>
                <w:p w14:paraId="085EF07B">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r w14:paraId="3B87A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5" w:type="pct"/>
                  <w:tcBorders>
                    <w:top w:val="single" w:color="auto" w:sz="4" w:space="0"/>
                    <w:left w:val="single" w:color="auto" w:sz="4" w:space="0"/>
                    <w:bottom w:val="single" w:color="auto" w:sz="4" w:space="0"/>
                    <w:right w:val="single" w:color="auto" w:sz="4" w:space="0"/>
                  </w:tcBorders>
                  <w:noWrap w:val="0"/>
                  <w:vAlign w:val="center"/>
                </w:tcPr>
                <w:p w14:paraId="69283EBB">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13</w:t>
                  </w:r>
                </w:p>
              </w:tc>
              <w:tc>
                <w:tcPr>
                  <w:tcW w:w="353" w:type="pct"/>
                  <w:vMerge w:val="continue"/>
                  <w:tcBorders>
                    <w:left w:val="single" w:color="auto" w:sz="4" w:space="0"/>
                    <w:right w:val="single" w:color="auto" w:sz="4" w:space="0"/>
                  </w:tcBorders>
                  <w:noWrap w:val="0"/>
                  <w:vAlign w:val="center"/>
                </w:tcPr>
                <w:p w14:paraId="2A6FA081">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3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24051DD">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潜污泵</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3A0E47EE">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80</w:t>
                  </w:r>
                </w:p>
              </w:tc>
              <w:tc>
                <w:tcPr>
                  <w:tcW w:w="353" w:type="pct"/>
                  <w:vMerge w:val="continue"/>
                  <w:tcBorders>
                    <w:left w:val="single" w:color="auto" w:sz="4" w:space="0"/>
                    <w:right w:val="single" w:color="auto" w:sz="4" w:space="0"/>
                  </w:tcBorders>
                  <w:noWrap w:val="0"/>
                  <w:vAlign w:val="center"/>
                </w:tcPr>
                <w:p w14:paraId="570700BD">
                  <w:pPr>
                    <w:bidi w:val="0"/>
                    <w:jc w:val="center"/>
                    <w:rPr>
                      <w:rFonts w:hint="default" w:ascii="Times New Roman" w:hAnsi="Times New Roman" w:eastAsia="宋体" w:cs="Times New Roman"/>
                      <w:color w:val="auto"/>
                      <w:sz w:val="21"/>
                      <w:szCs w:val="21"/>
                      <w:lang w:val="en-US" w:eastAsia="zh-CN"/>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08C3EB02">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22</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3329A593">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24</w:t>
                  </w:r>
                </w:p>
              </w:tc>
              <w:tc>
                <w:tcPr>
                  <w:tcW w:w="250" w:type="pct"/>
                  <w:tcBorders>
                    <w:left w:val="single" w:color="auto" w:sz="4" w:space="0"/>
                    <w:right w:val="single" w:color="auto" w:sz="4" w:space="0"/>
                  </w:tcBorders>
                  <w:noWrap w:val="0"/>
                  <w:vAlign w:val="center"/>
                </w:tcPr>
                <w:p w14:paraId="148BCAB6">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w:t>
                  </w:r>
                </w:p>
              </w:tc>
              <w:tc>
                <w:tcPr>
                  <w:tcW w:w="344" w:type="pct"/>
                  <w:tcBorders>
                    <w:left w:val="single" w:color="auto" w:sz="4" w:space="0"/>
                    <w:right w:val="single" w:color="auto" w:sz="4" w:space="0"/>
                  </w:tcBorders>
                  <w:noWrap w:val="0"/>
                  <w:vAlign w:val="center"/>
                </w:tcPr>
                <w:p w14:paraId="21F444C9">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22</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3E70C61B">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53.1</w:t>
                  </w:r>
                </w:p>
              </w:tc>
              <w:tc>
                <w:tcPr>
                  <w:tcW w:w="238" w:type="pct"/>
                  <w:vMerge w:val="continue"/>
                  <w:tcBorders>
                    <w:left w:val="single" w:color="auto" w:sz="4" w:space="0"/>
                    <w:right w:val="single" w:color="auto" w:sz="4" w:space="0"/>
                  </w:tcBorders>
                  <w:noWrap w:val="0"/>
                  <w:vAlign w:val="center"/>
                </w:tcPr>
                <w:p w14:paraId="62B4F4AE">
                  <w:pPr>
                    <w:bidi w:val="0"/>
                    <w:jc w:val="center"/>
                    <w:rPr>
                      <w:rFonts w:hint="default" w:ascii="Times New Roman" w:hAnsi="Times New Roman" w:eastAsia="宋体" w:cs="Times New Roman"/>
                      <w:color w:val="auto"/>
                      <w:sz w:val="21"/>
                      <w:szCs w:val="21"/>
                      <w:lang w:val="en-US" w:eastAsia="zh-CN"/>
                    </w:rPr>
                  </w:pPr>
                </w:p>
              </w:tc>
              <w:tc>
                <w:tcPr>
                  <w:tcW w:w="459" w:type="pct"/>
                  <w:vMerge w:val="continue"/>
                  <w:tcBorders>
                    <w:left w:val="single" w:color="auto" w:sz="4" w:space="0"/>
                    <w:right w:val="single" w:color="auto" w:sz="4" w:space="0"/>
                  </w:tcBorders>
                  <w:noWrap w:val="0"/>
                  <w:vAlign w:val="center"/>
                </w:tcPr>
                <w:p w14:paraId="6DEB202E">
                  <w:pPr>
                    <w:bidi w:val="0"/>
                    <w:jc w:val="center"/>
                    <w:rPr>
                      <w:rFonts w:hint="default" w:ascii="Times New Roman" w:hAnsi="Times New Roman" w:eastAsia="宋体" w:cs="Times New Roman"/>
                      <w:color w:val="auto"/>
                      <w:sz w:val="21"/>
                      <w:szCs w:val="21"/>
                      <w:lang w:val="en-US" w:eastAsia="zh-CN"/>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4C783594">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33.1</w:t>
                  </w:r>
                </w:p>
              </w:tc>
              <w:tc>
                <w:tcPr>
                  <w:tcW w:w="241" w:type="pct"/>
                  <w:vMerge w:val="continue"/>
                  <w:tcBorders>
                    <w:left w:val="single" w:color="auto" w:sz="4" w:space="0"/>
                    <w:right w:val="single" w:color="auto" w:sz="4" w:space="0"/>
                  </w:tcBorders>
                  <w:noWrap w:val="0"/>
                  <w:vAlign w:val="center"/>
                </w:tcPr>
                <w:p w14:paraId="725DF6C8">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r w14:paraId="50B79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5" w:type="pct"/>
                  <w:tcBorders>
                    <w:top w:val="single" w:color="auto" w:sz="4" w:space="0"/>
                    <w:left w:val="single" w:color="auto" w:sz="4" w:space="0"/>
                    <w:bottom w:val="single" w:color="auto" w:sz="4" w:space="0"/>
                    <w:right w:val="single" w:color="auto" w:sz="4" w:space="0"/>
                  </w:tcBorders>
                  <w:noWrap w:val="0"/>
                  <w:vAlign w:val="center"/>
                </w:tcPr>
                <w:p w14:paraId="1F01ABA6">
                  <w:pPr>
                    <w:pStyle w:val="2"/>
                    <w:tabs>
                      <w:tab w:val="left" w:pos="851"/>
                    </w:tabs>
                    <w:spacing w:after="0"/>
                    <w:ind w:left="0" w:leftChars="0" w:firstLine="0" w:firstLineChars="0"/>
                    <w:jc w:val="center"/>
                    <w:rPr>
                      <w:rFonts w:hint="default" w:cs="Times New Roman"/>
                      <w:b w:val="0"/>
                      <w:bCs/>
                      <w:color w:val="auto"/>
                      <w:sz w:val="21"/>
                      <w:szCs w:val="21"/>
                      <w:lang w:val="en-US" w:eastAsia="zh-CN"/>
                    </w:rPr>
                  </w:pPr>
                  <w:r>
                    <w:rPr>
                      <w:rFonts w:hint="eastAsia" w:cs="Times New Roman"/>
                      <w:b w:val="0"/>
                      <w:bCs/>
                      <w:color w:val="auto"/>
                      <w:sz w:val="21"/>
                      <w:szCs w:val="21"/>
                      <w:lang w:val="en-US" w:eastAsia="zh-CN"/>
                    </w:rPr>
                    <w:t>14</w:t>
                  </w:r>
                </w:p>
                <w:p w14:paraId="7E76BE91">
                  <w:pPr>
                    <w:rPr>
                      <w:rFonts w:hint="eastAsia"/>
                      <w:color w:val="auto"/>
                      <w:lang w:val="en-US" w:eastAsia="zh-CN"/>
                    </w:rPr>
                  </w:pPr>
                </w:p>
              </w:tc>
              <w:tc>
                <w:tcPr>
                  <w:tcW w:w="353" w:type="pct"/>
                  <w:vMerge w:val="continue"/>
                  <w:tcBorders>
                    <w:left w:val="single" w:color="auto" w:sz="4" w:space="0"/>
                    <w:right w:val="single" w:color="auto" w:sz="4" w:space="0"/>
                  </w:tcBorders>
                  <w:noWrap w:val="0"/>
                  <w:vAlign w:val="center"/>
                </w:tcPr>
                <w:p w14:paraId="79AB3A9C">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3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535741B">
                  <w:pPr>
                    <w:bidi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撕碎机进料螺旋输送机</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3F633CA4">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80</w:t>
                  </w:r>
                </w:p>
              </w:tc>
              <w:tc>
                <w:tcPr>
                  <w:tcW w:w="353" w:type="pct"/>
                  <w:vMerge w:val="continue"/>
                  <w:tcBorders>
                    <w:left w:val="single" w:color="auto" w:sz="4" w:space="0"/>
                    <w:right w:val="single" w:color="auto" w:sz="4" w:space="0"/>
                  </w:tcBorders>
                  <w:noWrap w:val="0"/>
                  <w:vAlign w:val="center"/>
                </w:tcPr>
                <w:p w14:paraId="573A357D">
                  <w:pPr>
                    <w:bidi w:val="0"/>
                    <w:jc w:val="center"/>
                    <w:rPr>
                      <w:rFonts w:hint="default" w:ascii="Times New Roman" w:hAnsi="Times New Roman" w:eastAsia="宋体" w:cs="Times New Roman"/>
                      <w:color w:val="auto"/>
                      <w:sz w:val="21"/>
                      <w:szCs w:val="21"/>
                      <w:lang w:val="en-US" w:eastAsia="zh-CN"/>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0F952B9E">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r>
                    <w:rPr>
                      <w:rFonts w:hint="eastAsia" w:cs="Times New Roman"/>
                      <w:color w:val="auto"/>
                      <w:sz w:val="21"/>
                      <w:szCs w:val="21"/>
                      <w:lang w:val="en-US" w:eastAsia="zh-CN"/>
                    </w:rPr>
                    <w:t>3</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2B1A76D6">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21</w:t>
                  </w:r>
                </w:p>
              </w:tc>
              <w:tc>
                <w:tcPr>
                  <w:tcW w:w="250" w:type="pct"/>
                  <w:tcBorders>
                    <w:left w:val="single" w:color="auto" w:sz="4" w:space="0"/>
                    <w:right w:val="single" w:color="auto" w:sz="4" w:space="0"/>
                  </w:tcBorders>
                  <w:noWrap w:val="0"/>
                  <w:vAlign w:val="center"/>
                </w:tcPr>
                <w:p w14:paraId="00300ED6">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w:t>
                  </w:r>
                </w:p>
              </w:tc>
              <w:tc>
                <w:tcPr>
                  <w:tcW w:w="344" w:type="pct"/>
                  <w:tcBorders>
                    <w:left w:val="single" w:color="auto" w:sz="4" w:space="0"/>
                    <w:right w:val="single" w:color="auto" w:sz="4" w:space="0"/>
                  </w:tcBorders>
                  <w:noWrap w:val="0"/>
                  <w:vAlign w:val="center"/>
                </w:tcPr>
                <w:p w14:paraId="6F34F8AE">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01CC92E5">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60</w:t>
                  </w:r>
                </w:p>
              </w:tc>
              <w:tc>
                <w:tcPr>
                  <w:tcW w:w="238" w:type="pct"/>
                  <w:vMerge w:val="continue"/>
                  <w:tcBorders>
                    <w:left w:val="single" w:color="auto" w:sz="4" w:space="0"/>
                    <w:right w:val="single" w:color="auto" w:sz="4" w:space="0"/>
                  </w:tcBorders>
                  <w:noWrap w:val="0"/>
                  <w:vAlign w:val="center"/>
                </w:tcPr>
                <w:p w14:paraId="174956E7">
                  <w:pPr>
                    <w:bidi w:val="0"/>
                    <w:jc w:val="center"/>
                    <w:rPr>
                      <w:rFonts w:hint="default" w:ascii="Times New Roman" w:hAnsi="Times New Roman" w:eastAsia="宋体" w:cs="Times New Roman"/>
                      <w:color w:val="auto"/>
                      <w:sz w:val="21"/>
                      <w:szCs w:val="21"/>
                      <w:lang w:val="en-US" w:eastAsia="zh-CN"/>
                    </w:rPr>
                  </w:pPr>
                </w:p>
              </w:tc>
              <w:tc>
                <w:tcPr>
                  <w:tcW w:w="459" w:type="pct"/>
                  <w:vMerge w:val="continue"/>
                  <w:tcBorders>
                    <w:left w:val="single" w:color="auto" w:sz="4" w:space="0"/>
                    <w:right w:val="single" w:color="auto" w:sz="4" w:space="0"/>
                  </w:tcBorders>
                  <w:noWrap w:val="0"/>
                  <w:vAlign w:val="center"/>
                </w:tcPr>
                <w:p w14:paraId="09E96ABB">
                  <w:pPr>
                    <w:bidi w:val="0"/>
                    <w:jc w:val="center"/>
                    <w:rPr>
                      <w:rFonts w:hint="default" w:ascii="Times New Roman" w:hAnsi="Times New Roman" w:eastAsia="宋体" w:cs="Times New Roman"/>
                      <w:color w:val="auto"/>
                      <w:sz w:val="21"/>
                      <w:szCs w:val="21"/>
                      <w:lang w:val="en-US" w:eastAsia="zh-CN"/>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17406472">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40</w:t>
                  </w:r>
                </w:p>
              </w:tc>
              <w:tc>
                <w:tcPr>
                  <w:tcW w:w="241" w:type="pct"/>
                  <w:vMerge w:val="continue"/>
                  <w:tcBorders>
                    <w:left w:val="single" w:color="auto" w:sz="4" w:space="0"/>
                    <w:right w:val="single" w:color="auto" w:sz="4" w:space="0"/>
                  </w:tcBorders>
                  <w:noWrap w:val="0"/>
                  <w:vAlign w:val="center"/>
                </w:tcPr>
                <w:p w14:paraId="6F719BE9">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r w14:paraId="0BD87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5" w:type="pct"/>
                  <w:tcBorders>
                    <w:top w:val="single" w:color="auto" w:sz="4" w:space="0"/>
                    <w:left w:val="single" w:color="auto" w:sz="4" w:space="0"/>
                    <w:bottom w:val="single" w:color="auto" w:sz="4" w:space="0"/>
                    <w:right w:val="single" w:color="auto" w:sz="4" w:space="0"/>
                  </w:tcBorders>
                  <w:noWrap w:val="0"/>
                  <w:vAlign w:val="center"/>
                </w:tcPr>
                <w:p w14:paraId="1A0CA7B5">
                  <w:pPr>
                    <w:rPr>
                      <w:rFonts w:hint="default"/>
                      <w:color w:val="auto"/>
                      <w:lang w:val="en-US" w:eastAsia="zh-CN"/>
                    </w:rPr>
                  </w:pPr>
                  <w:r>
                    <w:rPr>
                      <w:rFonts w:hint="eastAsia"/>
                      <w:color w:val="auto"/>
                      <w:lang w:val="en-US" w:eastAsia="zh-CN"/>
                    </w:rPr>
                    <w:t>15</w:t>
                  </w:r>
                </w:p>
              </w:tc>
              <w:tc>
                <w:tcPr>
                  <w:tcW w:w="353" w:type="pct"/>
                  <w:vMerge w:val="continue"/>
                  <w:tcBorders>
                    <w:left w:val="single" w:color="auto" w:sz="4" w:space="0"/>
                    <w:right w:val="single" w:color="auto" w:sz="4" w:space="0"/>
                  </w:tcBorders>
                  <w:noWrap w:val="0"/>
                  <w:vAlign w:val="center"/>
                </w:tcPr>
                <w:p w14:paraId="71632C2E">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3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60A99DD">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撕碎机</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151B7D5C">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80</w:t>
                  </w:r>
                </w:p>
              </w:tc>
              <w:tc>
                <w:tcPr>
                  <w:tcW w:w="353" w:type="pct"/>
                  <w:vMerge w:val="continue"/>
                  <w:tcBorders>
                    <w:left w:val="single" w:color="auto" w:sz="4" w:space="0"/>
                    <w:right w:val="single" w:color="auto" w:sz="4" w:space="0"/>
                  </w:tcBorders>
                  <w:noWrap w:val="0"/>
                  <w:vAlign w:val="center"/>
                </w:tcPr>
                <w:p w14:paraId="3D856DFB">
                  <w:pPr>
                    <w:bidi w:val="0"/>
                    <w:jc w:val="center"/>
                    <w:rPr>
                      <w:rFonts w:hint="default" w:ascii="Times New Roman" w:hAnsi="Times New Roman" w:eastAsia="宋体" w:cs="Times New Roman"/>
                      <w:color w:val="auto"/>
                      <w:sz w:val="21"/>
                      <w:szCs w:val="21"/>
                      <w:lang w:val="en-US" w:eastAsia="zh-CN"/>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3176F8A8">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34</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74B4B038">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28</w:t>
                  </w:r>
                </w:p>
              </w:tc>
              <w:tc>
                <w:tcPr>
                  <w:tcW w:w="250" w:type="pct"/>
                  <w:tcBorders>
                    <w:left w:val="single" w:color="auto" w:sz="4" w:space="0"/>
                    <w:right w:val="single" w:color="auto" w:sz="4" w:space="0"/>
                  </w:tcBorders>
                  <w:noWrap w:val="0"/>
                  <w:vAlign w:val="center"/>
                </w:tcPr>
                <w:p w14:paraId="5715BC74">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w:t>
                  </w:r>
                </w:p>
              </w:tc>
              <w:tc>
                <w:tcPr>
                  <w:tcW w:w="344" w:type="pct"/>
                  <w:tcBorders>
                    <w:left w:val="single" w:color="auto" w:sz="4" w:space="0"/>
                    <w:right w:val="single" w:color="auto" w:sz="4" w:space="0"/>
                  </w:tcBorders>
                  <w:noWrap w:val="0"/>
                  <w:vAlign w:val="center"/>
                </w:tcPr>
                <w:p w14:paraId="58CD8D6C">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0DA4685C">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60</w:t>
                  </w:r>
                </w:p>
              </w:tc>
              <w:tc>
                <w:tcPr>
                  <w:tcW w:w="238" w:type="pct"/>
                  <w:vMerge w:val="continue"/>
                  <w:tcBorders>
                    <w:left w:val="single" w:color="auto" w:sz="4" w:space="0"/>
                    <w:right w:val="single" w:color="auto" w:sz="4" w:space="0"/>
                  </w:tcBorders>
                  <w:noWrap w:val="0"/>
                  <w:vAlign w:val="center"/>
                </w:tcPr>
                <w:p w14:paraId="0BF65E86">
                  <w:pPr>
                    <w:bidi w:val="0"/>
                    <w:jc w:val="center"/>
                    <w:rPr>
                      <w:rFonts w:hint="default" w:ascii="Times New Roman" w:hAnsi="Times New Roman" w:eastAsia="宋体" w:cs="Times New Roman"/>
                      <w:color w:val="auto"/>
                      <w:sz w:val="21"/>
                      <w:szCs w:val="21"/>
                      <w:lang w:val="en-US" w:eastAsia="zh-CN"/>
                    </w:rPr>
                  </w:pPr>
                </w:p>
              </w:tc>
              <w:tc>
                <w:tcPr>
                  <w:tcW w:w="459" w:type="pct"/>
                  <w:vMerge w:val="continue"/>
                  <w:tcBorders>
                    <w:left w:val="single" w:color="auto" w:sz="4" w:space="0"/>
                    <w:right w:val="single" w:color="auto" w:sz="4" w:space="0"/>
                  </w:tcBorders>
                  <w:noWrap w:val="0"/>
                  <w:vAlign w:val="center"/>
                </w:tcPr>
                <w:p w14:paraId="1B3B657D">
                  <w:pPr>
                    <w:bidi w:val="0"/>
                    <w:jc w:val="center"/>
                    <w:rPr>
                      <w:rFonts w:hint="default" w:ascii="Times New Roman" w:hAnsi="Times New Roman" w:eastAsia="宋体" w:cs="Times New Roman"/>
                      <w:color w:val="auto"/>
                      <w:sz w:val="21"/>
                      <w:szCs w:val="21"/>
                      <w:lang w:val="en-US" w:eastAsia="zh-CN"/>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5F68A36E">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40</w:t>
                  </w:r>
                </w:p>
              </w:tc>
              <w:tc>
                <w:tcPr>
                  <w:tcW w:w="241" w:type="pct"/>
                  <w:vMerge w:val="continue"/>
                  <w:tcBorders>
                    <w:left w:val="single" w:color="auto" w:sz="4" w:space="0"/>
                    <w:right w:val="single" w:color="auto" w:sz="4" w:space="0"/>
                  </w:tcBorders>
                  <w:noWrap w:val="0"/>
                  <w:vAlign w:val="center"/>
                </w:tcPr>
                <w:p w14:paraId="7FB3BEFA">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r w14:paraId="6F520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5" w:type="pct"/>
                  <w:tcBorders>
                    <w:top w:val="single" w:color="auto" w:sz="4" w:space="0"/>
                    <w:left w:val="single" w:color="auto" w:sz="4" w:space="0"/>
                    <w:bottom w:val="single" w:color="auto" w:sz="4" w:space="0"/>
                    <w:right w:val="single" w:color="auto" w:sz="4" w:space="0"/>
                  </w:tcBorders>
                  <w:noWrap w:val="0"/>
                  <w:vAlign w:val="center"/>
                </w:tcPr>
                <w:p w14:paraId="0AC26048">
                  <w:pPr>
                    <w:rPr>
                      <w:rFonts w:hint="default"/>
                      <w:color w:val="auto"/>
                      <w:lang w:val="en-US" w:eastAsia="zh-CN"/>
                    </w:rPr>
                  </w:pPr>
                  <w:r>
                    <w:rPr>
                      <w:rFonts w:hint="eastAsia"/>
                      <w:color w:val="auto"/>
                      <w:lang w:val="en-US" w:eastAsia="zh-CN"/>
                    </w:rPr>
                    <w:t>16</w:t>
                  </w:r>
                </w:p>
              </w:tc>
              <w:tc>
                <w:tcPr>
                  <w:tcW w:w="353" w:type="pct"/>
                  <w:vMerge w:val="continue"/>
                  <w:tcBorders>
                    <w:left w:val="single" w:color="auto" w:sz="4" w:space="0"/>
                    <w:right w:val="single" w:color="auto" w:sz="4" w:space="0"/>
                  </w:tcBorders>
                  <w:noWrap w:val="0"/>
                  <w:vAlign w:val="center"/>
                </w:tcPr>
                <w:p w14:paraId="5D420217">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3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E099FCA">
                  <w:pPr>
                    <w:bidi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挤压机进料螺旋</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66BE67AE">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75</w:t>
                  </w:r>
                </w:p>
              </w:tc>
              <w:tc>
                <w:tcPr>
                  <w:tcW w:w="353" w:type="pct"/>
                  <w:vMerge w:val="continue"/>
                  <w:tcBorders>
                    <w:left w:val="single" w:color="auto" w:sz="4" w:space="0"/>
                    <w:right w:val="single" w:color="auto" w:sz="4" w:space="0"/>
                  </w:tcBorders>
                  <w:noWrap w:val="0"/>
                  <w:vAlign w:val="center"/>
                </w:tcPr>
                <w:p w14:paraId="1F9EC73E">
                  <w:pPr>
                    <w:bidi w:val="0"/>
                    <w:jc w:val="center"/>
                    <w:rPr>
                      <w:rFonts w:hint="default" w:ascii="Times New Roman" w:hAnsi="Times New Roman" w:eastAsia="宋体" w:cs="Times New Roman"/>
                      <w:color w:val="auto"/>
                      <w:sz w:val="21"/>
                      <w:szCs w:val="21"/>
                      <w:lang w:val="en-US" w:eastAsia="zh-CN"/>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0909F9C6">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34</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41049AF1">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35</w:t>
                  </w:r>
                </w:p>
              </w:tc>
              <w:tc>
                <w:tcPr>
                  <w:tcW w:w="250" w:type="pct"/>
                  <w:tcBorders>
                    <w:left w:val="single" w:color="auto" w:sz="4" w:space="0"/>
                    <w:right w:val="single" w:color="auto" w:sz="4" w:space="0"/>
                  </w:tcBorders>
                  <w:noWrap w:val="0"/>
                  <w:vAlign w:val="center"/>
                </w:tcPr>
                <w:p w14:paraId="7AED9A85">
                  <w:pPr>
                    <w:bidi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w:t>
                  </w:r>
                </w:p>
              </w:tc>
              <w:tc>
                <w:tcPr>
                  <w:tcW w:w="344" w:type="pct"/>
                  <w:tcBorders>
                    <w:left w:val="single" w:color="auto" w:sz="4" w:space="0"/>
                    <w:right w:val="single" w:color="auto" w:sz="4" w:space="0"/>
                  </w:tcBorders>
                  <w:noWrap w:val="0"/>
                  <w:vAlign w:val="center"/>
                </w:tcPr>
                <w:p w14:paraId="532EAA44">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11510731">
                  <w:pPr>
                    <w:bidi w:val="0"/>
                    <w:jc w:val="center"/>
                    <w:rPr>
                      <w:rFonts w:hint="default" w:ascii="Times New Roman" w:hAnsi="Times New Roman" w:cs="Times New Roman"/>
                      <w:b w:val="0"/>
                      <w:bCs/>
                      <w:color w:val="auto"/>
                      <w:kern w:val="2"/>
                      <w:sz w:val="21"/>
                      <w:szCs w:val="21"/>
                      <w:lang w:val="en-US" w:eastAsia="zh-CN" w:bidi="ar-SA"/>
                    </w:rPr>
                  </w:pPr>
                  <w:r>
                    <w:rPr>
                      <w:rFonts w:hint="eastAsia" w:cs="Times New Roman"/>
                      <w:b w:val="0"/>
                      <w:bCs/>
                      <w:color w:val="auto"/>
                      <w:kern w:val="2"/>
                      <w:sz w:val="21"/>
                      <w:szCs w:val="21"/>
                      <w:lang w:val="en-US" w:eastAsia="zh-CN" w:bidi="ar-SA"/>
                    </w:rPr>
                    <w:t>55</w:t>
                  </w:r>
                </w:p>
              </w:tc>
              <w:tc>
                <w:tcPr>
                  <w:tcW w:w="238" w:type="pct"/>
                  <w:vMerge w:val="continue"/>
                  <w:tcBorders>
                    <w:left w:val="single" w:color="auto" w:sz="4" w:space="0"/>
                    <w:right w:val="single" w:color="auto" w:sz="4" w:space="0"/>
                  </w:tcBorders>
                  <w:noWrap w:val="0"/>
                  <w:vAlign w:val="center"/>
                </w:tcPr>
                <w:p w14:paraId="66FCE193">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59" w:type="pct"/>
                  <w:vMerge w:val="continue"/>
                  <w:tcBorders>
                    <w:left w:val="single" w:color="auto" w:sz="4" w:space="0"/>
                    <w:right w:val="single" w:color="auto" w:sz="4" w:space="0"/>
                  </w:tcBorders>
                  <w:noWrap w:val="0"/>
                  <w:vAlign w:val="center"/>
                </w:tcPr>
                <w:p w14:paraId="3B5D443C">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5F819C96">
                  <w:pPr>
                    <w:spacing w:line="240" w:lineRule="auto"/>
                    <w:jc w:val="center"/>
                    <w:rPr>
                      <w:rFonts w:hint="default" w:ascii="Times New Roman" w:hAnsi="Times New Roman" w:cs="Times New Roman"/>
                      <w:b w:val="0"/>
                      <w:bCs/>
                      <w:color w:val="auto"/>
                      <w:kern w:val="2"/>
                      <w:sz w:val="21"/>
                      <w:szCs w:val="21"/>
                      <w:lang w:val="en-US" w:eastAsia="zh-CN" w:bidi="ar-SA"/>
                    </w:rPr>
                  </w:pPr>
                  <w:r>
                    <w:rPr>
                      <w:rFonts w:hint="eastAsia" w:cs="Times New Roman"/>
                      <w:b w:val="0"/>
                      <w:bCs/>
                      <w:color w:val="auto"/>
                      <w:kern w:val="2"/>
                      <w:sz w:val="21"/>
                      <w:szCs w:val="21"/>
                      <w:lang w:val="en-US" w:eastAsia="zh-CN" w:bidi="ar-SA"/>
                    </w:rPr>
                    <w:t>35</w:t>
                  </w:r>
                </w:p>
              </w:tc>
              <w:tc>
                <w:tcPr>
                  <w:tcW w:w="241" w:type="pct"/>
                  <w:vMerge w:val="continue"/>
                  <w:tcBorders>
                    <w:left w:val="single" w:color="auto" w:sz="4" w:space="0"/>
                    <w:right w:val="single" w:color="auto" w:sz="4" w:space="0"/>
                  </w:tcBorders>
                  <w:noWrap w:val="0"/>
                  <w:vAlign w:val="center"/>
                </w:tcPr>
                <w:p w14:paraId="7EBAA214">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r w14:paraId="1C474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C623F4C">
                  <w:pPr>
                    <w:rPr>
                      <w:rFonts w:hint="default" w:ascii="Times New Roman" w:hAnsi="Times New Roman" w:eastAsia="宋体" w:cs="Times New Roman"/>
                      <w:color w:val="auto"/>
                      <w:kern w:val="2"/>
                      <w:sz w:val="21"/>
                      <w:szCs w:val="24"/>
                      <w:lang w:val="en-US" w:eastAsia="zh-CN" w:bidi="ar-SA"/>
                    </w:rPr>
                  </w:pPr>
                  <w:r>
                    <w:rPr>
                      <w:rFonts w:hint="eastAsia"/>
                      <w:color w:val="auto"/>
                      <w:lang w:val="en-US" w:eastAsia="zh-CN"/>
                    </w:rPr>
                    <w:t>17</w:t>
                  </w:r>
                </w:p>
              </w:tc>
              <w:tc>
                <w:tcPr>
                  <w:tcW w:w="353" w:type="pct"/>
                  <w:vMerge w:val="continue"/>
                  <w:tcBorders>
                    <w:left w:val="single" w:color="auto" w:sz="4" w:space="0"/>
                    <w:right w:val="single" w:color="auto" w:sz="4" w:space="0"/>
                  </w:tcBorders>
                  <w:noWrap w:val="0"/>
                  <w:vAlign w:val="center"/>
                </w:tcPr>
                <w:p w14:paraId="71EBFCFD">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3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1695CA2">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eastAsia="宋体" w:cs="Times New Roman"/>
                      <w:color w:val="auto"/>
                      <w:sz w:val="21"/>
                      <w:szCs w:val="21"/>
                      <w:lang w:val="en-US" w:eastAsia="zh-CN"/>
                    </w:rPr>
                    <w:t>挤压机</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41705818">
                  <w:pPr>
                    <w:spacing w:line="240" w:lineRule="auto"/>
                    <w:jc w:val="center"/>
                    <w:rPr>
                      <w:rFonts w:hint="default" w:ascii="Times New Roman" w:hAnsi="Times New Roman" w:cs="Times New Roman"/>
                      <w:b w:val="0"/>
                      <w:bCs/>
                      <w:color w:val="auto"/>
                      <w:kern w:val="2"/>
                      <w:sz w:val="21"/>
                      <w:szCs w:val="21"/>
                      <w:lang w:val="en-US" w:eastAsia="zh-CN" w:bidi="ar-SA"/>
                    </w:rPr>
                  </w:pPr>
                  <w:r>
                    <w:rPr>
                      <w:rFonts w:hint="eastAsia"/>
                      <w:color w:val="auto"/>
                      <w:lang w:val="en-US" w:eastAsia="zh-CN"/>
                    </w:rPr>
                    <w:t>75</w:t>
                  </w:r>
                </w:p>
              </w:tc>
              <w:tc>
                <w:tcPr>
                  <w:tcW w:w="353" w:type="pct"/>
                  <w:vMerge w:val="continue"/>
                  <w:tcBorders>
                    <w:left w:val="single" w:color="auto" w:sz="4" w:space="0"/>
                    <w:right w:val="single" w:color="auto" w:sz="4" w:space="0"/>
                  </w:tcBorders>
                  <w:noWrap w:val="0"/>
                  <w:vAlign w:val="center"/>
                </w:tcPr>
                <w:p w14:paraId="4B10C018">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5D96498D">
                  <w:pPr>
                    <w:pStyle w:val="2"/>
                    <w:tabs>
                      <w:tab w:val="left" w:pos="851"/>
                    </w:tabs>
                    <w:spacing w:after="0"/>
                    <w:ind w:left="0" w:leftChars="0" w:firstLine="0" w:firstLineChars="0"/>
                    <w:jc w:val="center"/>
                    <w:rPr>
                      <w:rFonts w:hint="default" w:cs="Times New Roman"/>
                      <w:b w:val="0"/>
                      <w:bCs/>
                      <w:color w:val="auto"/>
                      <w:spacing w:val="4"/>
                      <w:kern w:val="2"/>
                      <w:sz w:val="21"/>
                      <w:szCs w:val="21"/>
                      <w:lang w:val="en-US" w:eastAsia="zh-CN" w:bidi="ar-SA"/>
                    </w:rPr>
                  </w:pPr>
                  <w:r>
                    <w:rPr>
                      <w:rFonts w:hint="eastAsia" w:cs="Times New Roman"/>
                      <w:b w:val="0"/>
                      <w:bCs/>
                      <w:color w:val="auto"/>
                      <w:spacing w:val="4"/>
                      <w:kern w:val="2"/>
                      <w:sz w:val="21"/>
                      <w:szCs w:val="21"/>
                      <w:lang w:val="en-US" w:eastAsia="zh-CN" w:bidi="ar-SA"/>
                    </w:rPr>
                    <w:t>34</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251C4AC6">
                  <w:pPr>
                    <w:pStyle w:val="2"/>
                    <w:tabs>
                      <w:tab w:val="left" w:pos="851"/>
                    </w:tabs>
                    <w:spacing w:after="0"/>
                    <w:ind w:left="0" w:leftChars="0" w:firstLine="0" w:firstLineChars="0"/>
                    <w:jc w:val="center"/>
                    <w:rPr>
                      <w:rFonts w:hint="default" w:cs="Times New Roman"/>
                      <w:b w:val="0"/>
                      <w:bCs/>
                      <w:color w:val="auto"/>
                      <w:spacing w:val="4"/>
                      <w:kern w:val="2"/>
                      <w:sz w:val="21"/>
                      <w:szCs w:val="21"/>
                      <w:lang w:val="en-US" w:eastAsia="zh-CN" w:bidi="ar-SA"/>
                    </w:rPr>
                  </w:pPr>
                  <w:r>
                    <w:rPr>
                      <w:rFonts w:hint="eastAsia" w:cs="Times New Roman"/>
                      <w:color w:val="auto"/>
                      <w:sz w:val="21"/>
                      <w:szCs w:val="21"/>
                      <w:lang w:val="en-US" w:eastAsia="zh-CN"/>
                    </w:rPr>
                    <w:t>37</w:t>
                  </w:r>
                </w:p>
              </w:tc>
              <w:tc>
                <w:tcPr>
                  <w:tcW w:w="250" w:type="pct"/>
                  <w:tcBorders>
                    <w:left w:val="single" w:color="auto" w:sz="4" w:space="0"/>
                    <w:right w:val="single" w:color="auto" w:sz="4" w:space="0"/>
                  </w:tcBorders>
                  <w:noWrap w:val="0"/>
                  <w:vAlign w:val="center"/>
                </w:tcPr>
                <w:p w14:paraId="784FB9FA">
                  <w:pPr>
                    <w:spacing w:after="0"/>
                    <w:ind w:left="0" w:leftChars="0" w:firstLine="0" w:firstLineChars="0"/>
                    <w:jc w:val="center"/>
                    <w:rPr>
                      <w:rFonts w:hint="default" w:cs="Times New Roman"/>
                      <w:b w:val="0"/>
                      <w:bCs/>
                      <w:color w:val="auto"/>
                      <w:spacing w:val="4"/>
                      <w:kern w:val="2"/>
                      <w:sz w:val="21"/>
                      <w:szCs w:val="21"/>
                      <w:lang w:val="en-US" w:eastAsia="zh-CN" w:bidi="ar-SA"/>
                    </w:rPr>
                  </w:pPr>
                  <w:r>
                    <w:rPr>
                      <w:rFonts w:hint="eastAsia" w:cs="Times New Roman"/>
                      <w:color w:val="auto"/>
                      <w:sz w:val="21"/>
                      <w:szCs w:val="21"/>
                      <w:lang w:val="en-US" w:eastAsia="zh-CN"/>
                    </w:rPr>
                    <w:t>2</w:t>
                  </w:r>
                </w:p>
              </w:tc>
              <w:tc>
                <w:tcPr>
                  <w:tcW w:w="344" w:type="pct"/>
                  <w:tcBorders>
                    <w:left w:val="single" w:color="auto" w:sz="4" w:space="0"/>
                    <w:right w:val="single" w:color="auto" w:sz="4" w:space="0"/>
                  </w:tcBorders>
                  <w:noWrap w:val="0"/>
                  <w:vAlign w:val="center"/>
                </w:tcPr>
                <w:p w14:paraId="11F281F2">
                  <w:pPr>
                    <w:bidi w:val="0"/>
                    <w:jc w:val="center"/>
                    <w:rPr>
                      <w:rFonts w:hint="default" w:cs="Times New Roman"/>
                      <w:b w:val="0"/>
                      <w:bCs/>
                      <w:color w:val="auto"/>
                      <w:spacing w:val="4"/>
                      <w:kern w:val="2"/>
                      <w:sz w:val="21"/>
                      <w:szCs w:val="21"/>
                      <w:lang w:val="en-US" w:eastAsia="zh-CN" w:bidi="ar-SA"/>
                    </w:rPr>
                  </w:pPr>
                  <w:r>
                    <w:rPr>
                      <w:rFonts w:hint="eastAsia" w:ascii="Times New Roman" w:hAnsi="Times New Roman" w:eastAsia="宋体" w:cs="Times New Roman"/>
                      <w:color w:val="auto"/>
                      <w:sz w:val="21"/>
                      <w:szCs w:val="21"/>
                      <w:lang w:val="en-US" w:eastAsia="zh-CN"/>
                    </w:rPr>
                    <w:t>10</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20EF5367">
                  <w:pPr>
                    <w:bidi w:val="0"/>
                    <w:jc w:val="center"/>
                    <w:rPr>
                      <w:rFonts w:hint="default" w:ascii="Times New Roman" w:hAnsi="Times New Roman" w:cs="Times New Roman"/>
                      <w:b w:val="0"/>
                      <w:bCs/>
                      <w:color w:val="auto"/>
                      <w:kern w:val="2"/>
                      <w:sz w:val="21"/>
                      <w:szCs w:val="21"/>
                      <w:lang w:val="en-US" w:eastAsia="zh-CN" w:bidi="ar-SA"/>
                    </w:rPr>
                  </w:pPr>
                  <w:r>
                    <w:rPr>
                      <w:rFonts w:hint="eastAsia" w:cs="Times New Roman"/>
                      <w:b w:val="0"/>
                      <w:bCs/>
                      <w:color w:val="auto"/>
                      <w:kern w:val="2"/>
                      <w:sz w:val="21"/>
                      <w:szCs w:val="21"/>
                      <w:lang w:val="en-US" w:eastAsia="zh-CN" w:bidi="ar-SA"/>
                    </w:rPr>
                    <w:t>55</w:t>
                  </w:r>
                </w:p>
              </w:tc>
              <w:tc>
                <w:tcPr>
                  <w:tcW w:w="238" w:type="pct"/>
                  <w:vMerge w:val="continue"/>
                  <w:tcBorders>
                    <w:left w:val="single" w:color="auto" w:sz="4" w:space="0"/>
                    <w:right w:val="single" w:color="auto" w:sz="4" w:space="0"/>
                  </w:tcBorders>
                  <w:noWrap w:val="0"/>
                  <w:vAlign w:val="center"/>
                </w:tcPr>
                <w:p w14:paraId="2621A308">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59" w:type="pct"/>
                  <w:vMerge w:val="continue"/>
                  <w:tcBorders>
                    <w:left w:val="single" w:color="auto" w:sz="4" w:space="0"/>
                    <w:right w:val="single" w:color="auto" w:sz="4" w:space="0"/>
                  </w:tcBorders>
                  <w:noWrap w:val="0"/>
                  <w:vAlign w:val="center"/>
                </w:tcPr>
                <w:p w14:paraId="6EEDEB54">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33A600C9">
                  <w:pPr>
                    <w:spacing w:line="240" w:lineRule="auto"/>
                    <w:jc w:val="center"/>
                    <w:rPr>
                      <w:rFonts w:hint="default" w:ascii="Times New Roman" w:hAnsi="Times New Roman" w:cs="Times New Roman"/>
                      <w:b w:val="0"/>
                      <w:bCs/>
                      <w:color w:val="auto"/>
                      <w:kern w:val="2"/>
                      <w:sz w:val="21"/>
                      <w:szCs w:val="21"/>
                      <w:lang w:val="en-US" w:eastAsia="zh-CN" w:bidi="ar-SA"/>
                    </w:rPr>
                  </w:pPr>
                  <w:r>
                    <w:rPr>
                      <w:rFonts w:hint="eastAsia" w:cs="Times New Roman"/>
                      <w:b w:val="0"/>
                      <w:bCs/>
                      <w:color w:val="auto"/>
                      <w:kern w:val="2"/>
                      <w:sz w:val="21"/>
                      <w:szCs w:val="21"/>
                      <w:lang w:val="en-US" w:eastAsia="zh-CN" w:bidi="ar-SA"/>
                    </w:rPr>
                    <w:t>35</w:t>
                  </w:r>
                </w:p>
              </w:tc>
              <w:tc>
                <w:tcPr>
                  <w:tcW w:w="241" w:type="pct"/>
                  <w:vMerge w:val="continue"/>
                  <w:tcBorders>
                    <w:left w:val="single" w:color="auto" w:sz="4" w:space="0"/>
                    <w:right w:val="single" w:color="auto" w:sz="4" w:space="0"/>
                  </w:tcBorders>
                  <w:noWrap w:val="0"/>
                  <w:vAlign w:val="center"/>
                </w:tcPr>
                <w:p w14:paraId="4D809256">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r w14:paraId="319E4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1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066C38D">
                  <w:pPr>
                    <w:rPr>
                      <w:rFonts w:hint="default" w:ascii="Times New Roman" w:hAnsi="Times New Roman" w:eastAsia="宋体" w:cs="Times New Roman"/>
                      <w:color w:val="auto"/>
                      <w:kern w:val="2"/>
                      <w:sz w:val="21"/>
                      <w:szCs w:val="24"/>
                      <w:lang w:val="en-US" w:eastAsia="zh-CN" w:bidi="ar-SA"/>
                    </w:rPr>
                  </w:pPr>
                  <w:r>
                    <w:rPr>
                      <w:rFonts w:hint="eastAsia"/>
                      <w:color w:val="auto"/>
                      <w:lang w:val="en-US" w:eastAsia="zh-CN"/>
                    </w:rPr>
                    <w:t>18</w:t>
                  </w:r>
                </w:p>
              </w:tc>
              <w:tc>
                <w:tcPr>
                  <w:tcW w:w="353" w:type="pct"/>
                  <w:vMerge w:val="continue"/>
                  <w:tcBorders>
                    <w:left w:val="single" w:color="auto" w:sz="4" w:space="0"/>
                    <w:right w:val="single" w:color="auto" w:sz="4" w:space="0"/>
                  </w:tcBorders>
                  <w:noWrap w:val="0"/>
                  <w:vAlign w:val="center"/>
                </w:tcPr>
                <w:p w14:paraId="4CC36272">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35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234DF82">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eastAsia="宋体" w:cs="Times New Roman"/>
                      <w:color w:val="auto"/>
                      <w:sz w:val="21"/>
                      <w:szCs w:val="21"/>
                      <w:lang w:val="en-US" w:eastAsia="zh-CN"/>
                    </w:rPr>
                    <w:t>挤压机出渣螺旋</w:t>
                  </w:r>
                </w:p>
              </w:tc>
              <w:tc>
                <w:tcPr>
                  <w:tcW w:w="462" w:type="pct"/>
                  <w:tcBorders>
                    <w:top w:val="single" w:color="auto" w:sz="4" w:space="0"/>
                    <w:left w:val="single" w:color="auto" w:sz="4" w:space="0"/>
                    <w:bottom w:val="single" w:color="auto" w:sz="4" w:space="0"/>
                    <w:right w:val="single" w:color="auto" w:sz="4" w:space="0"/>
                  </w:tcBorders>
                  <w:noWrap w:val="0"/>
                  <w:vAlign w:val="center"/>
                </w:tcPr>
                <w:p w14:paraId="522F5C67">
                  <w:pPr>
                    <w:spacing w:line="240" w:lineRule="auto"/>
                    <w:jc w:val="center"/>
                    <w:rPr>
                      <w:rFonts w:hint="eastAsia" w:ascii="Times New Roman" w:hAnsi="Times New Roman" w:cs="Times New Roman"/>
                      <w:b w:val="0"/>
                      <w:bCs/>
                      <w:color w:val="auto"/>
                      <w:kern w:val="2"/>
                      <w:sz w:val="21"/>
                      <w:szCs w:val="21"/>
                      <w:lang w:val="en-US" w:eastAsia="zh-CN" w:bidi="ar-SA"/>
                    </w:rPr>
                  </w:pPr>
                  <w:r>
                    <w:rPr>
                      <w:rFonts w:hint="eastAsia"/>
                      <w:color w:val="auto"/>
                      <w:lang w:val="en-US" w:eastAsia="zh-CN"/>
                    </w:rPr>
                    <w:t>80</w:t>
                  </w:r>
                </w:p>
              </w:tc>
              <w:tc>
                <w:tcPr>
                  <w:tcW w:w="353" w:type="pct"/>
                  <w:vMerge w:val="continue"/>
                  <w:tcBorders>
                    <w:left w:val="single" w:color="auto" w:sz="4" w:space="0"/>
                    <w:right w:val="single" w:color="auto" w:sz="4" w:space="0"/>
                  </w:tcBorders>
                  <w:noWrap w:val="0"/>
                  <w:vAlign w:val="center"/>
                </w:tcPr>
                <w:p w14:paraId="28599EE0">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10" w:type="pct"/>
                  <w:tcBorders>
                    <w:top w:val="single" w:color="auto" w:sz="4" w:space="0"/>
                    <w:left w:val="single" w:color="auto" w:sz="4" w:space="0"/>
                    <w:bottom w:val="single" w:color="auto" w:sz="4" w:space="0"/>
                    <w:right w:val="single" w:color="auto" w:sz="4" w:space="0"/>
                  </w:tcBorders>
                  <w:noWrap w:val="0"/>
                  <w:vAlign w:val="center"/>
                </w:tcPr>
                <w:p w14:paraId="148743DF">
                  <w:pPr>
                    <w:pStyle w:val="2"/>
                    <w:tabs>
                      <w:tab w:val="left" w:pos="851"/>
                    </w:tabs>
                    <w:spacing w:after="0"/>
                    <w:ind w:left="0" w:leftChars="0" w:firstLine="0" w:firstLineChars="0"/>
                    <w:jc w:val="center"/>
                    <w:rPr>
                      <w:rFonts w:hint="default" w:cs="Times New Roman"/>
                      <w:b w:val="0"/>
                      <w:bCs/>
                      <w:color w:val="auto"/>
                      <w:spacing w:val="4"/>
                      <w:kern w:val="2"/>
                      <w:sz w:val="21"/>
                      <w:szCs w:val="21"/>
                      <w:lang w:val="en-US" w:eastAsia="zh-CN" w:bidi="ar-SA"/>
                    </w:rPr>
                  </w:pPr>
                  <w:r>
                    <w:rPr>
                      <w:rFonts w:hint="eastAsia" w:cs="Times New Roman"/>
                      <w:b w:val="0"/>
                      <w:bCs/>
                      <w:color w:val="auto"/>
                      <w:spacing w:val="4"/>
                      <w:kern w:val="2"/>
                      <w:sz w:val="21"/>
                      <w:szCs w:val="21"/>
                      <w:lang w:val="en-US" w:eastAsia="zh-CN" w:bidi="ar-SA"/>
                    </w:rPr>
                    <w:t>31</w:t>
                  </w:r>
                </w:p>
              </w:tc>
              <w:tc>
                <w:tcPr>
                  <w:tcW w:w="400" w:type="pct"/>
                  <w:tcBorders>
                    <w:top w:val="single" w:color="auto" w:sz="4" w:space="0"/>
                    <w:left w:val="single" w:color="auto" w:sz="4" w:space="0"/>
                    <w:bottom w:val="single" w:color="auto" w:sz="4" w:space="0"/>
                    <w:right w:val="single" w:color="auto" w:sz="4" w:space="0"/>
                  </w:tcBorders>
                  <w:noWrap w:val="0"/>
                  <w:vAlign w:val="center"/>
                </w:tcPr>
                <w:p w14:paraId="4075E5DA">
                  <w:pPr>
                    <w:pStyle w:val="2"/>
                    <w:tabs>
                      <w:tab w:val="left" w:pos="851"/>
                    </w:tabs>
                    <w:spacing w:after="0"/>
                    <w:ind w:left="0" w:leftChars="0" w:firstLine="0" w:firstLineChars="0"/>
                    <w:jc w:val="center"/>
                    <w:rPr>
                      <w:rFonts w:hint="default" w:cs="Times New Roman"/>
                      <w:b w:val="0"/>
                      <w:bCs/>
                      <w:color w:val="auto"/>
                      <w:spacing w:val="4"/>
                      <w:kern w:val="2"/>
                      <w:sz w:val="21"/>
                      <w:szCs w:val="21"/>
                      <w:lang w:val="en-US" w:eastAsia="zh-CN" w:bidi="ar-SA"/>
                    </w:rPr>
                  </w:pPr>
                  <w:r>
                    <w:rPr>
                      <w:rFonts w:hint="eastAsia" w:cs="Times New Roman"/>
                      <w:b w:val="0"/>
                      <w:bCs/>
                      <w:color w:val="auto"/>
                      <w:spacing w:val="4"/>
                      <w:kern w:val="2"/>
                      <w:sz w:val="21"/>
                      <w:szCs w:val="21"/>
                      <w:lang w:val="en-US" w:eastAsia="zh-CN" w:bidi="ar-SA"/>
                    </w:rPr>
                    <w:t>41</w:t>
                  </w:r>
                </w:p>
              </w:tc>
              <w:tc>
                <w:tcPr>
                  <w:tcW w:w="250" w:type="pct"/>
                  <w:tcBorders>
                    <w:left w:val="single" w:color="auto" w:sz="4" w:space="0"/>
                    <w:right w:val="single" w:color="auto" w:sz="4" w:space="0"/>
                  </w:tcBorders>
                  <w:noWrap w:val="0"/>
                  <w:vAlign w:val="center"/>
                </w:tcPr>
                <w:p w14:paraId="2E73893B">
                  <w:pPr>
                    <w:spacing w:after="0"/>
                    <w:ind w:left="0" w:leftChars="0" w:firstLine="0" w:firstLineChars="0"/>
                    <w:jc w:val="center"/>
                    <w:rPr>
                      <w:rFonts w:hint="default" w:cs="Times New Roman"/>
                      <w:b w:val="0"/>
                      <w:bCs/>
                      <w:color w:val="auto"/>
                      <w:spacing w:val="4"/>
                      <w:kern w:val="2"/>
                      <w:sz w:val="21"/>
                      <w:szCs w:val="21"/>
                      <w:lang w:val="en-US" w:eastAsia="zh-CN" w:bidi="ar-SA"/>
                    </w:rPr>
                  </w:pPr>
                  <w:r>
                    <w:rPr>
                      <w:rFonts w:hint="eastAsia" w:cs="Times New Roman"/>
                      <w:color w:val="auto"/>
                      <w:sz w:val="21"/>
                      <w:szCs w:val="21"/>
                      <w:lang w:val="en-US" w:eastAsia="zh-CN"/>
                    </w:rPr>
                    <w:t>2</w:t>
                  </w:r>
                </w:p>
              </w:tc>
              <w:tc>
                <w:tcPr>
                  <w:tcW w:w="344" w:type="pct"/>
                  <w:tcBorders>
                    <w:left w:val="single" w:color="auto" w:sz="4" w:space="0"/>
                    <w:right w:val="single" w:color="auto" w:sz="4" w:space="0"/>
                  </w:tcBorders>
                  <w:noWrap w:val="0"/>
                  <w:vAlign w:val="center"/>
                </w:tcPr>
                <w:p w14:paraId="3FD9F3E0">
                  <w:pPr>
                    <w:pStyle w:val="2"/>
                    <w:tabs>
                      <w:tab w:val="left" w:pos="851"/>
                    </w:tabs>
                    <w:spacing w:after="0"/>
                    <w:ind w:left="0" w:leftChars="0" w:firstLine="0" w:firstLineChars="0"/>
                    <w:jc w:val="center"/>
                    <w:rPr>
                      <w:rFonts w:hint="default" w:cs="Times New Roman"/>
                      <w:b w:val="0"/>
                      <w:bCs/>
                      <w:color w:val="auto"/>
                      <w:spacing w:val="4"/>
                      <w:kern w:val="2"/>
                      <w:sz w:val="21"/>
                      <w:szCs w:val="21"/>
                      <w:lang w:val="en-US" w:eastAsia="zh-CN" w:bidi="ar-SA"/>
                    </w:rPr>
                  </w:pPr>
                  <w:r>
                    <w:rPr>
                      <w:rFonts w:hint="eastAsia" w:cs="Times New Roman"/>
                      <w:b w:val="0"/>
                      <w:bCs/>
                      <w:color w:val="auto"/>
                      <w:spacing w:val="4"/>
                      <w:kern w:val="2"/>
                      <w:sz w:val="21"/>
                      <w:szCs w:val="21"/>
                      <w:lang w:val="en-US" w:eastAsia="zh-CN" w:bidi="ar-SA"/>
                    </w:rPr>
                    <w:t>7</w:t>
                  </w:r>
                </w:p>
              </w:tc>
              <w:tc>
                <w:tcPr>
                  <w:tcW w:w="459" w:type="pct"/>
                  <w:tcBorders>
                    <w:top w:val="single" w:color="auto" w:sz="4" w:space="0"/>
                    <w:left w:val="single" w:color="auto" w:sz="4" w:space="0"/>
                    <w:bottom w:val="single" w:color="auto" w:sz="4" w:space="0"/>
                    <w:right w:val="single" w:color="auto" w:sz="4" w:space="0"/>
                  </w:tcBorders>
                  <w:noWrap w:val="0"/>
                  <w:vAlign w:val="center"/>
                </w:tcPr>
                <w:p w14:paraId="78DDF4CA">
                  <w:pPr>
                    <w:pStyle w:val="101"/>
                    <w:spacing w:line="240" w:lineRule="auto"/>
                    <w:jc w:val="center"/>
                    <w:rPr>
                      <w:rFonts w:hint="default" w:ascii="Times New Roman" w:hAnsi="Times New Roman" w:cs="Times New Roman"/>
                      <w:b w:val="0"/>
                      <w:bCs/>
                      <w:color w:val="auto"/>
                      <w:kern w:val="2"/>
                      <w:sz w:val="21"/>
                      <w:szCs w:val="21"/>
                      <w:lang w:val="en-US" w:eastAsia="zh-CN" w:bidi="ar-SA"/>
                    </w:rPr>
                  </w:pPr>
                  <w:r>
                    <w:rPr>
                      <w:rFonts w:hint="eastAsia" w:ascii="Times New Roman" w:hAnsi="Times New Roman" w:cs="Times New Roman"/>
                      <w:b w:val="0"/>
                      <w:bCs/>
                      <w:color w:val="auto"/>
                      <w:kern w:val="2"/>
                      <w:sz w:val="21"/>
                      <w:szCs w:val="21"/>
                      <w:lang w:val="en-US" w:eastAsia="zh-CN" w:bidi="ar-SA"/>
                    </w:rPr>
                    <w:t>63.1</w:t>
                  </w:r>
                </w:p>
              </w:tc>
              <w:tc>
                <w:tcPr>
                  <w:tcW w:w="238" w:type="pct"/>
                  <w:vMerge w:val="continue"/>
                  <w:tcBorders>
                    <w:left w:val="single" w:color="auto" w:sz="4" w:space="0"/>
                    <w:right w:val="single" w:color="auto" w:sz="4" w:space="0"/>
                  </w:tcBorders>
                  <w:noWrap w:val="0"/>
                  <w:vAlign w:val="center"/>
                </w:tcPr>
                <w:p w14:paraId="6930FD79">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59" w:type="pct"/>
                  <w:vMerge w:val="continue"/>
                  <w:tcBorders>
                    <w:left w:val="single" w:color="auto" w:sz="4" w:space="0"/>
                    <w:right w:val="single" w:color="auto" w:sz="4" w:space="0"/>
                  </w:tcBorders>
                  <w:noWrap w:val="0"/>
                  <w:vAlign w:val="center"/>
                </w:tcPr>
                <w:p w14:paraId="10F78DAA">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c>
                <w:tcPr>
                  <w:tcW w:w="459" w:type="pct"/>
                  <w:tcBorders>
                    <w:top w:val="single" w:color="auto" w:sz="4" w:space="0"/>
                    <w:left w:val="single" w:color="auto" w:sz="4" w:space="0"/>
                    <w:bottom w:val="single" w:color="auto" w:sz="4" w:space="0"/>
                    <w:right w:val="single" w:color="auto" w:sz="4" w:space="0"/>
                  </w:tcBorders>
                  <w:noWrap w:val="0"/>
                  <w:vAlign w:val="center"/>
                </w:tcPr>
                <w:p w14:paraId="0FA4EAEA">
                  <w:pPr>
                    <w:pStyle w:val="101"/>
                    <w:spacing w:line="240" w:lineRule="auto"/>
                    <w:jc w:val="center"/>
                    <w:rPr>
                      <w:rFonts w:hint="default" w:ascii="Times New Roman" w:hAnsi="Times New Roman" w:cs="Times New Roman"/>
                      <w:b w:val="0"/>
                      <w:bCs/>
                      <w:color w:val="auto"/>
                      <w:kern w:val="2"/>
                      <w:sz w:val="21"/>
                      <w:szCs w:val="21"/>
                      <w:lang w:val="en-US" w:eastAsia="zh-CN" w:bidi="ar-SA"/>
                    </w:rPr>
                  </w:pPr>
                  <w:r>
                    <w:rPr>
                      <w:rFonts w:hint="eastAsia" w:ascii="Times New Roman" w:hAnsi="Times New Roman" w:cs="Times New Roman"/>
                      <w:b w:val="0"/>
                      <w:bCs/>
                      <w:color w:val="auto"/>
                      <w:kern w:val="2"/>
                      <w:sz w:val="21"/>
                      <w:szCs w:val="21"/>
                      <w:lang w:val="en-US" w:eastAsia="zh-CN" w:bidi="ar-SA"/>
                    </w:rPr>
                    <w:t>43.1</w:t>
                  </w:r>
                </w:p>
              </w:tc>
              <w:tc>
                <w:tcPr>
                  <w:tcW w:w="241" w:type="pct"/>
                  <w:vMerge w:val="continue"/>
                  <w:tcBorders>
                    <w:left w:val="single" w:color="auto" w:sz="4" w:space="0"/>
                    <w:right w:val="single" w:color="auto" w:sz="4" w:space="0"/>
                  </w:tcBorders>
                  <w:noWrap w:val="0"/>
                  <w:vAlign w:val="center"/>
                </w:tcPr>
                <w:p w14:paraId="157721A5">
                  <w:pPr>
                    <w:pStyle w:val="2"/>
                    <w:tabs>
                      <w:tab w:val="left" w:pos="851"/>
                    </w:tabs>
                    <w:spacing w:after="0"/>
                    <w:ind w:left="0" w:leftChars="0" w:firstLine="0" w:firstLineChars="0"/>
                    <w:jc w:val="center"/>
                    <w:rPr>
                      <w:rFonts w:hint="default" w:ascii="Times New Roman" w:hAnsi="Times New Roman" w:cs="Times New Roman"/>
                      <w:b w:val="0"/>
                      <w:bCs/>
                      <w:color w:val="auto"/>
                      <w:sz w:val="21"/>
                      <w:szCs w:val="21"/>
                    </w:rPr>
                  </w:pPr>
                </w:p>
              </w:tc>
            </w:tr>
          </w:tbl>
          <w:p w14:paraId="3E1F28D8">
            <w:pPr>
              <w:spacing w:before="120" w:beforeLines="50"/>
              <w:jc w:val="center"/>
              <w:rPr>
                <w:color w:val="auto"/>
                <w:sz w:val="21"/>
                <w:szCs w:val="21"/>
              </w:rPr>
            </w:pPr>
            <w:r>
              <w:rPr>
                <w:b/>
                <w:bCs/>
                <w:color w:val="auto"/>
                <w:spacing w:val="-10"/>
                <w:sz w:val="21"/>
                <w:szCs w:val="21"/>
              </w:rPr>
              <w:t>表4-</w:t>
            </w:r>
            <w:r>
              <w:rPr>
                <w:rFonts w:hint="eastAsia"/>
                <w:b/>
                <w:bCs/>
                <w:color w:val="auto"/>
                <w:spacing w:val="-10"/>
                <w:sz w:val="21"/>
                <w:szCs w:val="21"/>
                <w:lang w:val="en-US" w:eastAsia="zh-CN"/>
              </w:rPr>
              <w:t>20</w:t>
            </w:r>
            <w:r>
              <w:rPr>
                <w:b/>
                <w:bCs/>
                <w:color w:val="auto"/>
                <w:sz w:val="21"/>
                <w:szCs w:val="21"/>
              </w:rPr>
              <w:t>室外主要噪声源强统计</w:t>
            </w:r>
          </w:p>
          <w:tbl>
            <w:tblPr>
              <w:tblStyle w:val="2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5"/>
              <w:gridCol w:w="1979"/>
              <w:gridCol w:w="1371"/>
              <w:gridCol w:w="1335"/>
              <w:gridCol w:w="1348"/>
              <w:gridCol w:w="1369"/>
              <w:gridCol w:w="1415"/>
              <w:gridCol w:w="1690"/>
              <w:gridCol w:w="1395"/>
            </w:tblGrid>
            <w:tr w14:paraId="4C95C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335" w:type="pct"/>
                  <w:vMerge w:val="restart"/>
                  <w:tcBorders>
                    <w:top w:val="single" w:color="auto" w:sz="4" w:space="0"/>
                    <w:left w:val="single" w:color="auto" w:sz="4" w:space="0"/>
                    <w:bottom w:val="single" w:color="auto" w:sz="4" w:space="0"/>
                    <w:right w:val="single" w:color="auto" w:sz="4" w:space="0"/>
                  </w:tcBorders>
                  <w:vAlign w:val="center"/>
                </w:tcPr>
                <w:p w14:paraId="4BAB7B20">
                  <w:pPr>
                    <w:adjustRightInd w:val="0"/>
                    <w:snapToGrid w:val="0"/>
                    <w:jc w:val="center"/>
                    <w:rPr>
                      <w:color w:val="auto"/>
                      <w:szCs w:val="21"/>
                    </w:rPr>
                  </w:pPr>
                  <w:r>
                    <w:rPr>
                      <w:bCs/>
                      <w:color w:val="auto"/>
                      <w:spacing w:val="-10"/>
                      <w:szCs w:val="21"/>
                    </w:rPr>
                    <w:t>序号</w:t>
                  </w:r>
                </w:p>
              </w:tc>
              <w:tc>
                <w:tcPr>
                  <w:tcW w:w="775" w:type="pct"/>
                  <w:vMerge w:val="restart"/>
                  <w:tcBorders>
                    <w:top w:val="single" w:color="auto" w:sz="4" w:space="0"/>
                    <w:left w:val="single" w:color="auto" w:sz="4" w:space="0"/>
                    <w:bottom w:val="single" w:color="auto" w:sz="4" w:space="0"/>
                    <w:right w:val="single" w:color="auto" w:sz="4" w:space="0"/>
                  </w:tcBorders>
                  <w:vAlign w:val="center"/>
                </w:tcPr>
                <w:p w14:paraId="2AA1A8ED">
                  <w:pPr>
                    <w:adjustRightInd w:val="0"/>
                    <w:snapToGrid w:val="0"/>
                    <w:jc w:val="center"/>
                    <w:rPr>
                      <w:color w:val="auto"/>
                      <w:szCs w:val="21"/>
                    </w:rPr>
                  </w:pPr>
                  <w:r>
                    <w:rPr>
                      <w:bCs/>
                      <w:color w:val="auto"/>
                      <w:spacing w:val="-10"/>
                      <w:szCs w:val="21"/>
                    </w:rPr>
                    <w:t>声源名称</w:t>
                  </w:r>
                </w:p>
              </w:tc>
              <w:tc>
                <w:tcPr>
                  <w:tcW w:w="537" w:type="pct"/>
                  <w:vMerge w:val="restart"/>
                  <w:tcBorders>
                    <w:top w:val="single" w:color="auto" w:sz="4" w:space="0"/>
                    <w:left w:val="single" w:color="auto" w:sz="4" w:space="0"/>
                    <w:bottom w:val="single" w:color="auto" w:sz="4" w:space="0"/>
                    <w:right w:val="single" w:color="auto" w:sz="4" w:space="0"/>
                  </w:tcBorders>
                  <w:vAlign w:val="center"/>
                </w:tcPr>
                <w:p w14:paraId="08A660BA">
                  <w:pPr>
                    <w:adjustRightInd w:val="0"/>
                    <w:snapToGrid w:val="0"/>
                    <w:jc w:val="center"/>
                    <w:rPr>
                      <w:color w:val="auto"/>
                      <w:szCs w:val="21"/>
                    </w:rPr>
                  </w:pPr>
                  <w:r>
                    <w:rPr>
                      <w:bCs/>
                      <w:color w:val="auto"/>
                      <w:spacing w:val="-10"/>
                      <w:szCs w:val="21"/>
                    </w:rPr>
                    <w:t>数量</w:t>
                  </w:r>
                </w:p>
              </w:tc>
              <w:tc>
                <w:tcPr>
                  <w:tcW w:w="1587" w:type="pct"/>
                  <w:gridSpan w:val="3"/>
                  <w:tcBorders>
                    <w:top w:val="single" w:color="auto" w:sz="4" w:space="0"/>
                    <w:left w:val="single" w:color="auto" w:sz="4" w:space="0"/>
                    <w:bottom w:val="single" w:color="auto" w:sz="4" w:space="0"/>
                    <w:right w:val="single" w:color="auto" w:sz="4" w:space="0"/>
                  </w:tcBorders>
                  <w:vAlign w:val="center"/>
                </w:tcPr>
                <w:p w14:paraId="40E0F4A7">
                  <w:pPr>
                    <w:jc w:val="center"/>
                    <w:rPr>
                      <w:color w:val="auto"/>
                      <w:szCs w:val="21"/>
                      <w:lang w:bidi="ar"/>
                    </w:rPr>
                  </w:pPr>
                  <w:r>
                    <w:rPr>
                      <w:bCs/>
                      <w:color w:val="auto"/>
                      <w:spacing w:val="-10"/>
                      <w:szCs w:val="21"/>
                    </w:rPr>
                    <w:t>空间相对位置</w:t>
                  </w:r>
                </w:p>
              </w:tc>
              <w:tc>
                <w:tcPr>
                  <w:tcW w:w="554" w:type="pct"/>
                  <w:vMerge w:val="restart"/>
                  <w:tcBorders>
                    <w:top w:val="single" w:color="auto" w:sz="4" w:space="0"/>
                    <w:left w:val="single" w:color="auto" w:sz="4" w:space="0"/>
                    <w:bottom w:val="single" w:color="auto" w:sz="4" w:space="0"/>
                    <w:right w:val="single" w:color="auto" w:sz="4" w:space="0"/>
                  </w:tcBorders>
                  <w:vAlign w:val="center"/>
                </w:tcPr>
                <w:p w14:paraId="4EE8DF3D">
                  <w:pPr>
                    <w:adjustRightInd w:val="0"/>
                    <w:snapToGrid w:val="0"/>
                    <w:jc w:val="center"/>
                    <w:rPr>
                      <w:bCs/>
                      <w:color w:val="auto"/>
                      <w:szCs w:val="21"/>
                    </w:rPr>
                  </w:pPr>
                  <w:r>
                    <w:rPr>
                      <w:bCs/>
                      <w:color w:val="auto"/>
                      <w:spacing w:val="-10"/>
                      <w:szCs w:val="21"/>
                    </w:rPr>
                    <w:t>设备声压级</w:t>
                  </w:r>
                </w:p>
              </w:tc>
              <w:tc>
                <w:tcPr>
                  <w:tcW w:w="662" w:type="pct"/>
                  <w:vMerge w:val="restart"/>
                  <w:tcBorders>
                    <w:top w:val="single" w:color="auto" w:sz="4" w:space="0"/>
                    <w:left w:val="single" w:color="auto" w:sz="4" w:space="0"/>
                    <w:bottom w:val="single" w:color="auto" w:sz="4" w:space="0"/>
                    <w:right w:val="single" w:color="auto" w:sz="4" w:space="0"/>
                  </w:tcBorders>
                  <w:vAlign w:val="center"/>
                </w:tcPr>
                <w:p w14:paraId="669AC6BA">
                  <w:pPr>
                    <w:adjustRightInd w:val="0"/>
                    <w:snapToGrid w:val="0"/>
                    <w:jc w:val="center"/>
                    <w:rPr>
                      <w:bCs/>
                      <w:color w:val="auto"/>
                      <w:szCs w:val="21"/>
                    </w:rPr>
                  </w:pPr>
                  <w:r>
                    <w:rPr>
                      <w:bCs/>
                      <w:color w:val="auto"/>
                      <w:spacing w:val="-10"/>
                      <w:szCs w:val="21"/>
                    </w:rPr>
                    <w:t>声源控制措施</w:t>
                  </w:r>
                </w:p>
              </w:tc>
              <w:tc>
                <w:tcPr>
                  <w:tcW w:w="546" w:type="pct"/>
                  <w:vMerge w:val="restart"/>
                  <w:tcBorders>
                    <w:top w:val="single" w:color="auto" w:sz="4" w:space="0"/>
                    <w:left w:val="single" w:color="auto" w:sz="4" w:space="0"/>
                    <w:bottom w:val="single" w:color="auto" w:sz="4" w:space="0"/>
                    <w:right w:val="single" w:color="auto" w:sz="4" w:space="0"/>
                  </w:tcBorders>
                  <w:vAlign w:val="center"/>
                </w:tcPr>
                <w:p w14:paraId="0BE40ECB">
                  <w:pPr>
                    <w:adjustRightInd w:val="0"/>
                    <w:snapToGrid w:val="0"/>
                    <w:jc w:val="center"/>
                    <w:rPr>
                      <w:bCs/>
                      <w:color w:val="auto"/>
                      <w:szCs w:val="21"/>
                    </w:rPr>
                  </w:pPr>
                  <w:r>
                    <w:rPr>
                      <w:bCs/>
                      <w:color w:val="auto"/>
                      <w:spacing w:val="-10"/>
                      <w:szCs w:val="21"/>
                    </w:rPr>
                    <w:t>运行时段</w:t>
                  </w:r>
                </w:p>
              </w:tc>
            </w:tr>
            <w:tr w14:paraId="550FB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335" w:type="pct"/>
                  <w:vMerge w:val="continue"/>
                  <w:tcBorders>
                    <w:top w:val="single" w:color="auto" w:sz="4" w:space="0"/>
                    <w:left w:val="single" w:color="auto" w:sz="4" w:space="0"/>
                    <w:bottom w:val="single" w:color="auto" w:sz="4" w:space="0"/>
                    <w:right w:val="single" w:color="auto" w:sz="4" w:space="0"/>
                  </w:tcBorders>
                  <w:vAlign w:val="center"/>
                </w:tcPr>
                <w:p w14:paraId="07AAB5EF">
                  <w:pPr>
                    <w:jc w:val="center"/>
                    <w:rPr>
                      <w:color w:val="auto"/>
                      <w:szCs w:val="21"/>
                    </w:rPr>
                  </w:pPr>
                </w:p>
              </w:tc>
              <w:tc>
                <w:tcPr>
                  <w:tcW w:w="775" w:type="pct"/>
                  <w:vMerge w:val="continue"/>
                  <w:tcBorders>
                    <w:top w:val="single" w:color="auto" w:sz="4" w:space="0"/>
                    <w:left w:val="single" w:color="auto" w:sz="4" w:space="0"/>
                    <w:bottom w:val="single" w:color="auto" w:sz="4" w:space="0"/>
                    <w:right w:val="single" w:color="auto" w:sz="4" w:space="0"/>
                  </w:tcBorders>
                  <w:vAlign w:val="center"/>
                </w:tcPr>
                <w:p w14:paraId="332B9F25">
                  <w:pPr>
                    <w:jc w:val="center"/>
                    <w:rPr>
                      <w:color w:val="auto"/>
                      <w:szCs w:val="21"/>
                    </w:rPr>
                  </w:pPr>
                </w:p>
              </w:tc>
              <w:tc>
                <w:tcPr>
                  <w:tcW w:w="537" w:type="pct"/>
                  <w:vMerge w:val="continue"/>
                  <w:tcBorders>
                    <w:top w:val="single" w:color="auto" w:sz="4" w:space="0"/>
                    <w:left w:val="single" w:color="auto" w:sz="4" w:space="0"/>
                    <w:bottom w:val="single" w:color="auto" w:sz="4" w:space="0"/>
                    <w:right w:val="single" w:color="auto" w:sz="4" w:space="0"/>
                  </w:tcBorders>
                  <w:vAlign w:val="center"/>
                </w:tcPr>
                <w:p w14:paraId="46E5B9D6">
                  <w:pPr>
                    <w:jc w:val="center"/>
                    <w:rPr>
                      <w:color w:val="auto"/>
                      <w:szCs w:val="21"/>
                    </w:rPr>
                  </w:pPr>
                </w:p>
              </w:tc>
              <w:tc>
                <w:tcPr>
                  <w:tcW w:w="523" w:type="pct"/>
                  <w:tcBorders>
                    <w:top w:val="single" w:color="auto" w:sz="4" w:space="0"/>
                    <w:left w:val="single" w:color="auto" w:sz="4" w:space="0"/>
                    <w:bottom w:val="single" w:color="auto" w:sz="4" w:space="0"/>
                    <w:right w:val="single" w:color="auto" w:sz="4" w:space="0"/>
                  </w:tcBorders>
                  <w:vAlign w:val="center"/>
                </w:tcPr>
                <w:p w14:paraId="5ADECAD3">
                  <w:pPr>
                    <w:bidi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X</w:t>
                  </w:r>
                </w:p>
              </w:tc>
              <w:tc>
                <w:tcPr>
                  <w:tcW w:w="528" w:type="pct"/>
                  <w:tcBorders>
                    <w:top w:val="single" w:color="auto" w:sz="4" w:space="0"/>
                    <w:left w:val="single" w:color="auto" w:sz="4" w:space="0"/>
                    <w:bottom w:val="single" w:color="auto" w:sz="4" w:space="0"/>
                    <w:right w:val="single" w:color="auto" w:sz="4" w:space="0"/>
                  </w:tcBorders>
                  <w:vAlign w:val="center"/>
                </w:tcPr>
                <w:p w14:paraId="09FAB663">
                  <w:pPr>
                    <w:jc w:val="center"/>
                    <w:rPr>
                      <w:color w:val="auto"/>
                      <w:szCs w:val="21"/>
                      <w:lang w:bidi="ar"/>
                    </w:rPr>
                  </w:pPr>
                  <w:r>
                    <w:rPr>
                      <w:color w:val="auto"/>
                      <w:szCs w:val="21"/>
                      <w:lang w:bidi="ar"/>
                    </w:rPr>
                    <w:t>Y</w:t>
                  </w:r>
                </w:p>
              </w:tc>
              <w:tc>
                <w:tcPr>
                  <w:tcW w:w="535" w:type="pct"/>
                  <w:tcBorders>
                    <w:top w:val="single" w:color="auto" w:sz="4" w:space="0"/>
                    <w:left w:val="single" w:color="auto" w:sz="4" w:space="0"/>
                    <w:bottom w:val="single" w:color="auto" w:sz="4" w:space="0"/>
                    <w:right w:val="single" w:color="auto" w:sz="4" w:space="0"/>
                  </w:tcBorders>
                  <w:vAlign w:val="center"/>
                </w:tcPr>
                <w:p w14:paraId="2F7940CD">
                  <w:pPr>
                    <w:jc w:val="center"/>
                    <w:rPr>
                      <w:color w:val="auto"/>
                      <w:szCs w:val="21"/>
                      <w:lang w:bidi="ar"/>
                    </w:rPr>
                  </w:pPr>
                  <w:r>
                    <w:rPr>
                      <w:color w:val="auto"/>
                      <w:szCs w:val="21"/>
                      <w:lang w:bidi="ar"/>
                    </w:rPr>
                    <w:t>Z</w:t>
                  </w:r>
                </w:p>
              </w:tc>
              <w:tc>
                <w:tcPr>
                  <w:tcW w:w="554" w:type="pct"/>
                  <w:vMerge w:val="continue"/>
                  <w:tcBorders>
                    <w:top w:val="single" w:color="auto" w:sz="4" w:space="0"/>
                    <w:left w:val="single" w:color="auto" w:sz="4" w:space="0"/>
                    <w:bottom w:val="single" w:color="auto" w:sz="4" w:space="0"/>
                    <w:right w:val="single" w:color="auto" w:sz="4" w:space="0"/>
                  </w:tcBorders>
                  <w:vAlign w:val="center"/>
                </w:tcPr>
                <w:p w14:paraId="214AC211">
                  <w:pPr>
                    <w:jc w:val="center"/>
                    <w:rPr>
                      <w:color w:val="auto"/>
                      <w:szCs w:val="21"/>
                      <w:lang w:bidi="ar"/>
                    </w:rPr>
                  </w:pPr>
                </w:p>
              </w:tc>
              <w:tc>
                <w:tcPr>
                  <w:tcW w:w="662" w:type="pct"/>
                  <w:vMerge w:val="continue"/>
                  <w:tcBorders>
                    <w:top w:val="single" w:color="auto" w:sz="4" w:space="0"/>
                    <w:left w:val="single" w:color="auto" w:sz="4" w:space="0"/>
                    <w:bottom w:val="single" w:color="auto" w:sz="4" w:space="0"/>
                    <w:right w:val="single" w:color="auto" w:sz="4" w:space="0"/>
                  </w:tcBorders>
                  <w:vAlign w:val="center"/>
                </w:tcPr>
                <w:p w14:paraId="7A2E88FC">
                  <w:pPr>
                    <w:jc w:val="center"/>
                    <w:rPr>
                      <w:color w:val="auto"/>
                      <w:szCs w:val="21"/>
                      <w:lang w:bidi="ar"/>
                    </w:rPr>
                  </w:pPr>
                </w:p>
              </w:tc>
              <w:tc>
                <w:tcPr>
                  <w:tcW w:w="546" w:type="pct"/>
                  <w:vMerge w:val="continue"/>
                  <w:tcBorders>
                    <w:top w:val="single" w:color="auto" w:sz="4" w:space="0"/>
                    <w:left w:val="single" w:color="auto" w:sz="4" w:space="0"/>
                    <w:bottom w:val="single" w:color="auto" w:sz="4" w:space="0"/>
                    <w:right w:val="single" w:color="auto" w:sz="4" w:space="0"/>
                  </w:tcBorders>
                  <w:vAlign w:val="center"/>
                </w:tcPr>
                <w:p w14:paraId="30405547">
                  <w:pPr>
                    <w:jc w:val="center"/>
                    <w:rPr>
                      <w:color w:val="auto"/>
                      <w:szCs w:val="21"/>
                      <w:lang w:bidi="ar"/>
                    </w:rPr>
                  </w:pPr>
                </w:p>
              </w:tc>
            </w:tr>
            <w:tr w14:paraId="1AA1F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35" w:type="pct"/>
                  <w:tcBorders>
                    <w:top w:val="single" w:color="auto" w:sz="4" w:space="0"/>
                    <w:left w:val="single" w:color="auto" w:sz="4" w:space="0"/>
                    <w:bottom w:val="single" w:color="auto" w:sz="4" w:space="0"/>
                    <w:right w:val="single" w:color="auto" w:sz="4" w:space="0"/>
                  </w:tcBorders>
                  <w:vAlign w:val="center"/>
                </w:tcPr>
                <w:p w14:paraId="7D7616D3">
                  <w:pPr>
                    <w:jc w:val="center"/>
                    <w:rPr>
                      <w:color w:val="auto"/>
                      <w:szCs w:val="21"/>
                      <w:lang w:bidi="ar"/>
                    </w:rPr>
                  </w:pPr>
                  <w:r>
                    <w:rPr>
                      <w:color w:val="auto"/>
                      <w:szCs w:val="21"/>
                      <w:lang w:bidi="ar"/>
                    </w:rPr>
                    <w:t>1</w:t>
                  </w:r>
                </w:p>
              </w:tc>
              <w:tc>
                <w:tcPr>
                  <w:tcW w:w="775" w:type="pct"/>
                  <w:tcBorders>
                    <w:top w:val="single" w:color="auto" w:sz="4" w:space="0"/>
                    <w:left w:val="single" w:color="auto" w:sz="4" w:space="0"/>
                    <w:bottom w:val="single" w:color="auto" w:sz="4" w:space="0"/>
                    <w:right w:val="single" w:color="auto" w:sz="4" w:space="0"/>
                  </w:tcBorders>
                  <w:vAlign w:val="center"/>
                </w:tcPr>
                <w:p w14:paraId="20BEC4AE">
                  <w:pPr>
                    <w:jc w:val="center"/>
                    <w:rPr>
                      <w:bCs/>
                      <w:color w:val="auto"/>
                      <w:szCs w:val="21"/>
                    </w:rPr>
                  </w:pPr>
                  <w:r>
                    <w:rPr>
                      <w:bCs/>
                      <w:color w:val="auto"/>
                      <w:szCs w:val="21"/>
                    </w:rPr>
                    <w:t>风机</w:t>
                  </w:r>
                </w:p>
              </w:tc>
              <w:tc>
                <w:tcPr>
                  <w:tcW w:w="537" w:type="pct"/>
                  <w:tcBorders>
                    <w:top w:val="single" w:color="auto" w:sz="4" w:space="0"/>
                    <w:left w:val="single" w:color="auto" w:sz="4" w:space="0"/>
                    <w:bottom w:val="single" w:color="auto" w:sz="4" w:space="0"/>
                    <w:right w:val="single" w:color="auto" w:sz="4" w:space="0"/>
                  </w:tcBorders>
                  <w:vAlign w:val="center"/>
                </w:tcPr>
                <w:p w14:paraId="3B40D906">
                  <w:pPr>
                    <w:jc w:val="center"/>
                    <w:rPr>
                      <w:rFonts w:hint="eastAsia" w:eastAsia="宋体"/>
                      <w:snapToGrid w:val="0"/>
                      <w:color w:val="auto"/>
                      <w:szCs w:val="21"/>
                      <w:lang w:eastAsia="zh-CN" w:bidi="ar"/>
                    </w:rPr>
                  </w:pPr>
                  <w:r>
                    <w:rPr>
                      <w:rFonts w:hint="eastAsia"/>
                      <w:snapToGrid w:val="0"/>
                      <w:color w:val="auto"/>
                      <w:szCs w:val="21"/>
                      <w:lang w:val="en-US" w:eastAsia="zh-CN" w:bidi="ar"/>
                    </w:rPr>
                    <w:t>3</w:t>
                  </w:r>
                </w:p>
              </w:tc>
              <w:tc>
                <w:tcPr>
                  <w:tcW w:w="901" w:type="dxa"/>
                  <w:tcBorders>
                    <w:top w:val="single" w:color="auto" w:sz="4" w:space="0"/>
                    <w:left w:val="single" w:color="auto" w:sz="4" w:space="0"/>
                    <w:bottom w:val="single" w:color="auto" w:sz="4" w:space="0"/>
                    <w:right w:val="single" w:color="auto" w:sz="4" w:space="0"/>
                  </w:tcBorders>
                  <w:vAlign w:val="center"/>
                </w:tcPr>
                <w:p w14:paraId="59186023">
                  <w:pPr>
                    <w:bidi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161</w:t>
                  </w:r>
                </w:p>
              </w:tc>
              <w:tc>
                <w:tcPr>
                  <w:tcW w:w="910" w:type="dxa"/>
                  <w:tcBorders>
                    <w:top w:val="single" w:color="auto" w:sz="4" w:space="0"/>
                    <w:left w:val="single" w:color="auto" w:sz="4" w:space="0"/>
                    <w:bottom w:val="single" w:color="auto" w:sz="4" w:space="0"/>
                    <w:right w:val="single" w:color="auto" w:sz="4" w:space="0"/>
                  </w:tcBorders>
                  <w:vAlign w:val="center"/>
                </w:tcPr>
                <w:p w14:paraId="2CFF6A0F">
                  <w:pPr>
                    <w:jc w:val="center"/>
                    <w:rPr>
                      <w:rFonts w:hint="eastAsia" w:eastAsia="宋体"/>
                      <w:color w:val="auto"/>
                      <w:szCs w:val="21"/>
                      <w:lang w:val="en-US" w:eastAsia="zh-CN" w:bidi="ar"/>
                    </w:rPr>
                  </w:pPr>
                  <w:r>
                    <w:rPr>
                      <w:color w:val="auto"/>
                      <w:szCs w:val="21"/>
                    </w:rPr>
                    <w:t>-</w:t>
                  </w:r>
                  <w:r>
                    <w:rPr>
                      <w:rFonts w:hint="eastAsia"/>
                      <w:color w:val="auto"/>
                      <w:szCs w:val="21"/>
                      <w:lang w:val="en-US" w:eastAsia="zh-CN"/>
                    </w:rPr>
                    <w:t>3</w:t>
                  </w:r>
                </w:p>
              </w:tc>
              <w:tc>
                <w:tcPr>
                  <w:tcW w:w="924" w:type="dxa"/>
                  <w:tcBorders>
                    <w:top w:val="single" w:color="auto" w:sz="4" w:space="0"/>
                    <w:left w:val="single" w:color="auto" w:sz="4" w:space="0"/>
                    <w:bottom w:val="single" w:color="auto" w:sz="4" w:space="0"/>
                    <w:right w:val="single" w:color="auto" w:sz="4" w:space="0"/>
                  </w:tcBorders>
                  <w:vAlign w:val="center"/>
                </w:tcPr>
                <w:p w14:paraId="67C1AD08">
                  <w:pPr>
                    <w:jc w:val="center"/>
                    <w:rPr>
                      <w:rFonts w:hint="default" w:eastAsia="宋体"/>
                      <w:bCs/>
                      <w:color w:val="auto"/>
                      <w:szCs w:val="21"/>
                      <w:lang w:val="en-US" w:eastAsia="zh-CN"/>
                    </w:rPr>
                  </w:pPr>
                  <w:r>
                    <w:rPr>
                      <w:color w:val="auto"/>
                      <w:szCs w:val="21"/>
                    </w:rPr>
                    <w:t>35</w:t>
                  </w:r>
                </w:p>
              </w:tc>
              <w:tc>
                <w:tcPr>
                  <w:tcW w:w="554" w:type="pct"/>
                  <w:tcBorders>
                    <w:top w:val="single" w:color="auto" w:sz="4" w:space="0"/>
                    <w:left w:val="single" w:color="auto" w:sz="4" w:space="0"/>
                    <w:bottom w:val="single" w:color="auto" w:sz="4" w:space="0"/>
                    <w:right w:val="single" w:color="auto" w:sz="4" w:space="0"/>
                  </w:tcBorders>
                  <w:vAlign w:val="center"/>
                </w:tcPr>
                <w:p w14:paraId="51C8D156">
                  <w:pPr>
                    <w:pStyle w:val="4"/>
                    <w:spacing w:after="0" w:line="240" w:lineRule="auto"/>
                    <w:ind w:left="0" w:leftChars="0" w:firstLine="0" w:firstLineChars="0"/>
                    <w:jc w:val="center"/>
                    <w:rPr>
                      <w:color w:val="auto"/>
                      <w:sz w:val="21"/>
                      <w:szCs w:val="21"/>
                    </w:rPr>
                  </w:pPr>
                  <w:r>
                    <w:rPr>
                      <w:color w:val="auto"/>
                      <w:sz w:val="21"/>
                      <w:szCs w:val="21"/>
                    </w:rPr>
                    <w:t>85</w:t>
                  </w:r>
                </w:p>
              </w:tc>
              <w:tc>
                <w:tcPr>
                  <w:tcW w:w="662" w:type="pct"/>
                  <w:tcBorders>
                    <w:top w:val="single" w:color="auto" w:sz="4" w:space="0"/>
                    <w:left w:val="single" w:color="auto" w:sz="4" w:space="0"/>
                    <w:bottom w:val="single" w:color="auto" w:sz="4" w:space="0"/>
                    <w:right w:val="single" w:color="auto" w:sz="4" w:space="0"/>
                  </w:tcBorders>
                  <w:vAlign w:val="center"/>
                </w:tcPr>
                <w:p w14:paraId="3ACD1ECA">
                  <w:pPr>
                    <w:pStyle w:val="4"/>
                    <w:spacing w:after="0" w:line="240" w:lineRule="auto"/>
                    <w:ind w:left="0" w:leftChars="0" w:firstLine="0" w:firstLineChars="0"/>
                    <w:jc w:val="center"/>
                    <w:rPr>
                      <w:rFonts w:hint="eastAsia"/>
                      <w:color w:val="auto"/>
                      <w:sz w:val="21"/>
                      <w:szCs w:val="21"/>
                    </w:rPr>
                  </w:pPr>
                  <w:r>
                    <w:rPr>
                      <w:color w:val="auto"/>
                      <w:spacing w:val="-10"/>
                      <w:sz w:val="21"/>
                      <w:szCs w:val="21"/>
                    </w:rPr>
                    <w:t>减振、隔声</w:t>
                  </w:r>
                  <w:r>
                    <w:rPr>
                      <w:rFonts w:hint="eastAsia"/>
                      <w:color w:val="auto"/>
                      <w:sz w:val="21"/>
                      <w:szCs w:val="16"/>
                    </w:rPr>
                    <w:t>、消声</w:t>
                  </w:r>
                </w:p>
              </w:tc>
              <w:tc>
                <w:tcPr>
                  <w:tcW w:w="546" w:type="pct"/>
                  <w:tcBorders>
                    <w:top w:val="single" w:color="auto" w:sz="4" w:space="0"/>
                    <w:left w:val="single" w:color="auto" w:sz="4" w:space="0"/>
                    <w:bottom w:val="single" w:color="auto" w:sz="4" w:space="0"/>
                    <w:right w:val="single" w:color="auto" w:sz="4" w:space="0"/>
                  </w:tcBorders>
                  <w:vAlign w:val="center"/>
                </w:tcPr>
                <w:p w14:paraId="70318021">
                  <w:pPr>
                    <w:pStyle w:val="4"/>
                    <w:spacing w:after="0" w:line="240" w:lineRule="auto"/>
                    <w:ind w:left="0" w:leftChars="0" w:firstLine="0" w:firstLineChars="0"/>
                    <w:jc w:val="center"/>
                    <w:rPr>
                      <w:color w:val="auto"/>
                      <w:sz w:val="21"/>
                      <w:szCs w:val="21"/>
                    </w:rPr>
                  </w:pPr>
                  <w:r>
                    <w:rPr>
                      <w:color w:val="auto"/>
                      <w:sz w:val="21"/>
                      <w:szCs w:val="21"/>
                    </w:rPr>
                    <w:t>昼</w:t>
                  </w:r>
                </w:p>
              </w:tc>
            </w:tr>
          </w:tbl>
          <w:p w14:paraId="4A7DA16A">
            <w:pPr>
              <w:pStyle w:val="2"/>
              <w:ind w:left="0" w:leftChars="0" w:firstLine="0" w:firstLineChars="0"/>
              <w:rPr>
                <w:rFonts w:hint="eastAsia"/>
                <w:color w:val="auto"/>
                <w:vertAlign w:val="baseline"/>
              </w:rPr>
            </w:pPr>
          </w:p>
        </w:tc>
      </w:tr>
    </w:tbl>
    <w:p w14:paraId="70546D0E">
      <w:pPr>
        <w:pStyle w:val="2"/>
        <w:rPr>
          <w:rFonts w:hint="eastAsia"/>
          <w:color w:val="auto"/>
        </w:rPr>
        <w:sectPr>
          <w:pgSz w:w="16840" w:h="11907" w:orient="landscape"/>
          <w:pgMar w:top="1531" w:right="1701" w:bottom="1531" w:left="2127" w:header="851" w:footer="851" w:gutter="0"/>
          <w:cols w:space="720" w:num="1"/>
          <w:docGrid w:linePitch="312" w:charSpace="0"/>
        </w:sect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2"/>
        <w:gridCol w:w="8779"/>
      </w:tblGrid>
      <w:tr w14:paraId="76927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3" w:hRule="atLeast"/>
        </w:trPr>
        <w:tc>
          <w:tcPr>
            <w:tcW w:w="282" w:type="dxa"/>
          </w:tcPr>
          <w:p w14:paraId="372788F6">
            <w:pPr>
              <w:rPr>
                <w:rFonts w:hint="eastAsia"/>
                <w:color w:val="auto"/>
                <w:vertAlign w:val="baseline"/>
              </w:rPr>
            </w:pPr>
          </w:p>
        </w:tc>
        <w:tc>
          <w:tcPr>
            <w:tcW w:w="8779" w:type="dxa"/>
          </w:tcPr>
          <w:p w14:paraId="5BBCFEAE">
            <w:pPr>
              <w:spacing w:line="360" w:lineRule="auto"/>
              <w:rPr>
                <w:b/>
                <w:bCs/>
                <w:color w:val="auto"/>
                <w:sz w:val="24"/>
              </w:rPr>
            </w:pPr>
            <w:r>
              <w:rPr>
                <w:b/>
                <w:bCs/>
                <w:color w:val="auto"/>
                <w:sz w:val="24"/>
              </w:rPr>
              <w:t>2、噪声预测</w:t>
            </w:r>
          </w:p>
          <w:p w14:paraId="12E4A76A">
            <w:pPr>
              <w:spacing w:line="360" w:lineRule="auto"/>
              <w:rPr>
                <w:snapToGrid w:val="0"/>
                <w:color w:val="auto"/>
                <w:sz w:val="24"/>
              </w:rPr>
            </w:pPr>
            <w:r>
              <w:rPr>
                <w:snapToGrid w:val="0"/>
                <w:color w:val="auto"/>
                <w:sz w:val="24"/>
              </w:rPr>
              <w:t>（1）预测模式</w:t>
            </w:r>
          </w:p>
          <w:p w14:paraId="706FA3E0">
            <w:pPr>
              <w:adjustRightInd w:val="0"/>
              <w:snapToGrid w:val="0"/>
              <w:spacing w:line="360" w:lineRule="auto"/>
              <w:ind w:firstLine="480" w:firstLineChars="200"/>
              <w:rPr>
                <w:color w:val="auto"/>
                <w:sz w:val="24"/>
              </w:rPr>
            </w:pPr>
            <w:r>
              <w:rPr>
                <w:color w:val="auto"/>
                <w:sz w:val="24"/>
              </w:rPr>
              <w:t>用《环境影响评价技术导则—声环境》（</w:t>
            </w:r>
            <w:r>
              <w:rPr>
                <w:color w:val="auto"/>
                <w:sz w:val="24"/>
                <w:lang w:val="en-GB"/>
              </w:rPr>
              <w:t>HJ2.4-2021）</w:t>
            </w:r>
            <w:r>
              <w:rPr>
                <w:color w:val="auto"/>
                <w:sz w:val="24"/>
              </w:rPr>
              <w:t>中的工业噪声预测模式。</w:t>
            </w:r>
          </w:p>
          <w:p w14:paraId="6DD79C39">
            <w:pPr>
              <w:spacing w:line="360" w:lineRule="auto"/>
              <w:ind w:firstLine="480" w:firstLineChars="200"/>
              <w:rPr>
                <w:color w:val="auto"/>
                <w:sz w:val="24"/>
              </w:rPr>
            </w:pPr>
            <w:r>
              <w:rPr>
                <w:color w:val="auto"/>
                <w:sz w:val="24"/>
              </w:rPr>
              <w:pict>
                <v:shape id="Object 14" o:spid="_x0000_s1030" o:spt="75" type="#_x0000_t75" style="position:absolute;left:0pt;margin-left:120.7pt;margin-top:19.15pt;height:38pt;width:150.95pt;z-index:-251655168;mso-width-relative:page;mso-height-relative:page;" o:ole="t" filled="f" o:preferrelative="t" stroked="f" coordsize="21600,21600">
                  <v:path/>
                  <v:fill on="f" focussize="0,0"/>
                  <v:stroke on="f" joinstyle="miter"/>
                  <v:imagedata r:id="rId29" embosscolor="#FFFFFF" o:title=""/>
                  <o:lock v:ext="edit" aspectratio="t"/>
                </v:shape>
                <o:OLEObject Type="Embed" ProgID="" ShapeID="Object 14" DrawAspect="Content" ObjectID="_1468075725" r:id="rId28">
                  <o:LockedField>false</o:LockedField>
                </o:OLEObject>
              </w:pict>
            </w:r>
            <w:r>
              <w:rPr>
                <w:color w:val="auto"/>
                <w:sz w:val="24"/>
              </w:rPr>
              <w:t xml:space="preserve">  ①计算某个室内声源在靠近围护结构处的倍频带声压级：</w:t>
            </w:r>
          </w:p>
          <w:p w14:paraId="456F6642">
            <w:pPr>
              <w:spacing w:line="360" w:lineRule="auto"/>
              <w:ind w:firstLine="480" w:firstLineChars="200"/>
              <w:rPr>
                <w:color w:val="auto"/>
                <w:sz w:val="24"/>
              </w:rPr>
            </w:pPr>
          </w:p>
          <w:p w14:paraId="7D3C0445">
            <w:pPr>
              <w:pStyle w:val="102"/>
              <w:rPr>
                <w:color w:val="auto"/>
              </w:rPr>
            </w:pPr>
          </w:p>
          <w:p w14:paraId="0C2BDA1C">
            <w:pPr>
              <w:pStyle w:val="102"/>
              <w:rPr>
                <w:color w:val="auto"/>
              </w:rPr>
            </w:pPr>
            <w:r>
              <w:rPr>
                <w:color w:val="auto"/>
              </w:rPr>
              <w:t xml:space="preserve">式中：Loct,1  </w:t>
            </w:r>
            <w:r>
              <w:rPr>
                <w:color w:val="auto"/>
              </w:rPr>
              <w:sym w:font="Symbol" w:char="F0BE"/>
            </w:r>
            <w:r>
              <w:rPr>
                <w:color w:val="auto"/>
              </w:rPr>
              <w:t xml:space="preserve"> 某个室内声源在靠近围护结构处产生的倍频带声压级，dB；</w:t>
            </w:r>
          </w:p>
          <w:p w14:paraId="0B677614">
            <w:pPr>
              <w:pStyle w:val="102"/>
              <w:rPr>
                <w:color w:val="auto"/>
              </w:rPr>
            </w:pPr>
            <w:r>
              <w:rPr>
                <w:color w:val="auto"/>
              </w:rPr>
              <w:t xml:space="preserve">Lw oct </w:t>
            </w:r>
            <w:r>
              <w:rPr>
                <w:color w:val="auto"/>
              </w:rPr>
              <w:sym w:font="Symbol" w:char="F0BE"/>
            </w:r>
            <w:r>
              <w:rPr>
                <w:color w:val="auto"/>
              </w:rPr>
              <w:t xml:space="preserve">  某个声源的倍频带声功率级，dB；</w:t>
            </w:r>
          </w:p>
          <w:p w14:paraId="58984256">
            <w:pPr>
              <w:pStyle w:val="102"/>
              <w:rPr>
                <w:color w:val="auto"/>
              </w:rPr>
            </w:pPr>
            <w:r>
              <w:rPr>
                <w:color w:val="auto"/>
              </w:rPr>
              <w:t>r1</w:t>
            </w:r>
            <w:r>
              <w:rPr>
                <w:color w:val="auto"/>
              </w:rPr>
              <w:sym w:font="Symbol" w:char="F0BE"/>
            </w:r>
            <w:r>
              <w:rPr>
                <w:color w:val="auto"/>
              </w:rPr>
              <w:t xml:space="preserve">  室内某个声源与靠近围护结构处的距离，m；</w:t>
            </w:r>
          </w:p>
          <w:p w14:paraId="76ACE208">
            <w:pPr>
              <w:pStyle w:val="102"/>
              <w:rPr>
                <w:color w:val="auto"/>
              </w:rPr>
            </w:pPr>
            <w:r>
              <w:rPr>
                <w:color w:val="auto"/>
              </w:rPr>
              <w:t xml:space="preserve">R </w:t>
            </w:r>
            <w:r>
              <w:rPr>
                <w:color w:val="auto"/>
              </w:rPr>
              <w:sym w:font="Symbol" w:char="F0BE"/>
            </w:r>
            <w:r>
              <w:rPr>
                <w:color w:val="auto"/>
              </w:rPr>
              <w:t xml:space="preserve"> 房间常数；</w:t>
            </w:r>
          </w:p>
          <w:p w14:paraId="686562F3">
            <w:pPr>
              <w:pStyle w:val="102"/>
              <w:rPr>
                <w:color w:val="auto"/>
              </w:rPr>
            </w:pPr>
            <w:r>
              <w:rPr>
                <w:color w:val="auto"/>
              </w:rPr>
              <w:t>Q</w:t>
            </w:r>
            <w:r>
              <w:rPr>
                <w:color w:val="auto"/>
              </w:rPr>
              <w:sym w:font="Symbol" w:char="F0BE"/>
            </w:r>
            <w:r>
              <w:rPr>
                <w:color w:val="auto"/>
              </w:rPr>
              <w:t xml:space="preserve"> 方向性因子，无量纲值。</w:t>
            </w:r>
          </w:p>
          <w:p w14:paraId="768461F8">
            <w:pPr>
              <w:pStyle w:val="102"/>
              <w:rPr>
                <w:color w:val="auto"/>
              </w:rPr>
            </w:pPr>
            <w:r>
              <w:rPr>
                <w:color w:val="auto"/>
              </w:rPr>
              <w:t>② 计算所有室内声源在靠近围护结构处产生的总倍频带声压级：</w:t>
            </w:r>
            <w:r>
              <w:rPr>
                <w:color w:val="auto"/>
              </w:rPr>
              <w:tab/>
            </w:r>
          </w:p>
          <w:p w14:paraId="1FCCFDD4">
            <w:pPr>
              <w:pStyle w:val="102"/>
              <w:jc w:val="center"/>
              <w:rPr>
                <w:color w:val="auto"/>
              </w:rPr>
            </w:pPr>
            <w:r>
              <w:rPr>
                <w:color w:val="auto"/>
              </w:rPr>
              <w:object>
                <v:shape id="_x0000_i1025" o:spt="75" type="#_x0000_t75" style="height:36.2pt;width:139.4pt;" o:ole="t" filled="f" o:preferrelative="t" stroked="f" coordsize="21600,21600">
                  <v:path/>
                  <v:fill on="f" focussize="0,0"/>
                  <v:stroke on="f" joinstyle="miter"/>
                  <v:imagedata r:id="rId31" embosscolor="#FFFFFF" o:title=""/>
                  <o:lock v:ext="edit" aspectratio="t"/>
                  <w10:wrap type="none"/>
                  <w10:anchorlock/>
                </v:shape>
                <o:OLEObject Type="Embed" ProgID="Equations" ShapeID="_x0000_i1025" DrawAspect="Content" ObjectID="_1468075726" r:id="rId30">
                  <o:LockedField>false</o:LockedField>
                </o:OLEObject>
              </w:object>
            </w:r>
          </w:p>
          <w:p w14:paraId="3037CB44">
            <w:pPr>
              <w:pStyle w:val="102"/>
              <w:rPr>
                <w:color w:val="auto"/>
              </w:rPr>
            </w:pPr>
            <w:r>
              <w:rPr>
                <w:color w:val="auto"/>
              </w:rPr>
              <w:t>③ 计算室外靠近围护结构处的声压级：</w:t>
            </w:r>
          </w:p>
          <w:p w14:paraId="4A1DC276">
            <w:pPr>
              <w:pStyle w:val="102"/>
              <w:jc w:val="center"/>
              <w:rPr>
                <w:color w:val="auto"/>
              </w:rPr>
            </w:pPr>
            <w:r>
              <w:rPr>
                <w:color w:val="auto"/>
              </w:rPr>
              <w:object>
                <v:shape id="_x0000_i1026" o:spt="75" type="#_x0000_t75" style="height:18.75pt;width:146.9pt;" o:ole="t" filled="f" o:preferrelative="t" stroked="f" coordsize="21600,21600">
                  <v:path/>
                  <v:fill on="f" focussize="0,0"/>
                  <v:stroke on="f" joinstyle="miter"/>
                  <v:imagedata r:id="rId33" embosscolor="#FFFFFF" o:title=""/>
                  <o:lock v:ext="edit" aspectratio="t"/>
                  <w10:wrap type="none"/>
                  <w10:anchorlock/>
                </v:shape>
                <o:OLEObject Type="Embed" ProgID="Equations" ShapeID="_x0000_i1026" DrawAspect="Content" ObjectID="_1468075727" r:id="rId32">
                  <o:LockedField>false</o:LockedField>
                </o:OLEObject>
              </w:object>
            </w:r>
          </w:p>
          <w:p w14:paraId="59EEAE2E">
            <w:pPr>
              <w:pStyle w:val="102"/>
              <w:rPr>
                <w:color w:val="auto"/>
              </w:rPr>
            </w:pPr>
            <w:r>
              <w:rPr>
                <w:color w:val="auto"/>
              </w:rPr>
              <w:t>④ 将室外声级 Loct, 2 (T) 和透声面积换算成等效的室外声源，计算等效声源第i个倍频带的声功率级 Lw oct ：</w:t>
            </w:r>
          </w:p>
          <w:p w14:paraId="24AE7C21">
            <w:pPr>
              <w:pStyle w:val="102"/>
              <w:jc w:val="center"/>
              <w:rPr>
                <w:color w:val="auto"/>
              </w:rPr>
            </w:pPr>
            <w:r>
              <w:rPr>
                <w:color w:val="auto"/>
              </w:rPr>
              <w:object>
                <v:shape id="_x0000_i1027" o:spt="75" type="#_x0000_t75" style="height:19.55pt;width:151.5pt;" o:ole="t" filled="f" o:preferrelative="t" stroked="f" coordsize="21600,21600">
                  <v:path/>
                  <v:fill on="f" focussize="0,0"/>
                  <v:stroke on="f" joinstyle="miter"/>
                  <v:imagedata r:id="rId35" embosscolor="#FFFFFF" o:title=""/>
                  <o:lock v:ext="edit" aspectratio="t"/>
                  <w10:wrap type="none"/>
                  <w10:anchorlock/>
                </v:shape>
                <o:OLEObject Type="Embed" ProgID="Equations" ShapeID="_x0000_i1027" DrawAspect="Content" ObjectID="_1468075728" r:id="rId34">
                  <o:LockedField>false</o:LockedField>
                </o:OLEObject>
              </w:object>
            </w:r>
          </w:p>
          <w:p w14:paraId="5B8C20EB">
            <w:pPr>
              <w:pStyle w:val="102"/>
              <w:rPr>
                <w:color w:val="auto"/>
              </w:rPr>
            </w:pPr>
            <w:r>
              <w:rPr>
                <w:color w:val="auto"/>
              </w:rPr>
              <w:t>式中：S — 透声面积，m</w:t>
            </w:r>
            <w:r>
              <w:rPr>
                <w:color w:val="auto"/>
                <w:vertAlign w:val="superscript"/>
              </w:rPr>
              <w:t>2</w:t>
            </w:r>
            <w:r>
              <w:rPr>
                <w:color w:val="auto"/>
              </w:rPr>
              <w:t>。</w:t>
            </w:r>
          </w:p>
          <w:p w14:paraId="17606299">
            <w:pPr>
              <w:pStyle w:val="102"/>
              <w:rPr>
                <w:color w:val="auto"/>
              </w:rPr>
            </w:pPr>
            <w:r>
              <w:rPr>
                <w:color w:val="auto"/>
              </w:rPr>
              <w:t>⑤ 等效室外声源的位置为围护结构的位置，其倍频带声功率级为Lw oct，由此按室外声源方法计算等效室外声源在预测点产生的声级。</w:t>
            </w:r>
          </w:p>
          <w:p w14:paraId="301B7264">
            <w:pPr>
              <w:pStyle w:val="102"/>
              <w:rPr>
                <w:color w:val="auto"/>
              </w:rPr>
            </w:pPr>
            <w:r>
              <w:rPr>
                <w:color w:val="auto"/>
              </w:rPr>
              <w:t>⑥ 计算某个室外声源在预测点产生的倍频带声压级：</w:t>
            </w:r>
          </w:p>
          <w:p w14:paraId="2BFD1632">
            <w:pPr>
              <w:pStyle w:val="102"/>
              <w:jc w:val="center"/>
              <w:rPr>
                <w:color w:val="auto"/>
              </w:rPr>
            </w:pPr>
            <w:r>
              <w:rPr>
                <w:color w:val="auto"/>
              </w:rPr>
              <w:object>
                <v:shape id="_x0000_i1028" o:spt="75" type="#_x0000_t75" style="height:17.9pt;width:171.05pt;" o:ole="t" filled="f" o:preferrelative="t" stroked="f" coordsize="21600,21600">
                  <v:path/>
                  <v:fill on="f" focussize="0,0"/>
                  <v:stroke on="f" joinstyle="miter"/>
                  <v:imagedata r:id="rId37" embosscolor="#FFFFFF" o:title=""/>
                  <o:lock v:ext="edit" aspectratio="t"/>
                  <w10:wrap type="none"/>
                  <w10:anchorlock/>
                </v:shape>
                <o:OLEObject Type="Embed" ProgID="Equations" ShapeID="_x0000_i1028" DrawAspect="Content" ObjectID="_1468075729" r:id="rId36">
                  <o:LockedField>false</o:LockedField>
                </o:OLEObject>
              </w:object>
            </w:r>
          </w:p>
          <w:p w14:paraId="3FE1D405">
            <w:pPr>
              <w:pStyle w:val="102"/>
              <w:rPr>
                <w:color w:val="auto"/>
              </w:rPr>
            </w:pPr>
            <w:r>
              <w:rPr>
                <w:color w:val="auto"/>
              </w:rPr>
              <w:t xml:space="preserve">式中：Loct (r)  </w:t>
            </w:r>
            <w:r>
              <w:rPr>
                <w:color w:val="auto"/>
              </w:rPr>
              <w:sym w:font="Symbol" w:char="F0BE"/>
            </w:r>
            <w:r>
              <w:rPr>
                <w:color w:val="auto"/>
              </w:rPr>
              <w:t xml:space="preserve"> 点声源在预测点产生的倍频带声压级，dB；</w:t>
            </w:r>
          </w:p>
          <w:p w14:paraId="18EF5D67">
            <w:pPr>
              <w:pStyle w:val="102"/>
              <w:rPr>
                <w:color w:val="auto"/>
              </w:rPr>
            </w:pPr>
            <w:r>
              <w:rPr>
                <w:color w:val="auto"/>
              </w:rPr>
              <w:t>Loct (r</w:t>
            </w:r>
            <w:r>
              <w:rPr>
                <w:color w:val="auto"/>
                <w:vertAlign w:val="subscript"/>
              </w:rPr>
              <w:t>0</w:t>
            </w:r>
            <w:r>
              <w:rPr>
                <w:color w:val="auto"/>
              </w:rPr>
              <w:t xml:space="preserve">) </w:t>
            </w:r>
            <w:r>
              <w:rPr>
                <w:color w:val="auto"/>
              </w:rPr>
              <w:sym w:font="Symbol" w:char="F0BE"/>
            </w:r>
            <w:r>
              <w:rPr>
                <w:color w:val="auto"/>
              </w:rPr>
              <w:t xml:space="preserve"> 参考位置r</w:t>
            </w:r>
            <w:r>
              <w:rPr>
                <w:color w:val="auto"/>
                <w:vertAlign w:val="subscript"/>
              </w:rPr>
              <w:t>0</w:t>
            </w:r>
            <w:r>
              <w:rPr>
                <w:color w:val="auto"/>
              </w:rPr>
              <w:t>处的倍频带声压级，dB；</w:t>
            </w:r>
          </w:p>
          <w:p w14:paraId="5FABF096">
            <w:pPr>
              <w:pStyle w:val="102"/>
              <w:rPr>
                <w:color w:val="auto"/>
              </w:rPr>
            </w:pPr>
            <w:r>
              <w:rPr>
                <w:color w:val="auto"/>
              </w:rPr>
              <w:t>r</w:t>
            </w:r>
            <w:r>
              <w:rPr>
                <w:color w:val="auto"/>
              </w:rPr>
              <w:sym w:font="Symbol" w:char="F0BE"/>
            </w:r>
            <w:r>
              <w:rPr>
                <w:color w:val="auto"/>
              </w:rPr>
              <w:t xml:space="preserve"> 预测点距声源的距离，m；</w:t>
            </w:r>
          </w:p>
          <w:p w14:paraId="4A244B55">
            <w:pPr>
              <w:pStyle w:val="102"/>
              <w:rPr>
                <w:color w:val="auto"/>
              </w:rPr>
            </w:pPr>
            <w:r>
              <w:rPr>
                <w:color w:val="auto"/>
              </w:rPr>
              <w:t>r</w:t>
            </w:r>
            <w:r>
              <w:rPr>
                <w:color w:val="auto"/>
                <w:vertAlign w:val="subscript"/>
              </w:rPr>
              <w:t>0</w:t>
            </w:r>
            <w:r>
              <w:rPr>
                <w:color w:val="auto"/>
              </w:rPr>
              <w:sym w:font="Symbol" w:char="F0BE"/>
            </w:r>
            <w:r>
              <w:rPr>
                <w:color w:val="auto"/>
              </w:rPr>
              <w:t xml:space="preserve"> 参考位置距声源的距离，m；</w:t>
            </w:r>
          </w:p>
          <w:p w14:paraId="27C7F4DA">
            <w:pPr>
              <w:pStyle w:val="102"/>
              <w:rPr>
                <w:color w:val="auto"/>
              </w:rPr>
            </w:pPr>
            <w:r>
              <w:rPr>
                <w:color w:val="auto"/>
              </w:rPr>
              <w:sym w:font="Symbol" w:char="F044"/>
            </w:r>
            <w:r>
              <w:rPr>
                <w:color w:val="auto"/>
              </w:rPr>
              <w:t xml:space="preserve">Loct </w:t>
            </w:r>
            <w:r>
              <w:rPr>
                <w:color w:val="auto"/>
              </w:rPr>
              <w:sym w:font="Symbol" w:char="F0BE"/>
            </w:r>
            <w:r>
              <w:rPr>
                <w:color w:val="auto"/>
              </w:rPr>
              <w:t xml:space="preserve"> 各种因素引起的衰减量(包括声屏障、遮挡物、空气吸收、地面效应引起的衰减量，计算方法详见导则)。</w:t>
            </w:r>
          </w:p>
          <w:p w14:paraId="180E56AD">
            <w:pPr>
              <w:pStyle w:val="102"/>
              <w:rPr>
                <w:color w:val="auto"/>
              </w:rPr>
            </w:pPr>
            <w:r>
              <w:rPr>
                <w:color w:val="auto"/>
              </w:rPr>
              <w:t>⑦ 由各倍频带声压级合成计算该声源产生的A声级Leq(A)。</w:t>
            </w:r>
          </w:p>
          <w:p w14:paraId="12B71C0A">
            <w:pPr>
              <w:pStyle w:val="102"/>
              <w:rPr>
                <w:color w:val="auto"/>
              </w:rPr>
            </w:pPr>
            <w:r>
              <w:rPr>
                <w:color w:val="auto"/>
              </w:rPr>
              <w:t>⑧ 计算总声压级</w:t>
            </w:r>
          </w:p>
          <w:p w14:paraId="74DFE25B">
            <w:pPr>
              <w:pStyle w:val="102"/>
              <w:rPr>
                <w:color w:val="auto"/>
              </w:rPr>
            </w:pPr>
            <w:r>
              <w:rPr>
                <w:color w:val="auto"/>
              </w:rPr>
              <w:t>设第i个室外声源在预测点产生的A声级为LA in,i，在T时间内该声源工作时间为tin,i；第j个等效室外声源在预测点产生的A声级为LA out,j ，在T时间内该声源工作时间为tout,j ，则预测点的总等效声级为：</w:t>
            </w:r>
          </w:p>
          <w:p w14:paraId="02B563FF">
            <w:pPr>
              <w:spacing w:line="360" w:lineRule="auto"/>
              <w:ind w:firstLine="480" w:firstLineChars="200"/>
              <w:rPr>
                <w:color w:val="auto"/>
                <w:sz w:val="24"/>
              </w:rPr>
            </w:pPr>
            <w:r>
              <w:rPr>
                <w:color w:val="auto"/>
                <w:sz w:val="24"/>
              </w:rPr>
              <w:pict>
                <v:shape id="Object 15" o:spid="_x0000_s1031" o:spt="75" type="#_x0000_t75" style="position:absolute;left:0pt;margin-left:77.45pt;margin-top:0.15pt;height:38pt;width:249pt;z-index:-251654144;mso-width-relative:page;mso-height-relative:page;" o:ole="t" filled="f" o:preferrelative="t" stroked="f" coordsize="21600,21600">
                  <v:path/>
                  <v:fill on="f" focussize="0,0"/>
                  <v:stroke on="f" joinstyle="miter"/>
                  <v:imagedata r:id="rId39" embosscolor="#FFFFFF" o:title=""/>
                  <o:lock v:ext="edit" aspectratio="t"/>
                </v:shape>
                <o:OLEObject Type="Embed" ProgID="" ShapeID="Object 15" DrawAspect="Content" ObjectID="_1468075730" r:id="rId38">
                  <o:LockedField>false</o:LockedField>
                </o:OLEObject>
              </w:pict>
            </w:r>
          </w:p>
          <w:p w14:paraId="0B9C43B1">
            <w:pPr>
              <w:pStyle w:val="14"/>
              <w:spacing w:before="0" w:after="0" w:line="360" w:lineRule="auto"/>
              <w:ind w:right="0" w:firstLine="480" w:firstLineChars="200"/>
              <w:rPr>
                <w:color w:val="auto"/>
                <w:sz w:val="24"/>
                <w:szCs w:val="24"/>
              </w:rPr>
            </w:pPr>
          </w:p>
          <w:p w14:paraId="0C64A9F3">
            <w:pPr>
              <w:pStyle w:val="102"/>
              <w:rPr>
                <w:color w:val="auto"/>
              </w:rPr>
            </w:pPr>
            <w:r>
              <w:rPr>
                <w:color w:val="auto"/>
              </w:rPr>
              <w:t>式中：T — 计算等效声级的时间，h；</w:t>
            </w:r>
          </w:p>
          <w:p w14:paraId="02A241A0">
            <w:pPr>
              <w:pStyle w:val="102"/>
              <w:rPr>
                <w:color w:val="auto"/>
              </w:rPr>
            </w:pPr>
            <w:r>
              <w:rPr>
                <w:color w:val="auto"/>
              </w:rPr>
              <w:t>N — 室外声源个数，M为等效室外声源个数。</w:t>
            </w:r>
          </w:p>
          <w:p w14:paraId="1656D7D1">
            <w:pPr>
              <w:pStyle w:val="40"/>
              <w:jc w:val="both"/>
              <w:rPr>
                <w:color w:val="auto"/>
              </w:rPr>
            </w:pPr>
            <w:r>
              <w:rPr>
                <w:color w:val="auto"/>
              </w:rPr>
              <w:t>将设备噪声源在厂区平面图上进行定位，利用上述的预测数字模型，将有关参数代入公式计算，预测拟建工程噪声源对各向厂界的影响。</w:t>
            </w:r>
          </w:p>
          <w:p w14:paraId="4AFD381F">
            <w:pPr>
              <w:spacing w:line="360" w:lineRule="auto"/>
              <w:ind w:firstLine="480" w:firstLineChars="200"/>
              <w:rPr>
                <w:color w:val="auto"/>
                <w:sz w:val="24"/>
              </w:rPr>
            </w:pPr>
            <w:r>
              <w:rPr>
                <w:color w:val="auto"/>
                <w:sz w:val="24"/>
              </w:rPr>
              <w:t>项目在设备选型过程中充分考虑声学指标，尽量选用低噪设备和减振降噪措施，生产厂房的隔声、吸音效果较好，因此，厂界外1米处声级比声源声级有大幅降低。</w:t>
            </w:r>
          </w:p>
          <w:p w14:paraId="5E34421A">
            <w:pPr>
              <w:spacing w:line="360" w:lineRule="auto"/>
              <w:rPr>
                <w:snapToGrid w:val="0"/>
                <w:color w:val="auto"/>
                <w:sz w:val="24"/>
              </w:rPr>
            </w:pPr>
            <w:r>
              <w:rPr>
                <w:snapToGrid w:val="0"/>
                <w:color w:val="auto"/>
                <w:sz w:val="24"/>
              </w:rPr>
              <w:t>（2）预测结果与评价</w:t>
            </w:r>
          </w:p>
          <w:p w14:paraId="56F32C25">
            <w:pPr>
              <w:spacing w:line="360" w:lineRule="auto"/>
              <w:ind w:firstLine="480" w:firstLineChars="200"/>
              <w:rPr>
                <w:snapToGrid w:val="0"/>
                <w:color w:val="auto"/>
                <w:sz w:val="24"/>
              </w:rPr>
            </w:pPr>
            <w:r>
              <w:rPr>
                <w:snapToGrid w:val="0"/>
                <w:color w:val="auto"/>
                <w:sz w:val="24"/>
              </w:rPr>
              <w:t>项目厂界噪声贡献结果见下表。</w:t>
            </w:r>
          </w:p>
          <w:p w14:paraId="722463DA">
            <w:pPr>
              <w:keepNext/>
              <w:keepLines/>
              <w:jc w:val="center"/>
              <w:rPr>
                <w:rFonts w:eastAsia="黑体"/>
                <w:b/>
                <w:bCs/>
                <w:color w:val="auto"/>
                <w:sz w:val="24"/>
                <w:szCs w:val="32"/>
              </w:rPr>
            </w:pPr>
            <w:r>
              <w:rPr>
                <w:b/>
                <w:bCs/>
                <w:color w:val="auto"/>
                <w:sz w:val="24"/>
                <w:szCs w:val="32"/>
              </w:rPr>
              <w:t>表</w:t>
            </w:r>
            <w:r>
              <w:rPr>
                <w:b/>
                <w:bCs/>
                <w:color w:val="auto"/>
                <w:sz w:val="21"/>
                <w:szCs w:val="24"/>
              </w:rPr>
              <w:t>4-</w:t>
            </w:r>
            <w:r>
              <w:rPr>
                <w:rFonts w:hint="eastAsia"/>
                <w:b/>
                <w:bCs/>
                <w:color w:val="auto"/>
                <w:sz w:val="21"/>
                <w:szCs w:val="24"/>
                <w:lang w:val="en-US" w:eastAsia="zh-CN"/>
              </w:rPr>
              <w:t>21</w:t>
            </w:r>
            <w:r>
              <w:rPr>
                <w:b/>
                <w:bCs/>
                <w:color w:val="auto"/>
                <w:sz w:val="21"/>
                <w:szCs w:val="24"/>
              </w:rPr>
              <w:t xml:space="preserve"> 项目</w:t>
            </w:r>
            <w:r>
              <w:rPr>
                <w:rFonts w:hint="eastAsia"/>
                <w:b/>
                <w:bCs/>
                <w:color w:val="auto"/>
                <w:sz w:val="21"/>
                <w:szCs w:val="24"/>
                <w:lang w:eastAsia="zh-CN"/>
              </w:rPr>
              <w:t>所在楼四周</w:t>
            </w:r>
            <w:r>
              <w:rPr>
                <w:b/>
                <w:bCs/>
                <w:color w:val="auto"/>
                <w:sz w:val="21"/>
                <w:szCs w:val="24"/>
              </w:rPr>
              <w:t>噪声评价表   单位：dB（A）</w:t>
            </w:r>
          </w:p>
          <w:tbl>
            <w:tblPr>
              <w:tblStyle w:val="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8"/>
              <w:gridCol w:w="3206"/>
              <w:gridCol w:w="2137"/>
              <w:gridCol w:w="2139"/>
            </w:tblGrid>
            <w:tr w14:paraId="7570D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vAlign w:val="center"/>
                </w:tcPr>
                <w:p w14:paraId="2A856403">
                  <w:pPr>
                    <w:jc w:val="center"/>
                    <w:rPr>
                      <w:bCs/>
                      <w:color w:val="auto"/>
                      <w:szCs w:val="21"/>
                    </w:rPr>
                  </w:pPr>
                  <w:r>
                    <w:rPr>
                      <w:bCs/>
                      <w:color w:val="auto"/>
                      <w:szCs w:val="21"/>
                    </w:rPr>
                    <w:t>预测点</w:t>
                  </w:r>
                </w:p>
              </w:tc>
              <w:tc>
                <w:tcPr>
                  <w:tcW w:w="1874" w:type="pct"/>
                  <w:vAlign w:val="center"/>
                </w:tcPr>
                <w:p w14:paraId="63E20F1B">
                  <w:pPr>
                    <w:jc w:val="center"/>
                    <w:rPr>
                      <w:rFonts w:hint="eastAsia" w:eastAsia="宋体"/>
                      <w:bCs/>
                      <w:color w:val="auto"/>
                      <w:szCs w:val="21"/>
                      <w:lang w:eastAsia="zh-CN"/>
                    </w:rPr>
                  </w:pPr>
                  <w:r>
                    <w:rPr>
                      <w:bCs/>
                      <w:color w:val="auto"/>
                      <w:szCs w:val="21"/>
                    </w:rPr>
                    <w:t>贡献值</w:t>
                  </w:r>
                </w:p>
              </w:tc>
              <w:tc>
                <w:tcPr>
                  <w:tcW w:w="1249" w:type="pct"/>
                  <w:vAlign w:val="center"/>
                </w:tcPr>
                <w:p w14:paraId="13BE4464">
                  <w:pPr>
                    <w:jc w:val="center"/>
                    <w:rPr>
                      <w:bCs/>
                      <w:color w:val="auto"/>
                      <w:szCs w:val="21"/>
                    </w:rPr>
                  </w:pPr>
                  <w:r>
                    <w:rPr>
                      <w:bCs/>
                      <w:color w:val="auto"/>
                      <w:szCs w:val="21"/>
                    </w:rPr>
                    <w:t>标准值</w:t>
                  </w:r>
                </w:p>
              </w:tc>
              <w:tc>
                <w:tcPr>
                  <w:tcW w:w="1250" w:type="pct"/>
                  <w:vAlign w:val="center"/>
                </w:tcPr>
                <w:p w14:paraId="2F432ACB">
                  <w:pPr>
                    <w:jc w:val="center"/>
                    <w:rPr>
                      <w:bCs/>
                      <w:color w:val="auto"/>
                      <w:szCs w:val="21"/>
                    </w:rPr>
                  </w:pPr>
                  <w:r>
                    <w:rPr>
                      <w:bCs/>
                      <w:color w:val="auto"/>
                      <w:szCs w:val="21"/>
                    </w:rPr>
                    <w:t>达标情况</w:t>
                  </w:r>
                </w:p>
              </w:tc>
            </w:tr>
            <w:tr w14:paraId="79713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624" w:type="pct"/>
                  <w:vAlign w:val="center"/>
                </w:tcPr>
                <w:p w14:paraId="6AFA9BF2">
                  <w:pPr>
                    <w:jc w:val="center"/>
                    <w:rPr>
                      <w:rFonts w:hint="eastAsia" w:eastAsia="宋体"/>
                      <w:bCs/>
                      <w:color w:val="auto"/>
                      <w:szCs w:val="21"/>
                      <w:lang w:eastAsia="zh-CN"/>
                    </w:rPr>
                  </w:pPr>
                  <w:r>
                    <w:rPr>
                      <w:color w:val="auto"/>
                      <w:szCs w:val="21"/>
                    </w:rPr>
                    <w:t>东</w:t>
                  </w:r>
                  <w:r>
                    <w:rPr>
                      <w:rFonts w:hint="eastAsia"/>
                      <w:color w:val="auto"/>
                      <w:szCs w:val="21"/>
                      <w:lang w:eastAsia="zh-CN"/>
                    </w:rPr>
                    <w:t>侧</w:t>
                  </w:r>
                </w:p>
              </w:tc>
              <w:tc>
                <w:tcPr>
                  <w:tcW w:w="1874" w:type="pct"/>
                  <w:vAlign w:val="center"/>
                </w:tcPr>
                <w:p w14:paraId="3047C412">
                  <w:pPr>
                    <w:jc w:val="center"/>
                    <w:rPr>
                      <w:rFonts w:hint="default" w:cs="Times New Roman"/>
                      <w:bCs/>
                      <w:color w:val="auto"/>
                      <w:sz w:val="21"/>
                      <w:szCs w:val="21"/>
                      <w:lang w:val="en-US" w:eastAsia="zh-CN"/>
                    </w:rPr>
                  </w:pPr>
                  <w:r>
                    <w:rPr>
                      <w:rFonts w:hint="eastAsia" w:cs="Times New Roman"/>
                      <w:bCs/>
                      <w:color w:val="auto"/>
                      <w:sz w:val="21"/>
                      <w:szCs w:val="21"/>
                      <w:lang w:val="en-US" w:eastAsia="zh-CN"/>
                    </w:rPr>
                    <w:t>38.9</w:t>
                  </w:r>
                </w:p>
              </w:tc>
              <w:tc>
                <w:tcPr>
                  <w:tcW w:w="1249" w:type="pct"/>
                  <w:vMerge w:val="restart"/>
                  <w:vAlign w:val="center"/>
                </w:tcPr>
                <w:p w14:paraId="768024BF">
                  <w:pPr>
                    <w:jc w:val="center"/>
                    <w:rPr>
                      <w:bCs/>
                      <w:color w:val="auto"/>
                      <w:szCs w:val="21"/>
                    </w:rPr>
                  </w:pPr>
                  <w:r>
                    <w:rPr>
                      <w:color w:val="auto"/>
                      <w:szCs w:val="21"/>
                    </w:rPr>
                    <w:t>昼间≤6</w:t>
                  </w:r>
                  <w:r>
                    <w:rPr>
                      <w:rFonts w:hint="eastAsia"/>
                      <w:color w:val="auto"/>
                      <w:szCs w:val="21"/>
                      <w:lang w:val="en-US" w:eastAsia="zh-CN"/>
                    </w:rPr>
                    <w:t>0</w:t>
                  </w:r>
                </w:p>
              </w:tc>
              <w:tc>
                <w:tcPr>
                  <w:tcW w:w="1250" w:type="pct"/>
                  <w:vAlign w:val="center"/>
                </w:tcPr>
                <w:p w14:paraId="0C89F23B">
                  <w:pPr>
                    <w:jc w:val="center"/>
                    <w:rPr>
                      <w:bCs/>
                      <w:color w:val="auto"/>
                      <w:szCs w:val="21"/>
                    </w:rPr>
                  </w:pPr>
                  <w:r>
                    <w:rPr>
                      <w:color w:val="auto"/>
                      <w:szCs w:val="21"/>
                    </w:rPr>
                    <w:t>达标</w:t>
                  </w:r>
                </w:p>
              </w:tc>
            </w:tr>
            <w:tr w14:paraId="7B453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vAlign w:val="center"/>
                </w:tcPr>
                <w:p w14:paraId="76A8CBF3">
                  <w:pPr>
                    <w:jc w:val="center"/>
                    <w:rPr>
                      <w:rFonts w:hint="eastAsia" w:eastAsia="宋体"/>
                      <w:bCs/>
                      <w:color w:val="auto"/>
                      <w:szCs w:val="21"/>
                      <w:lang w:eastAsia="zh-CN"/>
                    </w:rPr>
                  </w:pPr>
                  <w:r>
                    <w:rPr>
                      <w:color w:val="auto"/>
                      <w:szCs w:val="21"/>
                    </w:rPr>
                    <w:t>南</w:t>
                  </w:r>
                  <w:r>
                    <w:rPr>
                      <w:rFonts w:hint="eastAsia"/>
                      <w:color w:val="auto"/>
                      <w:szCs w:val="21"/>
                      <w:lang w:eastAsia="zh-CN"/>
                    </w:rPr>
                    <w:t>侧</w:t>
                  </w:r>
                </w:p>
              </w:tc>
              <w:tc>
                <w:tcPr>
                  <w:tcW w:w="1874" w:type="pct"/>
                  <w:vAlign w:val="center"/>
                </w:tcPr>
                <w:p w14:paraId="2ADB0999">
                  <w:pPr>
                    <w:jc w:val="center"/>
                    <w:rPr>
                      <w:rFonts w:hint="default" w:cs="Times New Roman"/>
                      <w:bCs/>
                      <w:color w:val="auto"/>
                      <w:sz w:val="21"/>
                      <w:szCs w:val="21"/>
                      <w:lang w:val="en-US" w:eastAsia="zh-CN"/>
                    </w:rPr>
                  </w:pPr>
                  <w:r>
                    <w:rPr>
                      <w:rFonts w:hint="eastAsia" w:cs="Times New Roman"/>
                      <w:bCs/>
                      <w:color w:val="auto"/>
                      <w:sz w:val="21"/>
                      <w:szCs w:val="21"/>
                      <w:lang w:val="en-US" w:eastAsia="zh-CN"/>
                    </w:rPr>
                    <w:t>39.1</w:t>
                  </w:r>
                </w:p>
              </w:tc>
              <w:tc>
                <w:tcPr>
                  <w:tcW w:w="1249" w:type="pct"/>
                  <w:vMerge w:val="continue"/>
                  <w:vAlign w:val="center"/>
                </w:tcPr>
                <w:p w14:paraId="47BEC0E2">
                  <w:pPr>
                    <w:jc w:val="center"/>
                    <w:rPr>
                      <w:bCs/>
                      <w:color w:val="auto"/>
                      <w:szCs w:val="21"/>
                    </w:rPr>
                  </w:pPr>
                </w:p>
              </w:tc>
              <w:tc>
                <w:tcPr>
                  <w:tcW w:w="1250" w:type="pct"/>
                  <w:vAlign w:val="center"/>
                </w:tcPr>
                <w:p w14:paraId="3E0C0D4D">
                  <w:pPr>
                    <w:jc w:val="center"/>
                    <w:rPr>
                      <w:bCs/>
                      <w:color w:val="auto"/>
                      <w:szCs w:val="21"/>
                    </w:rPr>
                  </w:pPr>
                  <w:r>
                    <w:rPr>
                      <w:color w:val="auto"/>
                      <w:szCs w:val="21"/>
                    </w:rPr>
                    <w:t>达标</w:t>
                  </w:r>
                </w:p>
              </w:tc>
            </w:tr>
            <w:tr w14:paraId="450F0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624" w:type="pct"/>
                  <w:vAlign w:val="center"/>
                </w:tcPr>
                <w:p w14:paraId="4A9B0C71">
                  <w:pPr>
                    <w:jc w:val="center"/>
                    <w:rPr>
                      <w:rFonts w:hint="eastAsia" w:eastAsia="宋体"/>
                      <w:bCs/>
                      <w:color w:val="auto"/>
                      <w:szCs w:val="21"/>
                      <w:lang w:eastAsia="zh-CN"/>
                    </w:rPr>
                  </w:pPr>
                  <w:r>
                    <w:rPr>
                      <w:color w:val="auto"/>
                      <w:szCs w:val="21"/>
                    </w:rPr>
                    <w:t>西</w:t>
                  </w:r>
                  <w:r>
                    <w:rPr>
                      <w:rFonts w:hint="eastAsia"/>
                      <w:color w:val="auto"/>
                      <w:szCs w:val="21"/>
                      <w:lang w:eastAsia="zh-CN"/>
                    </w:rPr>
                    <w:t>侧</w:t>
                  </w:r>
                </w:p>
              </w:tc>
              <w:tc>
                <w:tcPr>
                  <w:tcW w:w="1874" w:type="pct"/>
                  <w:vAlign w:val="center"/>
                </w:tcPr>
                <w:p w14:paraId="3C70AFA5">
                  <w:pPr>
                    <w:jc w:val="center"/>
                    <w:rPr>
                      <w:rFonts w:hint="default"/>
                      <w:bCs/>
                      <w:color w:val="auto"/>
                      <w:sz w:val="21"/>
                      <w:szCs w:val="21"/>
                      <w:lang w:val="en-US" w:eastAsia="zh-CN"/>
                    </w:rPr>
                  </w:pPr>
                  <w:r>
                    <w:rPr>
                      <w:rFonts w:hint="eastAsia"/>
                      <w:bCs/>
                      <w:color w:val="auto"/>
                      <w:sz w:val="21"/>
                      <w:szCs w:val="21"/>
                      <w:lang w:val="en-US" w:eastAsia="zh-CN"/>
                    </w:rPr>
                    <w:t>41.1</w:t>
                  </w:r>
                </w:p>
              </w:tc>
              <w:tc>
                <w:tcPr>
                  <w:tcW w:w="1249" w:type="pct"/>
                  <w:vMerge w:val="continue"/>
                  <w:vAlign w:val="center"/>
                </w:tcPr>
                <w:p w14:paraId="70571244">
                  <w:pPr>
                    <w:jc w:val="center"/>
                    <w:rPr>
                      <w:bCs/>
                      <w:color w:val="auto"/>
                      <w:szCs w:val="21"/>
                    </w:rPr>
                  </w:pPr>
                </w:p>
              </w:tc>
              <w:tc>
                <w:tcPr>
                  <w:tcW w:w="1250" w:type="pct"/>
                  <w:vAlign w:val="center"/>
                </w:tcPr>
                <w:p w14:paraId="1DDF0C55">
                  <w:pPr>
                    <w:jc w:val="center"/>
                    <w:rPr>
                      <w:bCs/>
                      <w:color w:val="auto"/>
                      <w:szCs w:val="21"/>
                    </w:rPr>
                  </w:pPr>
                  <w:r>
                    <w:rPr>
                      <w:color w:val="auto"/>
                      <w:szCs w:val="21"/>
                    </w:rPr>
                    <w:t>达标</w:t>
                  </w:r>
                </w:p>
              </w:tc>
            </w:tr>
            <w:tr w14:paraId="77C47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vAlign w:val="center"/>
                </w:tcPr>
                <w:p w14:paraId="6A7B29E9">
                  <w:pPr>
                    <w:jc w:val="center"/>
                    <w:rPr>
                      <w:rFonts w:hint="eastAsia" w:eastAsia="宋体"/>
                      <w:bCs/>
                      <w:color w:val="auto"/>
                      <w:szCs w:val="21"/>
                      <w:lang w:eastAsia="zh-CN"/>
                    </w:rPr>
                  </w:pPr>
                  <w:r>
                    <w:rPr>
                      <w:color w:val="auto"/>
                      <w:szCs w:val="21"/>
                    </w:rPr>
                    <w:t>北</w:t>
                  </w:r>
                  <w:r>
                    <w:rPr>
                      <w:rFonts w:hint="eastAsia"/>
                      <w:color w:val="auto"/>
                      <w:szCs w:val="21"/>
                      <w:lang w:eastAsia="zh-CN"/>
                    </w:rPr>
                    <w:t>侧</w:t>
                  </w:r>
                </w:p>
              </w:tc>
              <w:tc>
                <w:tcPr>
                  <w:tcW w:w="1874" w:type="pct"/>
                  <w:vAlign w:val="center"/>
                </w:tcPr>
                <w:p w14:paraId="3B0D3A43">
                  <w:pPr>
                    <w:jc w:val="center"/>
                    <w:rPr>
                      <w:rFonts w:hint="default" w:cs="Times New Roman"/>
                      <w:bCs/>
                      <w:color w:val="auto"/>
                      <w:sz w:val="21"/>
                      <w:szCs w:val="21"/>
                      <w:lang w:val="en-US" w:eastAsia="zh-CN"/>
                    </w:rPr>
                  </w:pPr>
                  <w:r>
                    <w:rPr>
                      <w:rFonts w:hint="eastAsia" w:cs="Times New Roman"/>
                      <w:bCs/>
                      <w:color w:val="auto"/>
                      <w:sz w:val="21"/>
                      <w:szCs w:val="21"/>
                      <w:lang w:val="en-US" w:eastAsia="zh-CN"/>
                    </w:rPr>
                    <w:t>40.1</w:t>
                  </w:r>
                </w:p>
              </w:tc>
              <w:tc>
                <w:tcPr>
                  <w:tcW w:w="1249" w:type="pct"/>
                  <w:vMerge w:val="continue"/>
                  <w:vAlign w:val="center"/>
                </w:tcPr>
                <w:p w14:paraId="6E2B1EEC">
                  <w:pPr>
                    <w:jc w:val="center"/>
                    <w:rPr>
                      <w:bCs/>
                      <w:color w:val="auto"/>
                      <w:szCs w:val="21"/>
                    </w:rPr>
                  </w:pPr>
                </w:p>
              </w:tc>
              <w:tc>
                <w:tcPr>
                  <w:tcW w:w="1250" w:type="pct"/>
                  <w:vAlign w:val="center"/>
                </w:tcPr>
                <w:p w14:paraId="6A29B8EE">
                  <w:pPr>
                    <w:jc w:val="center"/>
                    <w:rPr>
                      <w:bCs/>
                      <w:color w:val="auto"/>
                      <w:szCs w:val="21"/>
                    </w:rPr>
                  </w:pPr>
                  <w:r>
                    <w:rPr>
                      <w:color w:val="auto"/>
                      <w:szCs w:val="21"/>
                    </w:rPr>
                    <w:t>达标</w:t>
                  </w:r>
                </w:p>
              </w:tc>
            </w:tr>
          </w:tbl>
          <w:p w14:paraId="7E004F48">
            <w:pPr>
              <w:adjustRightInd w:val="0"/>
              <w:snapToGrid w:val="0"/>
              <w:spacing w:line="360" w:lineRule="auto"/>
              <w:ind w:firstLine="480" w:firstLineChars="200"/>
              <w:rPr>
                <w:bCs/>
                <w:color w:val="auto"/>
                <w:spacing w:val="-10"/>
                <w:sz w:val="24"/>
              </w:rPr>
            </w:pPr>
            <w:r>
              <w:rPr>
                <w:color w:val="auto"/>
                <w:sz w:val="24"/>
              </w:rPr>
              <w:t>由预测结果可知，本项目全部投产后，建设项目厂界处的噪声排放值均可达到《工业企业厂界环境噪声排放标准》（GB 12348-2008）中</w:t>
            </w:r>
            <w:r>
              <w:rPr>
                <w:rFonts w:hint="eastAsia"/>
                <w:color w:val="auto"/>
                <w:sz w:val="24"/>
                <w:lang w:val="en-US" w:eastAsia="zh-CN"/>
              </w:rPr>
              <w:t>2</w:t>
            </w:r>
            <w:r>
              <w:rPr>
                <w:color w:val="auto"/>
                <w:sz w:val="24"/>
              </w:rPr>
              <w:t>类标准的要求。因此，建设项目投产后对周围声环境影响较小。</w:t>
            </w:r>
          </w:p>
          <w:p w14:paraId="377140DB">
            <w:pPr>
              <w:adjustRightInd w:val="0"/>
              <w:snapToGrid w:val="0"/>
              <w:spacing w:line="360" w:lineRule="auto"/>
              <w:rPr>
                <w:bCs/>
                <w:color w:val="auto"/>
                <w:spacing w:val="-10"/>
                <w:sz w:val="24"/>
              </w:rPr>
            </w:pPr>
            <w:r>
              <w:rPr>
                <w:bCs/>
                <w:color w:val="auto"/>
                <w:spacing w:val="-10"/>
                <w:sz w:val="24"/>
              </w:rPr>
              <w:t>3．噪声自行监测要求</w:t>
            </w:r>
          </w:p>
          <w:p w14:paraId="45A24994">
            <w:pPr>
              <w:pStyle w:val="40"/>
              <w:jc w:val="both"/>
              <w:rPr>
                <w:color w:val="auto"/>
              </w:rPr>
            </w:pPr>
            <w:r>
              <w:rPr>
                <w:rFonts w:hint="eastAsia"/>
                <w:color w:val="auto"/>
                <w:lang w:eastAsia="zh-CN"/>
              </w:rPr>
              <w:t>根据《排污许可证申请与核发技术规范 工业噪声》（HJ 1301—2023），</w:t>
            </w:r>
            <w:r>
              <w:rPr>
                <w:color w:val="auto"/>
              </w:rPr>
              <w:t>本项目运行期噪声监测方案详见下表。</w:t>
            </w:r>
          </w:p>
          <w:p w14:paraId="28BF5B6B">
            <w:pPr>
              <w:adjustRightInd w:val="0"/>
              <w:snapToGrid w:val="0"/>
              <w:jc w:val="center"/>
              <w:rPr>
                <w:b/>
                <w:bCs/>
                <w:color w:val="auto"/>
                <w:spacing w:val="-10"/>
                <w:sz w:val="21"/>
                <w:szCs w:val="21"/>
              </w:rPr>
            </w:pPr>
            <w:r>
              <w:rPr>
                <w:b/>
                <w:bCs/>
                <w:color w:val="auto"/>
                <w:spacing w:val="-10"/>
                <w:sz w:val="21"/>
                <w:szCs w:val="21"/>
              </w:rPr>
              <w:t>表4-</w:t>
            </w:r>
            <w:r>
              <w:rPr>
                <w:rFonts w:hint="eastAsia"/>
                <w:b/>
                <w:bCs/>
                <w:color w:val="auto"/>
                <w:spacing w:val="-10"/>
                <w:sz w:val="21"/>
                <w:szCs w:val="21"/>
                <w:lang w:val="en-US" w:eastAsia="zh-CN"/>
              </w:rPr>
              <w:t>22</w:t>
            </w:r>
            <w:r>
              <w:rPr>
                <w:b/>
                <w:bCs/>
                <w:color w:val="auto"/>
                <w:spacing w:val="-10"/>
                <w:sz w:val="21"/>
                <w:szCs w:val="21"/>
              </w:rPr>
              <w:t xml:space="preserve"> 噪声自行监测计划</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053"/>
              <w:gridCol w:w="1056"/>
              <w:gridCol w:w="1580"/>
              <w:gridCol w:w="1694"/>
              <w:gridCol w:w="3170"/>
            </w:tblGrid>
            <w:tr w14:paraId="023A7B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15" w:type="pct"/>
                  <w:vAlign w:val="center"/>
                </w:tcPr>
                <w:p w14:paraId="4AE30921">
                  <w:pPr>
                    <w:pStyle w:val="64"/>
                    <w:spacing w:before="24" w:after="24" w:line="240" w:lineRule="auto"/>
                    <w:ind w:left="0" w:firstLine="0" w:firstLineChars="0"/>
                    <w:rPr>
                      <w:rFonts w:ascii="Times New Roman"/>
                      <w:color w:val="auto"/>
                      <w:szCs w:val="21"/>
                    </w:rPr>
                  </w:pPr>
                  <w:r>
                    <w:rPr>
                      <w:rFonts w:ascii="Times New Roman"/>
                      <w:color w:val="auto"/>
                      <w:szCs w:val="21"/>
                    </w:rPr>
                    <w:t>监测内容</w:t>
                  </w:r>
                </w:p>
              </w:tc>
              <w:tc>
                <w:tcPr>
                  <w:tcW w:w="617" w:type="pct"/>
                  <w:vAlign w:val="center"/>
                </w:tcPr>
                <w:p w14:paraId="253D1EFA">
                  <w:pPr>
                    <w:pStyle w:val="64"/>
                    <w:spacing w:before="24" w:after="24" w:line="240" w:lineRule="auto"/>
                    <w:ind w:left="0" w:firstLine="0" w:firstLineChars="0"/>
                    <w:rPr>
                      <w:rFonts w:ascii="Times New Roman"/>
                      <w:color w:val="auto"/>
                      <w:szCs w:val="21"/>
                    </w:rPr>
                  </w:pPr>
                  <w:r>
                    <w:rPr>
                      <w:rFonts w:ascii="Times New Roman"/>
                      <w:color w:val="auto"/>
                      <w:szCs w:val="21"/>
                    </w:rPr>
                    <w:t>监测点位</w:t>
                  </w:r>
                </w:p>
              </w:tc>
              <w:tc>
                <w:tcPr>
                  <w:tcW w:w="923" w:type="pct"/>
                  <w:vAlign w:val="center"/>
                </w:tcPr>
                <w:p w14:paraId="21D44AF1">
                  <w:pPr>
                    <w:pStyle w:val="64"/>
                    <w:spacing w:before="24" w:after="24" w:line="240" w:lineRule="auto"/>
                    <w:ind w:left="0" w:firstLine="0" w:firstLineChars="0"/>
                    <w:rPr>
                      <w:rFonts w:ascii="Times New Roman"/>
                      <w:color w:val="auto"/>
                      <w:szCs w:val="21"/>
                    </w:rPr>
                  </w:pPr>
                  <w:r>
                    <w:rPr>
                      <w:rFonts w:ascii="Times New Roman"/>
                      <w:color w:val="auto"/>
                      <w:szCs w:val="21"/>
                    </w:rPr>
                    <w:t>监测因子</w:t>
                  </w:r>
                </w:p>
              </w:tc>
              <w:tc>
                <w:tcPr>
                  <w:tcW w:w="990" w:type="pct"/>
                  <w:vAlign w:val="center"/>
                </w:tcPr>
                <w:p w14:paraId="6437CD8C">
                  <w:pPr>
                    <w:pStyle w:val="64"/>
                    <w:spacing w:before="24" w:after="24" w:line="240" w:lineRule="auto"/>
                    <w:ind w:left="0" w:firstLine="0" w:firstLineChars="0"/>
                    <w:rPr>
                      <w:rFonts w:ascii="Times New Roman"/>
                      <w:color w:val="auto"/>
                      <w:szCs w:val="21"/>
                    </w:rPr>
                  </w:pPr>
                  <w:r>
                    <w:rPr>
                      <w:rFonts w:ascii="Times New Roman"/>
                      <w:color w:val="auto"/>
                      <w:szCs w:val="21"/>
                    </w:rPr>
                    <w:t>监测频次</w:t>
                  </w:r>
                </w:p>
              </w:tc>
              <w:tc>
                <w:tcPr>
                  <w:tcW w:w="1852" w:type="pct"/>
                  <w:vAlign w:val="center"/>
                </w:tcPr>
                <w:p w14:paraId="2E4A6A49">
                  <w:pPr>
                    <w:pStyle w:val="64"/>
                    <w:spacing w:before="24" w:after="24" w:line="240" w:lineRule="auto"/>
                    <w:ind w:left="0" w:firstLine="0" w:firstLineChars="0"/>
                    <w:rPr>
                      <w:rFonts w:ascii="Times New Roman"/>
                      <w:color w:val="auto"/>
                      <w:szCs w:val="21"/>
                    </w:rPr>
                  </w:pPr>
                  <w:r>
                    <w:rPr>
                      <w:rFonts w:ascii="Times New Roman"/>
                      <w:color w:val="auto"/>
                      <w:szCs w:val="21"/>
                    </w:rPr>
                    <w:t>执行标准</w:t>
                  </w:r>
                </w:p>
              </w:tc>
            </w:tr>
            <w:tr w14:paraId="13BAF1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15" w:type="pct"/>
                  <w:vAlign w:val="center"/>
                </w:tcPr>
                <w:p w14:paraId="457087AB">
                  <w:pPr>
                    <w:pStyle w:val="64"/>
                    <w:spacing w:before="24" w:after="24" w:line="240" w:lineRule="auto"/>
                    <w:ind w:left="0" w:firstLine="0" w:firstLineChars="0"/>
                    <w:rPr>
                      <w:rFonts w:ascii="Times New Roman"/>
                      <w:color w:val="auto"/>
                      <w:szCs w:val="21"/>
                    </w:rPr>
                  </w:pPr>
                  <w:r>
                    <w:rPr>
                      <w:rFonts w:ascii="Times New Roman"/>
                      <w:color w:val="auto"/>
                      <w:szCs w:val="21"/>
                    </w:rPr>
                    <w:t>噪声</w:t>
                  </w:r>
                </w:p>
              </w:tc>
              <w:tc>
                <w:tcPr>
                  <w:tcW w:w="617" w:type="pct"/>
                  <w:vAlign w:val="center"/>
                </w:tcPr>
                <w:p w14:paraId="65D7DC4E">
                  <w:pPr>
                    <w:pStyle w:val="64"/>
                    <w:spacing w:before="24" w:after="24" w:line="240" w:lineRule="auto"/>
                    <w:ind w:left="0" w:firstLine="0" w:firstLineChars="0"/>
                    <w:rPr>
                      <w:rFonts w:hint="eastAsia" w:ascii="Times New Roman" w:eastAsia="宋体"/>
                      <w:color w:val="auto"/>
                      <w:szCs w:val="21"/>
                      <w:lang w:eastAsia="zh-CN"/>
                    </w:rPr>
                  </w:pPr>
                  <w:r>
                    <w:rPr>
                      <w:rFonts w:ascii="Times New Roman"/>
                      <w:color w:val="auto"/>
                      <w:szCs w:val="21"/>
                    </w:rPr>
                    <w:t>厂界</w:t>
                  </w:r>
                  <w:r>
                    <w:rPr>
                      <w:rFonts w:hint="eastAsia" w:ascii="Times New Roman"/>
                      <w:color w:val="auto"/>
                      <w:szCs w:val="21"/>
                      <w:lang w:eastAsia="zh-CN"/>
                    </w:rPr>
                    <w:t>东南西北</w:t>
                  </w:r>
                </w:p>
              </w:tc>
              <w:tc>
                <w:tcPr>
                  <w:tcW w:w="923" w:type="pct"/>
                  <w:vAlign w:val="center"/>
                </w:tcPr>
                <w:p w14:paraId="50266442">
                  <w:pPr>
                    <w:pStyle w:val="64"/>
                    <w:spacing w:before="24" w:after="24" w:line="240" w:lineRule="auto"/>
                    <w:ind w:left="0" w:firstLine="0" w:firstLineChars="0"/>
                    <w:rPr>
                      <w:rFonts w:ascii="Times New Roman"/>
                      <w:color w:val="auto"/>
                      <w:szCs w:val="21"/>
                    </w:rPr>
                  </w:pPr>
                  <w:r>
                    <w:rPr>
                      <w:rFonts w:ascii="宋体" w:hAnsi="宋体" w:eastAsia="宋体" w:cs="宋体"/>
                      <w:color w:val="auto"/>
                      <w:sz w:val="21"/>
                      <w:szCs w:val="21"/>
                    </w:rPr>
                    <w:t>最大声级</w:t>
                  </w:r>
                  <w:r>
                    <w:rPr>
                      <w:rFonts w:hint="default" w:ascii="Times New Roman" w:hAnsi="Times New Roman" w:eastAsia="宋体" w:cs="Times New Roman"/>
                      <w:color w:val="auto"/>
                      <w:sz w:val="21"/>
                      <w:szCs w:val="21"/>
                    </w:rPr>
                    <w:t>Leq</w:t>
                  </w:r>
                </w:p>
              </w:tc>
              <w:tc>
                <w:tcPr>
                  <w:tcW w:w="990" w:type="pct"/>
                  <w:vAlign w:val="center"/>
                </w:tcPr>
                <w:p w14:paraId="6833B77C">
                  <w:pPr>
                    <w:pStyle w:val="64"/>
                    <w:spacing w:before="24" w:after="24" w:line="240" w:lineRule="auto"/>
                    <w:ind w:left="0" w:firstLine="0" w:firstLineChars="0"/>
                    <w:rPr>
                      <w:rFonts w:ascii="Times New Roman"/>
                      <w:color w:val="auto"/>
                      <w:szCs w:val="21"/>
                    </w:rPr>
                  </w:pPr>
                  <w:r>
                    <w:rPr>
                      <w:rFonts w:ascii="Times New Roman"/>
                      <w:color w:val="auto"/>
                      <w:szCs w:val="21"/>
                    </w:rPr>
                    <w:t>每</w:t>
                  </w:r>
                  <w:r>
                    <w:rPr>
                      <w:rFonts w:hint="eastAsia" w:ascii="Times New Roman"/>
                      <w:color w:val="auto"/>
                      <w:szCs w:val="21"/>
                      <w:lang w:eastAsia="zh-CN"/>
                    </w:rPr>
                    <w:t>季度</w:t>
                  </w:r>
                  <w:r>
                    <w:rPr>
                      <w:rFonts w:ascii="Times New Roman"/>
                      <w:color w:val="auto"/>
                      <w:szCs w:val="21"/>
                    </w:rPr>
                    <w:t>监测一次</w:t>
                  </w:r>
                </w:p>
              </w:tc>
              <w:tc>
                <w:tcPr>
                  <w:tcW w:w="1852" w:type="pct"/>
                  <w:vAlign w:val="center"/>
                </w:tcPr>
                <w:p w14:paraId="3099B475">
                  <w:pPr>
                    <w:pStyle w:val="64"/>
                    <w:spacing w:before="24" w:after="24" w:line="240" w:lineRule="auto"/>
                    <w:ind w:left="0" w:firstLine="0" w:firstLineChars="0"/>
                    <w:rPr>
                      <w:rFonts w:ascii="Times New Roman"/>
                      <w:color w:val="auto"/>
                      <w:szCs w:val="21"/>
                    </w:rPr>
                  </w:pPr>
                  <w:r>
                    <w:rPr>
                      <w:rFonts w:ascii="Times New Roman"/>
                      <w:color w:val="auto"/>
                      <w:szCs w:val="21"/>
                    </w:rPr>
                    <w:t>《工业企业厂界环境噪声排放标准》（GB 12348-2008）</w:t>
                  </w:r>
                </w:p>
              </w:tc>
            </w:tr>
          </w:tbl>
          <w:p w14:paraId="346FF83F">
            <w:pPr>
              <w:adjustRightInd w:val="0"/>
              <w:snapToGrid w:val="0"/>
              <w:spacing w:line="360" w:lineRule="auto"/>
              <w:rPr>
                <w:b/>
                <w:color w:val="auto"/>
                <w:spacing w:val="-10"/>
                <w:sz w:val="24"/>
              </w:rPr>
            </w:pPr>
            <w:r>
              <w:rPr>
                <w:b/>
                <w:color w:val="auto"/>
                <w:spacing w:val="-10"/>
                <w:sz w:val="24"/>
              </w:rPr>
              <w:t>四．固体废弃物</w:t>
            </w:r>
          </w:p>
          <w:p w14:paraId="7BBCB63E">
            <w:pPr>
              <w:adjustRightInd w:val="0"/>
              <w:snapToGrid w:val="0"/>
              <w:spacing w:line="360" w:lineRule="auto"/>
              <w:rPr>
                <w:bCs/>
                <w:color w:val="auto"/>
                <w:spacing w:val="-10"/>
                <w:sz w:val="24"/>
              </w:rPr>
            </w:pPr>
            <w:r>
              <w:rPr>
                <w:bCs/>
                <w:color w:val="auto"/>
                <w:spacing w:val="-10"/>
                <w:sz w:val="24"/>
              </w:rPr>
              <w:t>1.固体废弃物产生与处置情况分析</w:t>
            </w:r>
          </w:p>
          <w:p w14:paraId="10E8671E">
            <w:pPr>
              <w:adjustRightInd w:val="0"/>
              <w:snapToGrid w:val="0"/>
              <w:spacing w:line="360" w:lineRule="auto"/>
              <w:ind w:firstLine="440" w:firstLineChars="200"/>
              <w:rPr>
                <w:rFonts w:hint="eastAsia"/>
                <w:bCs/>
                <w:color w:val="auto"/>
                <w:spacing w:val="-10"/>
                <w:sz w:val="24"/>
                <w:lang w:eastAsia="zh-CN"/>
              </w:rPr>
            </w:pPr>
            <w:r>
              <w:rPr>
                <w:bCs/>
                <w:color w:val="auto"/>
                <w:spacing w:val="-10"/>
                <w:sz w:val="24"/>
              </w:rPr>
              <w:t>本项目运营期产生的固废主要包括</w:t>
            </w:r>
            <w:r>
              <w:rPr>
                <w:rFonts w:hint="eastAsia"/>
                <w:bCs/>
                <w:color w:val="auto"/>
                <w:spacing w:val="-10"/>
                <w:sz w:val="24"/>
                <w:lang w:eastAsia="zh-CN"/>
              </w:rPr>
              <w:t>生活垃圾、</w:t>
            </w:r>
            <w:r>
              <w:rPr>
                <w:bCs/>
                <w:color w:val="auto"/>
                <w:spacing w:val="-10"/>
                <w:sz w:val="24"/>
              </w:rPr>
              <w:t>一般</w:t>
            </w:r>
            <w:r>
              <w:rPr>
                <w:rFonts w:hint="eastAsia"/>
                <w:bCs/>
                <w:color w:val="auto"/>
                <w:spacing w:val="-10"/>
                <w:sz w:val="24"/>
                <w:lang w:eastAsia="zh-CN"/>
              </w:rPr>
              <w:t>工业</w:t>
            </w:r>
            <w:r>
              <w:rPr>
                <w:bCs/>
                <w:color w:val="auto"/>
                <w:spacing w:val="-10"/>
                <w:sz w:val="24"/>
              </w:rPr>
              <w:t>固体废物和危险废物，其中一般固废主要为</w:t>
            </w:r>
            <w:r>
              <w:rPr>
                <w:rFonts w:hint="eastAsia"/>
                <w:bCs/>
                <w:color w:val="auto"/>
                <w:spacing w:val="-10"/>
                <w:sz w:val="24"/>
                <w:lang w:eastAsia="zh-CN"/>
              </w:rPr>
              <w:t>生产过程中产生的固渣，委托东至海创环保科技有限公司进行处理。</w:t>
            </w:r>
            <w:r>
              <w:rPr>
                <w:rFonts w:hint="eastAsia"/>
                <w:bCs/>
                <w:color w:val="auto"/>
                <w:spacing w:val="-10"/>
                <w:sz w:val="24"/>
              </w:rPr>
              <w:t>生活垃圾由环卫部门统一清运、处置。</w:t>
            </w:r>
            <w:r>
              <w:rPr>
                <w:rFonts w:hint="eastAsia"/>
                <w:bCs/>
                <w:color w:val="auto"/>
                <w:spacing w:val="-10"/>
                <w:sz w:val="24"/>
                <w:lang w:eastAsia="zh-CN"/>
              </w:rPr>
              <w:t>危险废物主要包括为废化学药剂包装物、废润滑油及含油抹布和手套、废活性炭收集在危废暂存间暂存后定期委托有资质单位处置。</w:t>
            </w:r>
          </w:p>
          <w:p w14:paraId="26CDC6DC">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eastAsia="宋体"/>
                <w:color w:val="auto"/>
                <w:szCs w:val="24"/>
                <w:lang w:eastAsia="zh-CN"/>
              </w:rPr>
            </w:pPr>
            <w:r>
              <w:rPr>
                <w:color w:val="auto"/>
                <w:szCs w:val="24"/>
              </w:rPr>
              <w:t>（1）</w:t>
            </w:r>
            <w:r>
              <w:rPr>
                <w:rFonts w:hint="eastAsia"/>
                <w:color w:val="auto"/>
                <w:szCs w:val="24"/>
                <w:lang w:eastAsia="zh-CN"/>
              </w:rPr>
              <w:t>生活垃圾</w:t>
            </w:r>
          </w:p>
          <w:p w14:paraId="64861C77">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40" w:firstLineChars="200"/>
              <w:textAlignment w:val="auto"/>
              <w:rPr>
                <w:rFonts w:hint="eastAsia" w:ascii="Times New Roman" w:hAnsi="Times New Roman" w:eastAsia="宋体" w:cs="Times New Roman"/>
                <w:bCs/>
                <w:color w:val="auto"/>
                <w:spacing w:val="-10"/>
                <w:kern w:val="2"/>
                <w:sz w:val="24"/>
                <w:szCs w:val="24"/>
                <w:lang w:val="en-US" w:eastAsia="zh-CN" w:bidi="ar-SA"/>
              </w:rPr>
            </w:pPr>
            <w:r>
              <w:rPr>
                <w:rFonts w:hint="eastAsia" w:ascii="Times New Roman" w:hAnsi="Times New Roman" w:eastAsia="宋体" w:cs="Times New Roman"/>
                <w:bCs/>
                <w:color w:val="auto"/>
                <w:spacing w:val="-10"/>
                <w:kern w:val="2"/>
                <w:sz w:val="24"/>
                <w:szCs w:val="24"/>
                <w:lang w:val="en-US" w:eastAsia="zh-CN" w:bidi="ar-SA"/>
              </w:rPr>
              <w:t>本项目新增劳动定员20人，生活垃圾产生量按每人每日0.5kg计，生活垃圾产生量3.33t/a，分类收集后交环卫部门统一清运。</w:t>
            </w:r>
          </w:p>
          <w:p w14:paraId="05DFE195">
            <w:pPr>
              <w:pStyle w:val="2"/>
              <w:spacing w:after="0" w:line="360" w:lineRule="auto"/>
              <w:ind w:left="0" w:leftChars="0" w:firstLine="0" w:firstLineChars="0"/>
              <w:rPr>
                <w:rFonts w:hint="eastAsia" w:ascii="Times New Roman" w:hAnsi="Times New Roman" w:eastAsia="宋体" w:cs="Times New Roman"/>
                <w:bCs/>
                <w:color w:val="auto"/>
                <w:spacing w:val="-10"/>
                <w:kern w:val="2"/>
                <w:sz w:val="24"/>
                <w:szCs w:val="24"/>
                <w:lang w:val="en-US" w:eastAsia="zh-CN" w:bidi="ar-SA"/>
              </w:rPr>
            </w:pPr>
            <w:r>
              <w:rPr>
                <w:rFonts w:hint="eastAsia" w:ascii="Times New Roman" w:hAnsi="Times New Roman" w:eastAsia="宋体" w:cs="Times New Roman"/>
                <w:bCs/>
                <w:color w:val="auto"/>
                <w:spacing w:val="-10"/>
                <w:kern w:val="2"/>
                <w:sz w:val="24"/>
                <w:szCs w:val="24"/>
                <w:lang w:val="en-US" w:eastAsia="zh-CN" w:bidi="ar-SA"/>
              </w:rPr>
              <w:t>（2）一般固体废物</w:t>
            </w:r>
          </w:p>
          <w:p w14:paraId="47D5B095">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hint="default"/>
                <w:bCs/>
                <w:color w:val="auto"/>
                <w:spacing w:val="-10"/>
                <w:sz w:val="24"/>
                <w:lang w:val="en-US" w:eastAsia="zh-CN"/>
              </w:rPr>
            </w:pPr>
            <w:r>
              <w:rPr>
                <w:rFonts w:hint="eastAsia" w:ascii="Times New Roman" w:hAnsi="Times New Roman" w:eastAsia="宋体" w:cs="Times New Roman"/>
                <w:bCs/>
                <w:color w:val="auto"/>
                <w:spacing w:val="-10"/>
                <w:kern w:val="2"/>
                <w:sz w:val="24"/>
                <w:szCs w:val="24"/>
                <w:lang w:val="en-US" w:eastAsia="zh-CN" w:bidi="ar-SA"/>
              </w:rPr>
              <w:t>固渣：根据前述的物料平衡可知，生产过程中的固渣产生量为</w:t>
            </w:r>
            <w:r>
              <w:rPr>
                <w:rFonts w:hint="eastAsia" w:cs="Times New Roman"/>
                <w:bCs/>
                <w:color w:val="auto"/>
                <w:spacing w:val="-10"/>
                <w:kern w:val="2"/>
                <w:sz w:val="24"/>
                <w:szCs w:val="24"/>
                <w:lang w:val="en-US" w:eastAsia="zh-CN" w:bidi="ar-SA"/>
              </w:rPr>
              <w:t>2826.758</w:t>
            </w:r>
            <w:r>
              <w:rPr>
                <w:rFonts w:hint="eastAsia" w:ascii="Times New Roman" w:hAnsi="Times New Roman" w:eastAsia="宋体" w:cs="Times New Roman"/>
                <w:bCs/>
                <w:color w:val="auto"/>
                <w:spacing w:val="-10"/>
                <w:kern w:val="2"/>
                <w:sz w:val="24"/>
                <w:szCs w:val="24"/>
                <w:lang w:val="en-US" w:eastAsia="zh-CN" w:bidi="ar-SA"/>
              </w:rPr>
              <w:t>t/a，委</w:t>
            </w:r>
            <w:r>
              <w:rPr>
                <w:rFonts w:hint="eastAsia"/>
                <w:bCs/>
                <w:color w:val="auto"/>
                <w:spacing w:val="-10"/>
                <w:sz w:val="24"/>
                <w:lang w:val="en-US" w:eastAsia="zh-CN"/>
              </w:rPr>
              <w:t>托东至海创环境科技有限公司进行焚烧处置。</w:t>
            </w:r>
          </w:p>
          <w:p w14:paraId="7C39488D">
            <w:pPr>
              <w:pStyle w:val="100"/>
              <w:ind w:firstLine="0" w:firstLineChars="0"/>
              <w:rPr>
                <w:color w:val="auto"/>
              </w:rPr>
            </w:pPr>
            <w:r>
              <w:rPr>
                <w:rFonts w:hint="eastAsia"/>
                <w:color w:val="auto"/>
              </w:rPr>
              <w:t>（</w:t>
            </w:r>
            <w:r>
              <w:rPr>
                <w:color w:val="auto"/>
              </w:rPr>
              <w:t>2）危险废物</w:t>
            </w:r>
          </w:p>
          <w:p w14:paraId="4FA224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color w:val="auto"/>
                <w:sz w:val="24"/>
                <w:szCs w:val="32"/>
              </w:rPr>
              <w:t>①</w:t>
            </w:r>
            <w:r>
              <w:rPr>
                <w:rFonts w:hint="eastAsia"/>
                <w:color w:val="auto"/>
                <w:sz w:val="24"/>
                <w:szCs w:val="32"/>
                <w:lang w:eastAsia="zh-CN"/>
              </w:rPr>
              <w:t>废化学药剂包装袋</w:t>
            </w:r>
          </w:p>
          <w:p w14:paraId="3D685C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eastAsia="zh-CN"/>
              </w:rPr>
            </w:pPr>
            <w:r>
              <w:rPr>
                <w:rFonts w:hint="eastAsia"/>
                <w:color w:val="auto"/>
                <w:sz w:val="24"/>
                <w:szCs w:val="32"/>
                <w:lang w:eastAsia="zh-CN"/>
              </w:rPr>
              <w:t>项目运营过程中使用的化学药剂，会产生废化学药剂材料，根据建设单位提供资料，产生量约为</w:t>
            </w:r>
            <w:r>
              <w:rPr>
                <w:rFonts w:hint="eastAsia"/>
                <w:color w:val="auto"/>
                <w:sz w:val="24"/>
                <w:szCs w:val="32"/>
                <w:lang w:val="en-US" w:eastAsia="zh-CN"/>
              </w:rPr>
              <w:t>0.05t/a</w:t>
            </w:r>
            <w:r>
              <w:rPr>
                <w:rFonts w:hint="eastAsia"/>
                <w:color w:val="auto"/>
                <w:sz w:val="24"/>
                <w:szCs w:val="32"/>
                <w:lang w:eastAsia="zh-CN"/>
              </w:rPr>
              <w:t>（</w:t>
            </w:r>
            <w:r>
              <w:rPr>
                <w:rFonts w:hint="eastAsia"/>
                <w:bCs/>
                <w:color w:val="auto"/>
                <w:spacing w:val="-10"/>
                <w:sz w:val="24"/>
                <w:lang w:eastAsia="zh-CN"/>
              </w:rPr>
              <w:t>HW49</w:t>
            </w:r>
            <w:r>
              <w:rPr>
                <w:rFonts w:hint="eastAsia"/>
                <w:bCs/>
                <w:color w:val="auto"/>
                <w:spacing w:val="-10"/>
                <w:sz w:val="24"/>
                <w:lang w:val="en-US" w:eastAsia="zh-CN"/>
              </w:rPr>
              <w:t xml:space="preserve">  </w:t>
            </w:r>
            <w:r>
              <w:rPr>
                <w:rFonts w:hint="eastAsia"/>
                <w:color w:val="auto"/>
                <w:sz w:val="24"/>
                <w:szCs w:val="32"/>
                <w:lang w:eastAsia="zh-CN"/>
              </w:rPr>
              <w:t>900-041-49），收集暂存在危废库后委托有资质单位进行处置。</w:t>
            </w:r>
          </w:p>
          <w:p w14:paraId="2793BC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val="en-US" w:eastAsia="zh-CN"/>
              </w:rPr>
            </w:pPr>
            <w:r>
              <w:rPr>
                <w:rFonts w:hint="eastAsia"/>
                <w:color w:val="auto"/>
                <w:sz w:val="24"/>
                <w:szCs w:val="32"/>
                <w:lang w:val="en-US" w:eastAsia="zh-CN"/>
              </w:rPr>
              <w:t>②废润滑油及废含油抹布和手套</w:t>
            </w:r>
          </w:p>
          <w:p w14:paraId="6317CA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val="en-US" w:eastAsia="zh-CN"/>
              </w:rPr>
            </w:pPr>
            <w:r>
              <w:rPr>
                <w:rFonts w:hint="eastAsia"/>
                <w:color w:val="auto"/>
                <w:sz w:val="24"/>
                <w:szCs w:val="32"/>
                <w:lang w:val="en-US" w:eastAsia="zh-CN"/>
              </w:rPr>
              <w:t>利用润滑油对生产处理设备进行保修的过程中会产生废润滑油（HW08 900-249-08）及含油抹布和手套（HW49  900-041-49）。废润滑油产生量约0.01t/a，废含油抹布和手套产生量约0.01t/a。</w:t>
            </w:r>
          </w:p>
          <w:p w14:paraId="518D87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32"/>
                <w:lang w:val="en-US" w:eastAsia="zh-CN"/>
              </w:rPr>
            </w:pPr>
            <w:r>
              <w:rPr>
                <w:rFonts w:hint="eastAsia"/>
                <w:color w:val="auto"/>
                <w:sz w:val="24"/>
                <w:szCs w:val="32"/>
                <w:lang w:val="en-US" w:eastAsia="zh-CN"/>
              </w:rPr>
              <w:t>③废活性炭</w:t>
            </w:r>
          </w:p>
          <w:p w14:paraId="189C51BF">
            <w:pPr>
              <w:widowControl/>
              <w:spacing w:line="360" w:lineRule="auto"/>
              <w:ind w:firstLine="480" w:firstLineChars="200"/>
              <w:rPr>
                <w:rFonts w:ascii="Times New Roman" w:hAnsi="Times New Roman"/>
                <w:color w:val="auto"/>
                <w:sz w:val="24"/>
              </w:rPr>
            </w:pPr>
            <w:r>
              <w:rPr>
                <w:rFonts w:hint="eastAsia"/>
                <w:color w:val="auto"/>
                <w:sz w:val="24"/>
                <w:szCs w:val="32"/>
                <w:lang w:val="en-US" w:eastAsia="zh-CN"/>
              </w:rPr>
              <w:t>项目设置的活性炭吸附位于油雾净化器+三级洗涤之后，主要考虑去除恶臭，考虑废活性炭（HW49  900-039-49）的产生，估计项目</w:t>
            </w:r>
            <w:r>
              <w:rPr>
                <w:rFonts w:hint="eastAsia" w:ascii="Times New Roman" w:hAnsi="Times New Roman"/>
                <w:color w:val="auto"/>
                <w:sz w:val="24"/>
                <w:lang w:eastAsia="zh-CN"/>
              </w:rPr>
              <w:t>产生废活性炭</w:t>
            </w:r>
            <w:r>
              <w:rPr>
                <w:rFonts w:hint="eastAsia" w:ascii="Times New Roman" w:hAnsi="Times New Roman"/>
                <w:color w:val="auto"/>
                <w:sz w:val="24"/>
                <w:lang w:val="en-US" w:eastAsia="zh-CN"/>
              </w:rPr>
              <w:t>0.5t/a</w:t>
            </w:r>
            <w:r>
              <w:rPr>
                <w:rFonts w:ascii="Times New Roman" w:hAnsi="Times New Roman"/>
                <w:color w:val="auto"/>
                <w:sz w:val="24"/>
              </w:rPr>
              <w:t>。</w:t>
            </w:r>
          </w:p>
          <w:p w14:paraId="5079C10B">
            <w:pPr>
              <w:pStyle w:val="2"/>
              <w:spacing w:after="0" w:line="360" w:lineRule="auto"/>
              <w:ind w:left="0" w:leftChars="0" w:firstLine="480"/>
              <w:rPr>
                <w:color w:val="auto"/>
                <w:szCs w:val="24"/>
              </w:rPr>
            </w:pPr>
            <w:r>
              <w:rPr>
                <w:color w:val="auto"/>
                <w:szCs w:val="24"/>
              </w:rPr>
              <w:t>项目一般固体废弃物产生及处置情况见下表：</w:t>
            </w:r>
          </w:p>
          <w:p w14:paraId="4026E303">
            <w:pPr>
              <w:adjustRightInd w:val="0"/>
              <w:snapToGrid w:val="0"/>
              <w:jc w:val="center"/>
              <w:rPr>
                <w:bCs/>
                <w:color w:val="auto"/>
                <w:spacing w:val="-10"/>
                <w:sz w:val="24"/>
              </w:rPr>
            </w:pPr>
            <w:r>
              <w:rPr>
                <w:b/>
                <w:bCs/>
                <w:color w:val="auto"/>
                <w:spacing w:val="-10"/>
                <w:sz w:val="24"/>
              </w:rPr>
              <w:t>表4-</w:t>
            </w:r>
            <w:r>
              <w:rPr>
                <w:rFonts w:hint="eastAsia"/>
                <w:b/>
                <w:bCs/>
                <w:color w:val="auto"/>
                <w:spacing w:val="-10"/>
                <w:sz w:val="24"/>
                <w:lang w:val="en-US" w:eastAsia="zh-CN"/>
              </w:rPr>
              <w:t>23</w:t>
            </w:r>
            <w:r>
              <w:rPr>
                <w:b/>
                <w:bCs/>
                <w:color w:val="auto"/>
                <w:spacing w:val="-10"/>
                <w:sz w:val="24"/>
              </w:rPr>
              <w:t>一般固体废物产生及处置情况一览表</w:t>
            </w:r>
          </w:p>
          <w:tbl>
            <w:tblPr>
              <w:tblStyle w:val="2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
              <w:gridCol w:w="2010"/>
              <w:gridCol w:w="897"/>
              <w:gridCol w:w="1515"/>
              <w:gridCol w:w="1280"/>
              <w:gridCol w:w="2116"/>
            </w:tblGrid>
            <w:tr w14:paraId="39F71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5" w:type="dxa"/>
                  <w:vAlign w:val="center"/>
                </w:tcPr>
                <w:p w14:paraId="1B4845DF">
                  <w:pPr>
                    <w:adjustRightInd w:val="0"/>
                    <w:snapToGrid w:val="0"/>
                    <w:jc w:val="center"/>
                    <w:rPr>
                      <w:color w:val="auto"/>
                      <w:szCs w:val="21"/>
                    </w:rPr>
                  </w:pPr>
                  <w:r>
                    <w:rPr>
                      <w:color w:val="auto"/>
                      <w:szCs w:val="21"/>
                    </w:rPr>
                    <w:t>序号</w:t>
                  </w:r>
                </w:p>
              </w:tc>
              <w:tc>
                <w:tcPr>
                  <w:tcW w:w="2010" w:type="dxa"/>
                  <w:vAlign w:val="center"/>
                </w:tcPr>
                <w:p w14:paraId="5D6C2721">
                  <w:pPr>
                    <w:adjustRightInd w:val="0"/>
                    <w:snapToGrid w:val="0"/>
                    <w:jc w:val="center"/>
                    <w:rPr>
                      <w:color w:val="auto"/>
                      <w:szCs w:val="21"/>
                    </w:rPr>
                  </w:pPr>
                  <w:r>
                    <w:rPr>
                      <w:color w:val="auto"/>
                      <w:szCs w:val="21"/>
                    </w:rPr>
                    <w:t>名称</w:t>
                  </w:r>
                </w:p>
              </w:tc>
              <w:tc>
                <w:tcPr>
                  <w:tcW w:w="897" w:type="dxa"/>
                  <w:vAlign w:val="center"/>
                </w:tcPr>
                <w:p w14:paraId="2C9CAC3F">
                  <w:pPr>
                    <w:adjustRightInd w:val="0"/>
                    <w:snapToGrid w:val="0"/>
                    <w:jc w:val="center"/>
                    <w:rPr>
                      <w:color w:val="auto"/>
                      <w:szCs w:val="21"/>
                    </w:rPr>
                  </w:pPr>
                  <w:r>
                    <w:rPr>
                      <w:color w:val="auto"/>
                      <w:szCs w:val="21"/>
                    </w:rPr>
                    <w:t>性状</w:t>
                  </w:r>
                </w:p>
              </w:tc>
              <w:tc>
                <w:tcPr>
                  <w:tcW w:w="1515" w:type="dxa"/>
                  <w:vAlign w:val="center"/>
                </w:tcPr>
                <w:p w14:paraId="385CEA71">
                  <w:pPr>
                    <w:adjustRightInd w:val="0"/>
                    <w:snapToGrid w:val="0"/>
                    <w:jc w:val="center"/>
                    <w:rPr>
                      <w:color w:val="auto"/>
                      <w:szCs w:val="21"/>
                    </w:rPr>
                  </w:pPr>
                  <w:r>
                    <w:rPr>
                      <w:color w:val="auto"/>
                      <w:szCs w:val="21"/>
                    </w:rPr>
                    <w:t>代码</w:t>
                  </w:r>
                </w:p>
              </w:tc>
              <w:tc>
                <w:tcPr>
                  <w:tcW w:w="1280" w:type="dxa"/>
                  <w:vAlign w:val="center"/>
                </w:tcPr>
                <w:p w14:paraId="6F221865">
                  <w:pPr>
                    <w:adjustRightInd w:val="0"/>
                    <w:snapToGrid w:val="0"/>
                    <w:jc w:val="center"/>
                    <w:rPr>
                      <w:color w:val="auto"/>
                      <w:szCs w:val="21"/>
                    </w:rPr>
                  </w:pPr>
                  <w:r>
                    <w:rPr>
                      <w:color w:val="auto"/>
                      <w:szCs w:val="21"/>
                    </w:rPr>
                    <w:t>产生量（t/a）</w:t>
                  </w:r>
                </w:p>
              </w:tc>
              <w:tc>
                <w:tcPr>
                  <w:tcW w:w="2116" w:type="dxa"/>
                  <w:vAlign w:val="center"/>
                </w:tcPr>
                <w:p w14:paraId="0E4F7463">
                  <w:pPr>
                    <w:adjustRightInd w:val="0"/>
                    <w:snapToGrid w:val="0"/>
                    <w:jc w:val="center"/>
                    <w:rPr>
                      <w:color w:val="auto"/>
                      <w:szCs w:val="21"/>
                    </w:rPr>
                  </w:pPr>
                  <w:r>
                    <w:rPr>
                      <w:color w:val="auto"/>
                      <w:szCs w:val="21"/>
                    </w:rPr>
                    <w:t>处理或处置方式</w:t>
                  </w:r>
                </w:p>
              </w:tc>
            </w:tr>
            <w:tr w14:paraId="222A0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5" w:type="dxa"/>
                  <w:vAlign w:val="center"/>
                </w:tcPr>
                <w:p w14:paraId="7C762017">
                  <w:pPr>
                    <w:adjustRightInd w:val="0"/>
                    <w:snapToGrid w:val="0"/>
                    <w:jc w:val="center"/>
                    <w:rPr>
                      <w:color w:val="auto"/>
                      <w:szCs w:val="21"/>
                    </w:rPr>
                  </w:pPr>
                  <w:r>
                    <w:rPr>
                      <w:color w:val="auto"/>
                      <w:szCs w:val="21"/>
                    </w:rPr>
                    <w:t>1</w:t>
                  </w:r>
                </w:p>
              </w:tc>
              <w:tc>
                <w:tcPr>
                  <w:tcW w:w="2010" w:type="dxa"/>
                  <w:vAlign w:val="center"/>
                </w:tcPr>
                <w:p w14:paraId="0EDE2479">
                  <w:pPr>
                    <w:adjustRightInd w:val="0"/>
                    <w:snapToGrid w:val="0"/>
                    <w:jc w:val="center"/>
                    <w:rPr>
                      <w:color w:val="auto"/>
                      <w:szCs w:val="21"/>
                    </w:rPr>
                  </w:pPr>
                  <w:r>
                    <w:rPr>
                      <w:color w:val="auto"/>
                      <w:szCs w:val="21"/>
                    </w:rPr>
                    <w:t>生活垃圾</w:t>
                  </w:r>
                </w:p>
              </w:tc>
              <w:tc>
                <w:tcPr>
                  <w:tcW w:w="897" w:type="dxa"/>
                  <w:vAlign w:val="center"/>
                </w:tcPr>
                <w:p w14:paraId="0830C25C">
                  <w:pPr>
                    <w:adjustRightInd w:val="0"/>
                    <w:snapToGrid w:val="0"/>
                    <w:jc w:val="center"/>
                    <w:rPr>
                      <w:color w:val="auto"/>
                      <w:szCs w:val="21"/>
                    </w:rPr>
                  </w:pPr>
                  <w:r>
                    <w:rPr>
                      <w:rFonts w:hint="eastAsia"/>
                      <w:color w:val="auto"/>
                      <w:szCs w:val="21"/>
                      <w:lang w:eastAsia="zh-CN"/>
                    </w:rPr>
                    <w:t>固态</w:t>
                  </w:r>
                </w:p>
              </w:tc>
              <w:tc>
                <w:tcPr>
                  <w:tcW w:w="1515" w:type="dxa"/>
                  <w:vAlign w:val="center"/>
                </w:tcPr>
                <w:p w14:paraId="310A1096">
                  <w:pPr>
                    <w:adjustRightInd w:val="0"/>
                    <w:snapToGrid w:val="0"/>
                    <w:jc w:val="center"/>
                    <w:rPr>
                      <w:color w:val="auto"/>
                      <w:szCs w:val="21"/>
                    </w:rPr>
                  </w:pPr>
                  <w:r>
                    <w:rPr>
                      <w:rFonts w:hint="eastAsia"/>
                      <w:color w:val="auto"/>
                      <w:szCs w:val="21"/>
                      <w:lang w:val="en-US" w:eastAsia="zh-CN"/>
                    </w:rPr>
                    <w:t>900-099-S64</w:t>
                  </w:r>
                </w:p>
              </w:tc>
              <w:tc>
                <w:tcPr>
                  <w:tcW w:w="1280" w:type="dxa"/>
                  <w:vAlign w:val="center"/>
                </w:tcPr>
                <w:p w14:paraId="6C9945AB">
                  <w:pPr>
                    <w:adjustRightInd w:val="0"/>
                    <w:snapToGrid w:val="0"/>
                    <w:jc w:val="center"/>
                    <w:rPr>
                      <w:rFonts w:hint="default" w:eastAsia="宋体"/>
                      <w:color w:val="auto"/>
                      <w:szCs w:val="21"/>
                      <w:lang w:val="en-US" w:eastAsia="zh-CN"/>
                    </w:rPr>
                  </w:pPr>
                  <w:r>
                    <w:rPr>
                      <w:rFonts w:hint="eastAsia"/>
                      <w:color w:val="auto"/>
                      <w:szCs w:val="21"/>
                      <w:lang w:val="en-US" w:eastAsia="zh-CN"/>
                    </w:rPr>
                    <w:t>3.33</w:t>
                  </w:r>
                </w:p>
              </w:tc>
              <w:tc>
                <w:tcPr>
                  <w:tcW w:w="2116" w:type="dxa"/>
                  <w:vAlign w:val="center"/>
                </w:tcPr>
                <w:p w14:paraId="0D62C3A5">
                  <w:pPr>
                    <w:pStyle w:val="18"/>
                    <w:tabs>
                      <w:tab w:val="left" w:pos="2944"/>
                    </w:tabs>
                    <w:adjustRightInd w:val="0"/>
                    <w:snapToGrid w:val="0"/>
                    <w:jc w:val="center"/>
                    <w:rPr>
                      <w:rFonts w:ascii="Times New Roman" w:hAnsi="Times New Roman" w:cs="Times New Roman"/>
                      <w:color w:val="auto"/>
                    </w:rPr>
                  </w:pPr>
                  <w:r>
                    <w:rPr>
                      <w:rFonts w:ascii="Times New Roman" w:hAnsi="Times New Roman" w:cs="Times New Roman"/>
                      <w:color w:val="auto"/>
                    </w:rPr>
                    <w:t>环卫部门清运</w:t>
                  </w:r>
                </w:p>
              </w:tc>
            </w:tr>
            <w:tr w14:paraId="7D7A8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5" w:type="dxa"/>
                  <w:shd w:val="clear" w:color="auto" w:fill="auto"/>
                  <w:vAlign w:val="center"/>
                </w:tcPr>
                <w:p w14:paraId="2EF7C1CB">
                  <w:pPr>
                    <w:adjustRightInd w:val="0"/>
                    <w:snapToGrid w:val="0"/>
                    <w:jc w:val="center"/>
                    <w:rPr>
                      <w:rFonts w:ascii="Times New Roman" w:hAnsi="Times New Roman" w:eastAsia="宋体" w:cs="Times New Roman"/>
                      <w:color w:val="auto"/>
                      <w:kern w:val="2"/>
                      <w:sz w:val="21"/>
                      <w:szCs w:val="21"/>
                      <w:lang w:val="en-US" w:eastAsia="zh-CN" w:bidi="ar-SA"/>
                    </w:rPr>
                  </w:pPr>
                  <w:r>
                    <w:rPr>
                      <w:color w:val="auto"/>
                      <w:szCs w:val="21"/>
                    </w:rPr>
                    <w:t>2</w:t>
                  </w:r>
                </w:p>
              </w:tc>
              <w:tc>
                <w:tcPr>
                  <w:tcW w:w="2010" w:type="dxa"/>
                  <w:vAlign w:val="center"/>
                </w:tcPr>
                <w:p w14:paraId="1C8B5F90">
                  <w:pPr>
                    <w:adjustRightInd w:val="0"/>
                    <w:snapToGrid w:val="0"/>
                    <w:jc w:val="center"/>
                    <w:rPr>
                      <w:rFonts w:hint="eastAsia" w:eastAsia="宋体"/>
                      <w:color w:val="auto"/>
                      <w:szCs w:val="21"/>
                      <w:lang w:eastAsia="zh-CN"/>
                    </w:rPr>
                  </w:pPr>
                  <w:r>
                    <w:rPr>
                      <w:rFonts w:hint="eastAsia"/>
                      <w:color w:val="auto"/>
                      <w:szCs w:val="21"/>
                      <w:lang w:eastAsia="zh-CN"/>
                    </w:rPr>
                    <w:t>固渣</w:t>
                  </w:r>
                </w:p>
              </w:tc>
              <w:tc>
                <w:tcPr>
                  <w:tcW w:w="897" w:type="dxa"/>
                  <w:vAlign w:val="center"/>
                </w:tcPr>
                <w:p w14:paraId="01F0411E">
                  <w:pPr>
                    <w:adjustRightInd w:val="0"/>
                    <w:snapToGrid w:val="0"/>
                    <w:jc w:val="center"/>
                    <w:rPr>
                      <w:rFonts w:hint="eastAsia" w:eastAsia="宋体"/>
                      <w:color w:val="auto"/>
                      <w:szCs w:val="21"/>
                      <w:lang w:eastAsia="zh-CN"/>
                    </w:rPr>
                  </w:pPr>
                  <w:r>
                    <w:rPr>
                      <w:rFonts w:hint="eastAsia"/>
                      <w:color w:val="auto"/>
                      <w:szCs w:val="21"/>
                      <w:lang w:eastAsia="zh-CN"/>
                    </w:rPr>
                    <w:t>固态</w:t>
                  </w:r>
                </w:p>
              </w:tc>
              <w:tc>
                <w:tcPr>
                  <w:tcW w:w="1515" w:type="dxa"/>
                  <w:vAlign w:val="center"/>
                </w:tcPr>
                <w:p w14:paraId="2C58E65E">
                  <w:pPr>
                    <w:adjustRightInd w:val="0"/>
                    <w:snapToGrid w:val="0"/>
                    <w:jc w:val="center"/>
                    <w:rPr>
                      <w:color w:val="auto"/>
                      <w:szCs w:val="21"/>
                    </w:rPr>
                  </w:pPr>
                  <w:r>
                    <w:rPr>
                      <w:rFonts w:hint="eastAsia"/>
                      <w:color w:val="auto"/>
                      <w:szCs w:val="21"/>
                      <w:lang w:val="en-US" w:eastAsia="zh-CN"/>
                    </w:rPr>
                    <w:t xml:space="preserve">900-005-S58 </w:t>
                  </w:r>
                </w:p>
              </w:tc>
              <w:tc>
                <w:tcPr>
                  <w:tcW w:w="1280" w:type="dxa"/>
                  <w:vAlign w:val="center"/>
                </w:tcPr>
                <w:p w14:paraId="3A082322">
                  <w:pPr>
                    <w:adjustRightInd w:val="0"/>
                    <w:snapToGrid w:val="0"/>
                    <w:jc w:val="center"/>
                    <w:rPr>
                      <w:rFonts w:hint="default" w:eastAsia="宋体"/>
                      <w:color w:val="auto"/>
                      <w:szCs w:val="21"/>
                      <w:lang w:val="en-US" w:eastAsia="zh-CN"/>
                    </w:rPr>
                  </w:pPr>
                  <w:r>
                    <w:rPr>
                      <w:rFonts w:hint="eastAsia"/>
                      <w:color w:val="auto"/>
                      <w:sz w:val="21"/>
                      <w:szCs w:val="21"/>
                      <w:lang w:val="en-US" w:eastAsia="zh-CN"/>
                    </w:rPr>
                    <w:t>2826.758</w:t>
                  </w:r>
                </w:p>
              </w:tc>
              <w:tc>
                <w:tcPr>
                  <w:tcW w:w="2116" w:type="dxa"/>
                  <w:vAlign w:val="center"/>
                </w:tcPr>
                <w:p w14:paraId="5BDEF4D5">
                  <w:pPr>
                    <w:pStyle w:val="18"/>
                    <w:tabs>
                      <w:tab w:val="left" w:pos="2944"/>
                    </w:tabs>
                    <w:adjustRightInd w:val="0"/>
                    <w:snapToGrid w:val="0"/>
                    <w:jc w:val="center"/>
                    <w:rPr>
                      <w:rFonts w:hint="eastAsia" w:ascii="Times New Roman" w:hAnsi="Times New Roman" w:eastAsia="宋体" w:cs="Times New Roman"/>
                      <w:color w:val="auto"/>
                      <w:lang w:eastAsia="zh-CN"/>
                    </w:rPr>
                  </w:pPr>
                  <w:r>
                    <w:rPr>
                      <w:rFonts w:hint="eastAsia" w:ascii="Times New Roman" w:hAnsi="Times New Roman" w:cs="Times New Roman"/>
                      <w:color w:val="auto"/>
                      <w:lang w:eastAsia="zh-CN"/>
                    </w:rPr>
                    <w:t>委托东至海创环境科技有限公司焚烧处置</w:t>
                  </w:r>
                </w:p>
              </w:tc>
            </w:tr>
          </w:tbl>
          <w:p w14:paraId="57A4A676">
            <w:pPr>
              <w:adjustRightInd w:val="0"/>
              <w:snapToGrid w:val="0"/>
              <w:spacing w:line="360" w:lineRule="auto"/>
              <w:ind w:firstLine="440" w:firstLineChars="200"/>
              <w:rPr>
                <w:bCs/>
                <w:color w:val="auto"/>
                <w:spacing w:val="-10"/>
                <w:sz w:val="24"/>
              </w:rPr>
            </w:pPr>
            <w:r>
              <w:rPr>
                <w:bCs/>
                <w:color w:val="auto"/>
                <w:spacing w:val="-10"/>
                <w:sz w:val="24"/>
              </w:rPr>
              <w:t>项目危险废物产生及处置情况见下表：</w:t>
            </w:r>
          </w:p>
          <w:p w14:paraId="3901A911">
            <w:pPr>
              <w:adjustRightInd w:val="0"/>
              <w:snapToGrid w:val="0"/>
              <w:jc w:val="center"/>
              <w:rPr>
                <w:bCs/>
                <w:color w:val="auto"/>
                <w:spacing w:val="-10"/>
                <w:sz w:val="24"/>
              </w:rPr>
            </w:pPr>
            <w:r>
              <w:rPr>
                <w:b/>
                <w:bCs/>
                <w:color w:val="auto"/>
                <w:spacing w:val="-10"/>
                <w:sz w:val="24"/>
              </w:rPr>
              <w:t>表4-</w:t>
            </w:r>
            <w:r>
              <w:rPr>
                <w:rFonts w:hint="eastAsia"/>
                <w:b/>
                <w:bCs/>
                <w:color w:val="auto"/>
                <w:spacing w:val="-10"/>
                <w:sz w:val="24"/>
                <w:lang w:val="en-US" w:eastAsia="zh-CN"/>
              </w:rPr>
              <w:t>24</w:t>
            </w:r>
            <w:r>
              <w:rPr>
                <w:b/>
                <w:bCs/>
                <w:color w:val="auto"/>
                <w:spacing w:val="-10"/>
                <w:sz w:val="24"/>
              </w:rPr>
              <w:t xml:space="preserve"> 危险废物产生及处置情况一览表</w:t>
            </w:r>
          </w:p>
          <w:tbl>
            <w:tblPr>
              <w:tblStyle w:val="2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923"/>
              <w:gridCol w:w="776"/>
              <w:gridCol w:w="1301"/>
              <w:gridCol w:w="899"/>
              <w:gridCol w:w="942"/>
              <w:gridCol w:w="699"/>
              <w:gridCol w:w="870"/>
              <w:gridCol w:w="636"/>
              <w:gridCol w:w="494"/>
              <w:gridCol w:w="577"/>
            </w:tblGrid>
            <w:tr w14:paraId="06144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249" w:type="pct"/>
                  <w:vAlign w:val="center"/>
                </w:tcPr>
                <w:p w14:paraId="21CD5591">
                  <w:pPr>
                    <w:adjustRightInd w:val="0"/>
                    <w:snapToGrid w:val="0"/>
                    <w:jc w:val="center"/>
                    <w:rPr>
                      <w:color w:val="auto"/>
                      <w:sz w:val="21"/>
                      <w:szCs w:val="21"/>
                    </w:rPr>
                  </w:pPr>
                  <w:r>
                    <w:rPr>
                      <w:color w:val="auto"/>
                      <w:sz w:val="21"/>
                      <w:szCs w:val="21"/>
                    </w:rPr>
                    <w:t>序号</w:t>
                  </w:r>
                </w:p>
              </w:tc>
              <w:tc>
                <w:tcPr>
                  <w:tcW w:w="540" w:type="pct"/>
                  <w:vAlign w:val="center"/>
                </w:tcPr>
                <w:p w14:paraId="2DEDB5A1">
                  <w:pPr>
                    <w:adjustRightInd w:val="0"/>
                    <w:snapToGrid w:val="0"/>
                    <w:jc w:val="center"/>
                    <w:rPr>
                      <w:color w:val="auto"/>
                      <w:sz w:val="21"/>
                      <w:szCs w:val="21"/>
                    </w:rPr>
                  </w:pPr>
                  <w:r>
                    <w:rPr>
                      <w:color w:val="auto"/>
                      <w:sz w:val="21"/>
                      <w:szCs w:val="21"/>
                    </w:rPr>
                    <w:t>危险废物名称</w:t>
                  </w:r>
                </w:p>
              </w:tc>
              <w:tc>
                <w:tcPr>
                  <w:tcW w:w="454" w:type="pct"/>
                  <w:vAlign w:val="center"/>
                </w:tcPr>
                <w:p w14:paraId="7BFE6198">
                  <w:pPr>
                    <w:adjustRightInd w:val="0"/>
                    <w:snapToGrid w:val="0"/>
                    <w:jc w:val="center"/>
                    <w:rPr>
                      <w:color w:val="auto"/>
                      <w:sz w:val="21"/>
                      <w:szCs w:val="21"/>
                    </w:rPr>
                  </w:pPr>
                  <w:r>
                    <w:rPr>
                      <w:color w:val="auto"/>
                      <w:sz w:val="21"/>
                      <w:szCs w:val="21"/>
                    </w:rPr>
                    <w:t>危险废物类别</w:t>
                  </w:r>
                </w:p>
              </w:tc>
              <w:tc>
                <w:tcPr>
                  <w:tcW w:w="761" w:type="pct"/>
                  <w:vAlign w:val="center"/>
                </w:tcPr>
                <w:p w14:paraId="319315B6">
                  <w:pPr>
                    <w:adjustRightInd w:val="0"/>
                    <w:snapToGrid w:val="0"/>
                    <w:jc w:val="center"/>
                    <w:rPr>
                      <w:color w:val="auto"/>
                      <w:sz w:val="21"/>
                      <w:szCs w:val="21"/>
                    </w:rPr>
                  </w:pPr>
                  <w:r>
                    <w:rPr>
                      <w:color w:val="auto"/>
                      <w:sz w:val="21"/>
                      <w:szCs w:val="21"/>
                    </w:rPr>
                    <w:t>危险废物代码</w:t>
                  </w:r>
                </w:p>
              </w:tc>
              <w:tc>
                <w:tcPr>
                  <w:tcW w:w="526" w:type="pct"/>
                  <w:vAlign w:val="center"/>
                </w:tcPr>
                <w:p w14:paraId="2DA3B389">
                  <w:pPr>
                    <w:adjustRightInd w:val="0"/>
                    <w:snapToGrid w:val="0"/>
                    <w:jc w:val="center"/>
                    <w:rPr>
                      <w:rFonts w:hint="eastAsia"/>
                      <w:color w:val="auto"/>
                      <w:sz w:val="21"/>
                      <w:szCs w:val="21"/>
                    </w:rPr>
                  </w:pPr>
                  <w:r>
                    <w:rPr>
                      <w:color w:val="auto"/>
                      <w:sz w:val="21"/>
                      <w:szCs w:val="21"/>
                    </w:rPr>
                    <w:t>产生量</w:t>
                  </w:r>
                  <w:r>
                    <w:rPr>
                      <w:rFonts w:hint="eastAsia"/>
                      <w:color w:val="auto"/>
                      <w:sz w:val="21"/>
                      <w:szCs w:val="21"/>
                    </w:rPr>
                    <w:t>（</w:t>
                  </w:r>
                  <w:r>
                    <w:rPr>
                      <w:color w:val="auto"/>
                      <w:sz w:val="21"/>
                      <w:szCs w:val="21"/>
                    </w:rPr>
                    <w:t>t/a</w:t>
                  </w:r>
                  <w:r>
                    <w:rPr>
                      <w:rFonts w:hint="eastAsia"/>
                      <w:color w:val="auto"/>
                      <w:sz w:val="21"/>
                      <w:szCs w:val="21"/>
                    </w:rPr>
                    <w:t>）</w:t>
                  </w:r>
                </w:p>
              </w:tc>
              <w:tc>
                <w:tcPr>
                  <w:tcW w:w="551" w:type="pct"/>
                  <w:vAlign w:val="center"/>
                </w:tcPr>
                <w:p w14:paraId="65C30A21">
                  <w:pPr>
                    <w:adjustRightInd w:val="0"/>
                    <w:snapToGrid w:val="0"/>
                    <w:jc w:val="center"/>
                    <w:rPr>
                      <w:color w:val="auto"/>
                      <w:sz w:val="21"/>
                      <w:szCs w:val="21"/>
                    </w:rPr>
                  </w:pPr>
                  <w:r>
                    <w:rPr>
                      <w:color w:val="auto"/>
                      <w:sz w:val="21"/>
                      <w:szCs w:val="21"/>
                    </w:rPr>
                    <w:t>产生工序及装置</w:t>
                  </w:r>
                </w:p>
              </w:tc>
              <w:tc>
                <w:tcPr>
                  <w:tcW w:w="409" w:type="pct"/>
                  <w:vAlign w:val="center"/>
                </w:tcPr>
                <w:p w14:paraId="629E0093">
                  <w:pPr>
                    <w:adjustRightInd w:val="0"/>
                    <w:snapToGrid w:val="0"/>
                    <w:jc w:val="center"/>
                    <w:rPr>
                      <w:color w:val="auto"/>
                      <w:sz w:val="21"/>
                      <w:szCs w:val="21"/>
                    </w:rPr>
                  </w:pPr>
                  <w:r>
                    <w:rPr>
                      <w:color w:val="auto"/>
                      <w:sz w:val="21"/>
                      <w:szCs w:val="21"/>
                    </w:rPr>
                    <w:t>形态</w:t>
                  </w:r>
                </w:p>
              </w:tc>
              <w:tc>
                <w:tcPr>
                  <w:tcW w:w="509" w:type="pct"/>
                  <w:vAlign w:val="center"/>
                </w:tcPr>
                <w:p w14:paraId="7456D0F5">
                  <w:pPr>
                    <w:adjustRightInd w:val="0"/>
                    <w:snapToGrid w:val="0"/>
                    <w:jc w:val="center"/>
                    <w:rPr>
                      <w:color w:val="auto"/>
                      <w:sz w:val="21"/>
                      <w:szCs w:val="21"/>
                    </w:rPr>
                  </w:pPr>
                  <w:r>
                    <w:rPr>
                      <w:color w:val="auto"/>
                      <w:sz w:val="21"/>
                      <w:szCs w:val="21"/>
                    </w:rPr>
                    <w:t>危险特性</w:t>
                  </w:r>
                </w:p>
              </w:tc>
              <w:tc>
                <w:tcPr>
                  <w:tcW w:w="372" w:type="pct"/>
                  <w:vAlign w:val="center"/>
                </w:tcPr>
                <w:p w14:paraId="2D1FD442">
                  <w:pPr>
                    <w:adjustRightInd w:val="0"/>
                    <w:snapToGrid w:val="0"/>
                    <w:jc w:val="center"/>
                    <w:rPr>
                      <w:color w:val="auto"/>
                      <w:sz w:val="21"/>
                      <w:szCs w:val="21"/>
                    </w:rPr>
                  </w:pPr>
                  <w:r>
                    <w:rPr>
                      <w:color w:val="auto"/>
                      <w:sz w:val="21"/>
                      <w:szCs w:val="21"/>
                    </w:rPr>
                    <w:t>处理或处置方式</w:t>
                  </w:r>
                </w:p>
              </w:tc>
              <w:tc>
                <w:tcPr>
                  <w:tcW w:w="289" w:type="pct"/>
                  <w:vAlign w:val="center"/>
                </w:tcPr>
                <w:p w14:paraId="514E6ACF">
                  <w:pPr>
                    <w:adjustRightInd w:val="0"/>
                    <w:snapToGrid w:val="0"/>
                    <w:jc w:val="center"/>
                    <w:rPr>
                      <w:color w:val="auto"/>
                      <w:sz w:val="21"/>
                      <w:szCs w:val="21"/>
                    </w:rPr>
                  </w:pPr>
                  <w:r>
                    <w:rPr>
                      <w:color w:val="auto"/>
                      <w:sz w:val="21"/>
                      <w:szCs w:val="21"/>
                    </w:rPr>
                    <w:t>储存方式</w:t>
                  </w:r>
                </w:p>
              </w:tc>
              <w:tc>
                <w:tcPr>
                  <w:tcW w:w="337" w:type="pct"/>
                  <w:vAlign w:val="center"/>
                </w:tcPr>
                <w:p w14:paraId="4F88E2D6">
                  <w:pPr>
                    <w:adjustRightInd w:val="0"/>
                    <w:snapToGrid w:val="0"/>
                    <w:jc w:val="center"/>
                    <w:rPr>
                      <w:color w:val="auto"/>
                      <w:sz w:val="21"/>
                      <w:szCs w:val="21"/>
                    </w:rPr>
                  </w:pPr>
                  <w:r>
                    <w:rPr>
                      <w:color w:val="auto"/>
                      <w:sz w:val="21"/>
                      <w:szCs w:val="21"/>
                    </w:rPr>
                    <w:t>储存周期</w:t>
                  </w:r>
                </w:p>
              </w:tc>
            </w:tr>
            <w:tr w14:paraId="168A8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jc w:val="center"/>
              </w:trPr>
              <w:tc>
                <w:tcPr>
                  <w:tcW w:w="249" w:type="pct"/>
                  <w:vAlign w:val="center"/>
                </w:tcPr>
                <w:p w14:paraId="0DF9804F">
                  <w:pPr>
                    <w:adjustRightInd w:val="0"/>
                    <w:snapToGrid w:val="0"/>
                    <w:jc w:val="center"/>
                    <w:rPr>
                      <w:color w:val="auto"/>
                      <w:sz w:val="21"/>
                      <w:szCs w:val="21"/>
                    </w:rPr>
                  </w:pPr>
                  <w:r>
                    <w:rPr>
                      <w:color w:val="auto"/>
                      <w:sz w:val="21"/>
                      <w:szCs w:val="21"/>
                    </w:rPr>
                    <w:t>1</w:t>
                  </w:r>
                </w:p>
              </w:tc>
              <w:tc>
                <w:tcPr>
                  <w:tcW w:w="540" w:type="pct"/>
                  <w:vAlign w:val="center"/>
                </w:tcPr>
                <w:p w14:paraId="297A3646">
                  <w:pPr>
                    <w:jc w:val="center"/>
                    <w:rPr>
                      <w:rFonts w:hint="eastAsia" w:eastAsia="宋体"/>
                      <w:color w:val="auto"/>
                      <w:sz w:val="21"/>
                      <w:szCs w:val="21"/>
                      <w:lang w:eastAsia="zh-CN"/>
                    </w:rPr>
                  </w:pPr>
                  <w:r>
                    <w:rPr>
                      <w:rFonts w:hint="eastAsia"/>
                      <w:color w:val="auto"/>
                      <w:sz w:val="21"/>
                      <w:szCs w:val="21"/>
                      <w:lang w:eastAsia="zh-CN"/>
                    </w:rPr>
                    <w:t>废化学药剂包装物</w:t>
                  </w:r>
                </w:p>
              </w:tc>
              <w:tc>
                <w:tcPr>
                  <w:tcW w:w="454" w:type="pct"/>
                  <w:vAlign w:val="center"/>
                </w:tcPr>
                <w:p w14:paraId="156666B7">
                  <w:pPr>
                    <w:jc w:val="center"/>
                    <w:textAlignment w:val="center"/>
                    <w:rPr>
                      <w:color w:val="auto"/>
                      <w:sz w:val="21"/>
                      <w:szCs w:val="21"/>
                    </w:rPr>
                  </w:pPr>
                  <w:r>
                    <w:rPr>
                      <w:color w:val="auto"/>
                      <w:sz w:val="21"/>
                      <w:szCs w:val="21"/>
                    </w:rPr>
                    <w:t>HW49</w:t>
                  </w:r>
                </w:p>
              </w:tc>
              <w:tc>
                <w:tcPr>
                  <w:tcW w:w="761" w:type="pct"/>
                  <w:vAlign w:val="center"/>
                </w:tcPr>
                <w:p w14:paraId="3C51D3CD">
                  <w:pPr>
                    <w:spacing w:line="0" w:lineRule="atLeast"/>
                    <w:jc w:val="center"/>
                    <w:textAlignment w:val="center"/>
                    <w:rPr>
                      <w:rFonts w:hint="default" w:eastAsia="宋体"/>
                      <w:color w:val="auto"/>
                      <w:sz w:val="21"/>
                      <w:szCs w:val="21"/>
                      <w:lang w:val="en-US" w:eastAsia="zh-CN"/>
                    </w:rPr>
                  </w:pPr>
                  <w:r>
                    <w:rPr>
                      <w:color w:val="auto"/>
                      <w:sz w:val="21"/>
                      <w:szCs w:val="21"/>
                    </w:rPr>
                    <w:t>900-04</w:t>
                  </w:r>
                  <w:r>
                    <w:rPr>
                      <w:rFonts w:hint="eastAsia"/>
                      <w:color w:val="auto"/>
                      <w:sz w:val="21"/>
                      <w:szCs w:val="21"/>
                      <w:lang w:val="en-US" w:eastAsia="zh-CN"/>
                    </w:rPr>
                    <w:t>1</w:t>
                  </w:r>
                  <w:r>
                    <w:rPr>
                      <w:color w:val="auto"/>
                      <w:sz w:val="21"/>
                      <w:szCs w:val="21"/>
                    </w:rPr>
                    <w:t>-49</w:t>
                  </w:r>
                </w:p>
              </w:tc>
              <w:tc>
                <w:tcPr>
                  <w:tcW w:w="526" w:type="pct"/>
                  <w:vAlign w:val="center"/>
                </w:tcPr>
                <w:p w14:paraId="21932592">
                  <w:pPr>
                    <w:adjustRightInd w:val="0"/>
                    <w:snapToGrid w:val="0"/>
                    <w:jc w:val="center"/>
                    <w:rPr>
                      <w:rFonts w:hint="default" w:eastAsia="宋体"/>
                      <w:color w:val="auto"/>
                      <w:sz w:val="21"/>
                      <w:szCs w:val="21"/>
                      <w:lang w:val="en-US" w:eastAsia="zh-CN"/>
                    </w:rPr>
                  </w:pPr>
                  <w:r>
                    <w:rPr>
                      <w:rFonts w:hint="eastAsia"/>
                      <w:color w:val="auto"/>
                      <w:sz w:val="21"/>
                      <w:szCs w:val="21"/>
                      <w:lang w:val="en-US" w:eastAsia="zh-CN"/>
                    </w:rPr>
                    <w:t>0.05</w:t>
                  </w:r>
                </w:p>
              </w:tc>
              <w:tc>
                <w:tcPr>
                  <w:tcW w:w="551" w:type="pct"/>
                  <w:vAlign w:val="center"/>
                </w:tcPr>
                <w:p w14:paraId="03994226">
                  <w:pPr>
                    <w:pStyle w:val="18"/>
                    <w:tabs>
                      <w:tab w:val="left" w:pos="2944"/>
                    </w:tabs>
                    <w:adjustRightInd w:val="0"/>
                    <w:snapToGrid w:val="0"/>
                    <w:jc w:val="center"/>
                    <w:rPr>
                      <w:rFonts w:hint="eastAsia" w:ascii="Times New Roman" w:hAnsi="Times New Roman" w:eastAsia="宋体" w:cs="Times New Roman"/>
                      <w:color w:val="auto"/>
                      <w:kern w:val="0"/>
                      <w:sz w:val="21"/>
                      <w:szCs w:val="21"/>
                      <w:lang w:eastAsia="zh-CN"/>
                    </w:rPr>
                  </w:pPr>
                  <w:r>
                    <w:rPr>
                      <w:rFonts w:hint="eastAsia" w:ascii="Times New Roman" w:hAnsi="Times New Roman" w:cs="Times New Roman"/>
                      <w:color w:val="auto"/>
                      <w:kern w:val="0"/>
                      <w:sz w:val="21"/>
                      <w:szCs w:val="21"/>
                      <w:lang w:eastAsia="zh-CN"/>
                    </w:rPr>
                    <w:t>包装</w:t>
                  </w:r>
                </w:p>
              </w:tc>
              <w:tc>
                <w:tcPr>
                  <w:tcW w:w="409" w:type="pct"/>
                  <w:vAlign w:val="center"/>
                </w:tcPr>
                <w:p w14:paraId="5C23F707">
                  <w:pPr>
                    <w:adjustRightInd w:val="0"/>
                    <w:snapToGrid w:val="0"/>
                    <w:jc w:val="center"/>
                    <w:rPr>
                      <w:rFonts w:hint="eastAsia" w:eastAsia="宋体"/>
                      <w:color w:val="auto"/>
                      <w:sz w:val="21"/>
                      <w:szCs w:val="21"/>
                      <w:lang w:eastAsia="zh-CN"/>
                    </w:rPr>
                  </w:pPr>
                  <w:r>
                    <w:rPr>
                      <w:rFonts w:hint="eastAsia"/>
                      <w:color w:val="auto"/>
                      <w:sz w:val="21"/>
                      <w:szCs w:val="21"/>
                      <w:lang w:eastAsia="zh-CN"/>
                    </w:rPr>
                    <w:t>固态</w:t>
                  </w:r>
                </w:p>
              </w:tc>
              <w:tc>
                <w:tcPr>
                  <w:tcW w:w="509" w:type="pct"/>
                  <w:vAlign w:val="center"/>
                </w:tcPr>
                <w:p w14:paraId="2AC01D5F">
                  <w:pPr>
                    <w:pStyle w:val="18"/>
                    <w:tabs>
                      <w:tab w:val="left" w:pos="2944"/>
                    </w:tabs>
                    <w:adjustRightInd w:val="0"/>
                    <w:snapToGrid w:val="0"/>
                    <w:jc w:val="center"/>
                    <w:rPr>
                      <w:rFonts w:ascii="Times New Roman" w:hAnsi="Times New Roman" w:cs="Times New Roman"/>
                      <w:color w:val="auto"/>
                      <w:sz w:val="21"/>
                      <w:szCs w:val="21"/>
                    </w:rPr>
                  </w:pPr>
                  <w:r>
                    <w:rPr>
                      <w:rFonts w:ascii="Times New Roman" w:hAnsi="Times New Roman" w:cs="Times New Roman"/>
                      <w:color w:val="auto"/>
                      <w:sz w:val="21"/>
                      <w:szCs w:val="21"/>
                    </w:rPr>
                    <w:t>T</w:t>
                  </w:r>
                </w:p>
              </w:tc>
              <w:tc>
                <w:tcPr>
                  <w:tcW w:w="372" w:type="pct"/>
                  <w:vMerge w:val="restart"/>
                  <w:vAlign w:val="center"/>
                </w:tcPr>
                <w:p w14:paraId="0AD42F24">
                  <w:pPr>
                    <w:pStyle w:val="18"/>
                    <w:tabs>
                      <w:tab w:val="left" w:pos="2944"/>
                    </w:tabs>
                    <w:adjustRightInd w:val="0"/>
                    <w:snapToGrid w:val="0"/>
                    <w:jc w:val="center"/>
                    <w:rPr>
                      <w:rFonts w:ascii="Times New Roman" w:hAnsi="Times New Roman" w:cs="Times New Roman"/>
                      <w:color w:val="auto"/>
                      <w:sz w:val="21"/>
                      <w:szCs w:val="21"/>
                    </w:rPr>
                  </w:pPr>
                  <w:r>
                    <w:rPr>
                      <w:rFonts w:ascii="Times New Roman" w:hAnsi="Times New Roman" w:cs="Times New Roman"/>
                      <w:color w:val="auto"/>
                      <w:sz w:val="21"/>
                      <w:szCs w:val="21"/>
                    </w:rPr>
                    <w:t>收集后暂存于危废库，委托有关资质单位处置</w:t>
                  </w:r>
                </w:p>
              </w:tc>
              <w:tc>
                <w:tcPr>
                  <w:tcW w:w="289" w:type="pct"/>
                  <w:shd w:val="clear" w:color="auto" w:fill="auto"/>
                  <w:vAlign w:val="center"/>
                </w:tcPr>
                <w:p w14:paraId="49E17224">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eastAsia="zh-CN"/>
                    </w:rPr>
                    <w:t>袋装</w:t>
                  </w:r>
                </w:p>
              </w:tc>
              <w:tc>
                <w:tcPr>
                  <w:tcW w:w="337" w:type="pct"/>
                  <w:vMerge w:val="restart"/>
                  <w:vAlign w:val="center"/>
                </w:tcPr>
                <w:p w14:paraId="6957258F">
                  <w:pPr>
                    <w:pStyle w:val="18"/>
                    <w:tabs>
                      <w:tab w:val="left" w:pos="2944"/>
                    </w:tabs>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3个月</w:t>
                  </w:r>
                </w:p>
              </w:tc>
            </w:tr>
            <w:tr w14:paraId="068B6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jc w:val="center"/>
              </w:trPr>
              <w:tc>
                <w:tcPr>
                  <w:tcW w:w="249" w:type="pct"/>
                  <w:vAlign w:val="center"/>
                </w:tcPr>
                <w:p w14:paraId="06D774D6">
                  <w:pPr>
                    <w:adjustRightInd w:val="0"/>
                    <w:snapToGrid w:val="0"/>
                    <w:jc w:val="center"/>
                    <w:rPr>
                      <w:rFonts w:hint="eastAsia" w:eastAsia="宋体"/>
                      <w:color w:val="auto"/>
                      <w:sz w:val="21"/>
                      <w:szCs w:val="21"/>
                      <w:lang w:val="en-US" w:eastAsia="zh-CN"/>
                    </w:rPr>
                  </w:pPr>
                  <w:r>
                    <w:rPr>
                      <w:rFonts w:hint="eastAsia"/>
                      <w:color w:val="auto"/>
                      <w:sz w:val="21"/>
                      <w:szCs w:val="21"/>
                      <w:lang w:val="en-US" w:eastAsia="zh-CN"/>
                    </w:rPr>
                    <w:t>2</w:t>
                  </w:r>
                </w:p>
              </w:tc>
              <w:tc>
                <w:tcPr>
                  <w:tcW w:w="540" w:type="pct"/>
                  <w:vAlign w:val="center"/>
                </w:tcPr>
                <w:p w14:paraId="2A9F568C">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废润滑油</w:t>
                  </w:r>
                </w:p>
              </w:tc>
              <w:tc>
                <w:tcPr>
                  <w:tcW w:w="454" w:type="pct"/>
                  <w:vAlign w:val="center"/>
                </w:tcPr>
                <w:p w14:paraId="554B2485">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HW08</w:t>
                  </w:r>
                </w:p>
              </w:tc>
              <w:tc>
                <w:tcPr>
                  <w:tcW w:w="761" w:type="pct"/>
                  <w:vAlign w:val="center"/>
                </w:tcPr>
                <w:p w14:paraId="17BAE552">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900-249-08</w:t>
                  </w:r>
                </w:p>
              </w:tc>
              <w:tc>
                <w:tcPr>
                  <w:tcW w:w="526" w:type="pct"/>
                  <w:vAlign w:val="center"/>
                </w:tcPr>
                <w:p w14:paraId="48859422">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eastAsia="zh-CN"/>
                    </w:rPr>
                    <w:t>0.01</w:t>
                  </w:r>
                </w:p>
              </w:tc>
              <w:tc>
                <w:tcPr>
                  <w:tcW w:w="551" w:type="pct"/>
                  <w:vAlign w:val="center"/>
                </w:tcPr>
                <w:p w14:paraId="65FCB560">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设备维护</w:t>
                  </w:r>
                </w:p>
              </w:tc>
              <w:tc>
                <w:tcPr>
                  <w:tcW w:w="409" w:type="pct"/>
                  <w:shd w:val="clear" w:color="auto" w:fill="auto"/>
                  <w:vAlign w:val="center"/>
                </w:tcPr>
                <w:p w14:paraId="6D63925C">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eastAsia="zh-CN"/>
                    </w:rPr>
                    <w:t>液态</w:t>
                  </w:r>
                </w:p>
              </w:tc>
              <w:tc>
                <w:tcPr>
                  <w:tcW w:w="509" w:type="pct"/>
                  <w:vAlign w:val="center"/>
                </w:tcPr>
                <w:p w14:paraId="2E653936">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T/I</w:t>
                  </w:r>
                </w:p>
              </w:tc>
              <w:tc>
                <w:tcPr>
                  <w:tcW w:w="372" w:type="pct"/>
                  <w:vMerge w:val="continue"/>
                  <w:vAlign w:val="center"/>
                </w:tcPr>
                <w:p w14:paraId="5EBF8544">
                  <w:pPr>
                    <w:pStyle w:val="18"/>
                    <w:tabs>
                      <w:tab w:val="left" w:pos="2944"/>
                    </w:tabs>
                    <w:adjustRightInd w:val="0"/>
                    <w:snapToGrid w:val="0"/>
                    <w:jc w:val="center"/>
                    <w:rPr>
                      <w:rFonts w:ascii="Times New Roman" w:hAnsi="Times New Roman" w:cs="Times New Roman"/>
                      <w:color w:val="auto"/>
                      <w:sz w:val="21"/>
                      <w:szCs w:val="21"/>
                    </w:rPr>
                  </w:pPr>
                </w:p>
              </w:tc>
              <w:tc>
                <w:tcPr>
                  <w:tcW w:w="289" w:type="pct"/>
                  <w:shd w:val="clear" w:color="auto" w:fill="auto"/>
                  <w:vAlign w:val="center"/>
                </w:tcPr>
                <w:p w14:paraId="112EB2B0">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eastAsia="zh-CN"/>
                    </w:rPr>
                    <w:t>密封桶装</w:t>
                  </w:r>
                </w:p>
              </w:tc>
              <w:tc>
                <w:tcPr>
                  <w:tcW w:w="337" w:type="pct"/>
                  <w:vMerge w:val="continue"/>
                  <w:vAlign w:val="center"/>
                </w:tcPr>
                <w:p w14:paraId="6968E87D">
                  <w:pPr>
                    <w:pStyle w:val="18"/>
                    <w:tabs>
                      <w:tab w:val="left" w:pos="2944"/>
                    </w:tabs>
                    <w:adjustRightInd w:val="0"/>
                    <w:snapToGrid w:val="0"/>
                    <w:jc w:val="center"/>
                    <w:rPr>
                      <w:rFonts w:hint="eastAsia" w:ascii="Times New Roman" w:hAnsi="Times New Roman" w:cs="Times New Roman"/>
                      <w:color w:val="auto"/>
                      <w:sz w:val="21"/>
                      <w:szCs w:val="21"/>
                      <w:lang w:val="en-US" w:eastAsia="zh-CN"/>
                    </w:rPr>
                  </w:pPr>
                </w:p>
              </w:tc>
            </w:tr>
            <w:tr w14:paraId="381F7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jc w:val="center"/>
              </w:trPr>
              <w:tc>
                <w:tcPr>
                  <w:tcW w:w="249" w:type="pct"/>
                  <w:vAlign w:val="center"/>
                </w:tcPr>
                <w:p w14:paraId="3DB1F39E">
                  <w:pPr>
                    <w:adjustRightInd w:val="0"/>
                    <w:snapToGrid w:val="0"/>
                    <w:jc w:val="center"/>
                    <w:rPr>
                      <w:rFonts w:hint="eastAsia" w:eastAsia="宋体"/>
                      <w:color w:val="auto"/>
                      <w:sz w:val="21"/>
                      <w:szCs w:val="21"/>
                      <w:lang w:val="en-US" w:eastAsia="zh-CN"/>
                    </w:rPr>
                  </w:pPr>
                  <w:r>
                    <w:rPr>
                      <w:rFonts w:hint="eastAsia"/>
                      <w:color w:val="auto"/>
                      <w:sz w:val="21"/>
                      <w:szCs w:val="21"/>
                      <w:lang w:val="en-US" w:eastAsia="zh-CN"/>
                    </w:rPr>
                    <w:t>3</w:t>
                  </w:r>
                </w:p>
              </w:tc>
              <w:tc>
                <w:tcPr>
                  <w:tcW w:w="540" w:type="pct"/>
                  <w:vAlign w:val="center"/>
                </w:tcPr>
                <w:p w14:paraId="429AB165">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废含油抹布和手套</w:t>
                  </w:r>
                </w:p>
              </w:tc>
              <w:tc>
                <w:tcPr>
                  <w:tcW w:w="454" w:type="pct"/>
                  <w:vAlign w:val="center"/>
                </w:tcPr>
                <w:p w14:paraId="447ED7A1">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HW49</w:t>
                  </w:r>
                </w:p>
              </w:tc>
              <w:tc>
                <w:tcPr>
                  <w:tcW w:w="761" w:type="pct"/>
                  <w:vAlign w:val="center"/>
                </w:tcPr>
                <w:p w14:paraId="64692995">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900-041-49</w:t>
                  </w:r>
                </w:p>
              </w:tc>
              <w:tc>
                <w:tcPr>
                  <w:tcW w:w="526" w:type="pct"/>
                  <w:vAlign w:val="center"/>
                </w:tcPr>
                <w:p w14:paraId="0D4E0B6B">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eastAsia="zh-CN"/>
                    </w:rPr>
                    <w:t>0.01</w:t>
                  </w:r>
                </w:p>
              </w:tc>
              <w:tc>
                <w:tcPr>
                  <w:tcW w:w="551" w:type="pct"/>
                  <w:shd w:val="clear" w:color="auto" w:fill="auto"/>
                  <w:vAlign w:val="center"/>
                </w:tcPr>
                <w:p w14:paraId="5D277271">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eastAsia="zh-CN"/>
                    </w:rPr>
                    <w:t>设备维护</w:t>
                  </w:r>
                </w:p>
              </w:tc>
              <w:tc>
                <w:tcPr>
                  <w:tcW w:w="409" w:type="pct"/>
                  <w:shd w:val="clear" w:color="auto" w:fill="auto"/>
                  <w:vAlign w:val="center"/>
                </w:tcPr>
                <w:p w14:paraId="28B6DF57">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eastAsia="zh-CN"/>
                    </w:rPr>
                    <w:t>固态</w:t>
                  </w:r>
                </w:p>
              </w:tc>
              <w:tc>
                <w:tcPr>
                  <w:tcW w:w="509" w:type="pct"/>
                  <w:vAlign w:val="center"/>
                </w:tcPr>
                <w:p w14:paraId="79C069E0">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T</w:t>
                  </w:r>
                </w:p>
              </w:tc>
              <w:tc>
                <w:tcPr>
                  <w:tcW w:w="372" w:type="pct"/>
                  <w:vMerge w:val="continue"/>
                  <w:vAlign w:val="center"/>
                </w:tcPr>
                <w:p w14:paraId="46B040E6">
                  <w:pPr>
                    <w:pStyle w:val="18"/>
                    <w:tabs>
                      <w:tab w:val="left" w:pos="2944"/>
                    </w:tabs>
                    <w:adjustRightInd w:val="0"/>
                    <w:snapToGrid w:val="0"/>
                    <w:jc w:val="center"/>
                    <w:rPr>
                      <w:rFonts w:ascii="Times New Roman" w:hAnsi="Times New Roman" w:cs="Times New Roman"/>
                      <w:color w:val="auto"/>
                      <w:sz w:val="21"/>
                      <w:szCs w:val="21"/>
                    </w:rPr>
                  </w:pPr>
                </w:p>
              </w:tc>
              <w:tc>
                <w:tcPr>
                  <w:tcW w:w="289" w:type="pct"/>
                  <w:vAlign w:val="center"/>
                </w:tcPr>
                <w:p w14:paraId="251D5248">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袋装</w:t>
                  </w:r>
                </w:p>
              </w:tc>
              <w:tc>
                <w:tcPr>
                  <w:tcW w:w="337" w:type="pct"/>
                  <w:vMerge w:val="continue"/>
                  <w:vAlign w:val="center"/>
                </w:tcPr>
                <w:p w14:paraId="7A7BDBA8">
                  <w:pPr>
                    <w:pStyle w:val="18"/>
                    <w:tabs>
                      <w:tab w:val="left" w:pos="2944"/>
                    </w:tabs>
                    <w:adjustRightInd w:val="0"/>
                    <w:snapToGrid w:val="0"/>
                    <w:jc w:val="center"/>
                    <w:rPr>
                      <w:rFonts w:hint="eastAsia" w:ascii="Times New Roman" w:hAnsi="Times New Roman" w:cs="Times New Roman"/>
                      <w:color w:val="auto"/>
                      <w:sz w:val="21"/>
                      <w:szCs w:val="21"/>
                      <w:lang w:val="en-US" w:eastAsia="zh-CN"/>
                    </w:rPr>
                  </w:pPr>
                </w:p>
              </w:tc>
            </w:tr>
            <w:tr w14:paraId="1E22A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jc w:val="center"/>
              </w:trPr>
              <w:tc>
                <w:tcPr>
                  <w:tcW w:w="249" w:type="pct"/>
                  <w:vAlign w:val="center"/>
                </w:tcPr>
                <w:p w14:paraId="75194BA3">
                  <w:pPr>
                    <w:adjustRightInd w:val="0"/>
                    <w:snapToGrid w:val="0"/>
                    <w:jc w:val="center"/>
                    <w:rPr>
                      <w:rFonts w:hint="default"/>
                      <w:color w:val="auto"/>
                      <w:sz w:val="21"/>
                      <w:szCs w:val="21"/>
                      <w:lang w:val="en-US" w:eastAsia="zh-CN"/>
                    </w:rPr>
                  </w:pPr>
                  <w:r>
                    <w:rPr>
                      <w:rFonts w:hint="eastAsia"/>
                      <w:color w:val="auto"/>
                      <w:sz w:val="21"/>
                      <w:szCs w:val="21"/>
                      <w:lang w:val="en-US" w:eastAsia="zh-CN"/>
                    </w:rPr>
                    <w:t>4</w:t>
                  </w:r>
                </w:p>
              </w:tc>
              <w:tc>
                <w:tcPr>
                  <w:tcW w:w="540" w:type="pct"/>
                  <w:vAlign w:val="center"/>
                </w:tcPr>
                <w:p w14:paraId="28007115">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废活性炭</w:t>
                  </w:r>
                </w:p>
              </w:tc>
              <w:tc>
                <w:tcPr>
                  <w:tcW w:w="454" w:type="pct"/>
                  <w:vAlign w:val="center"/>
                </w:tcPr>
                <w:p w14:paraId="2455C91A">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 xml:space="preserve">HW49 </w:t>
                  </w:r>
                </w:p>
              </w:tc>
              <w:tc>
                <w:tcPr>
                  <w:tcW w:w="761" w:type="pct"/>
                  <w:vAlign w:val="center"/>
                </w:tcPr>
                <w:p w14:paraId="36013DFB">
                  <w:pPr>
                    <w:jc w:val="center"/>
                    <w:rPr>
                      <w:rFonts w:hint="eastAsia" w:ascii="Times New Roman" w:hAnsi="Times New Roman" w:eastAsia="宋体" w:cs="Times New Roman"/>
                      <w:color w:val="auto"/>
                      <w:sz w:val="21"/>
                      <w:szCs w:val="21"/>
                      <w:lang w:eastAsia="zh-CN"/>
                    </w:rPr>
                  </w:pPr>
                  <w:r>
                    <w:rPr>
                      <w:rFonts w:hint="eastAsia" w:cs="Times New Roman"/>
                      <w:color w:val="auto"/>
                      <w:sz w:val="21"/>
                      <w:szCs w:val="21"/>
                      <w:lang w:val="en-US" w:eastAsia="zh-CN"/>
                    </w:rPr>
                    <w:t>9</w:t>
                  </w:r>
                  <w:r>
                    <w:rPr>
                      <w:rFonts w:hint="eastAsia" w:ascii="Times New Roman" w:hAnsi="Times New Roman" w:eastAsia="宋体" w:cs="Times New Roman"/>
                      <w:color w:val="auto"/>
                      <w:sz w:val="21"/>
                      <w:szCs w:val="21"/>
                      <w:lang w:val="en-US" w:eastAsia="zh-CN"/>
                    </w:rPr>
                    <w:t>00-039-49</w:t>
                  </w:r>
                </w:p>
              </w:tc>
              <w:tc>
                <w:tcPr>
                  <w:tcW w:w="526" w:type="pct"/>
                  <w:vAlign w:val="center"/>
                </w:tcPr>
                <w:p w14:paraId="069E1AF6">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0.5</w:t>
                  </w:r>
                </w:p>
              </w:tc>
              <w:tc>
                <w:tcPr>
                  <w:tcW w:w="551" w:type="pct"/>
                  <w:shd w:val="clear" w:color="auto" w:fill="auto"/>
                  <w:vAlign w:val="center"/>
                </w:tcPr>
                <w:p w14:paraId="256C805F">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废气处理</w:t>
                  </w:r>
                </w:p>
              </w:tc>
              <w:tc>
                <w:tcPr>
                  <w:tcW w:w="409" w:type="pct"/>
                  <w:shd w:val="clear" w:color="auto" w:fill="auto"/>
                  <w:vAlign w:val="center"/>
                </w:tcPr>
                <w:p w14:paraId="35B55E14">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固态</w:t>
                  </w:r>
                </w:p>
              </w:tc>
              <w:tc>
                <w:tcPr>
                  <w:tcW w:w="509" w:type="pct"/>
                  <w:vAlign w:val="center"/>
                </w:tcPr>
                <w:p w14:paraId="70C32987">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T/I</w:t>
                  </w:r>
                </w:p>
              </w:tc>
              <w:tc>
                <w:tcPr>
                  <w:tcW w:w="372" w:type="pct"/>
                  <w:vMerge w:val="continue"/>
                  <w:vAlign w:val="center"/>
                </w:tcPr>
                <w:p w14:paraId="09D41354">
                  <w:pPr>
                    <w:jc w:val="center"/>
                    <w:rPr>
                      <w:rFonts w:hint="eastAsia" w:ascii="Times New Roman" w:hAnsi="Times New Roman" w:eastAsia="宋体" w:cs="Times New Roman"/>
                      <w:color w:val="auto"/>
                      <w:sz w:val="21"/>
                      <w:szCs w:val="21"/>
                      <w:lang w:eastAsia="zh-CN"/>
                    </w:rPr>
                  </w:pPr>
                </w:p>
              </w:tc>
              <w:tc>
                <w:tcPr>
                  <w:tcW w:w="289" w:type="pct"/>
                  <w:vAlign w:val="center"/>
                </w:tcPr>
                <w:p w14:paraId="5BF1EA71">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密闭桶装</w:t>
                  </w:r>
                </w:p>
              </w:tc>
              <w:tc>
                <w:tcPr>
                  <w:tcW w:w="337" w:type="pct"/>
                  <w:vMerge w:val="continue"/>
                  <w:vAlign w:val="center"/>
                </w:tcPr>
                <w:p w14:paraId="41B3E24F">
                  <w:pPr>
                    <w:pStyle w:val="18"/>
                    <w:tabs>
                      <w:tab w:val="left" w:pos="2944"/>
                    </w:tabs>
                    <w:adjustRightInd w:val="0"/>
                    <w:snapToGrid w:val="0"/>
                    <w:jc w:val="center"/>
                    <w:rPr>
                      <w:rFonts w:hint="eastAsia" w:ascii="Times New Roman" w:hAnsi="Times New Roman" w:cs="Times New Roman"/>
                      <w:color w:val="auto"/>
                      <w:sz w:val="21"/>
                      <w:szCs w:val="21"/>
                      <w:lang w:val="en-US" w:eastAsia="zh-CN"/>
                    </w:rPr>
                  </w:pPr>
                </w:p>
              </w:tc>
            </w:tr>
          </w:tbl>
          <w:p w14:paraId="4ED48003">
            <w:pPr>
              <w:kinsoku w:val="0"/>
              <w:overflowPunct w:val="0"/>
              <w:autoSpaceDE w:val="0"/>
              <w:autoSpaceDN w:val="0"/>
              <w:adjustRightInd w:val="0"/>
              <w:spacing w:line="360" w:lineRule="auto"/>
              <w:ind w:firstLine="482" w:firstLineChars="200"/>
              <w:rPr>
                <w:b/>
                <w:bCs/>
                <w:color w:val="auto"/>
                <w:sz w:val="24"/>
              </w:rPr>
            </w:pPr>
            <w:r>
              <w:rPr>
                <w:b/>
                <w:bCs/>
                <w:color w:val="auto"/>
                <w:sz w:val="24"/>
              </w:rPr>
              <w:t>危险废物收集暂存场所</w:t>
            </w:r>
          </w:p>
          <w:p w14:paraId="15445F3F">
            <w:pPr>
              <w:kinsoku w:val="0"/>
              <w:overflowPunct w:val="0"/>
              <w:autoSpaceDE w:val="0"/>
              <w:autoSpaceDN w:val="0"/>
              <w:adjustRightInd w:val="0"/>
              <w:spacing w:line="360" w:lineRule="auto"/>
              <w:ind w:firstLine="482" w:firstLineChars="200"/>
              <w:rPr>
                <w:b/>
                <w:bCs/>
                <w:color w:val="auto"/>
                <w:sz w:val="24"/>
              </w:rPr>
            </w:pPr>
            <w:r>
              <w:rPr>
                <w:b/>
                <w:bCs/>
                <w:color w:val="auto"/>
                <w:kern w:val="0"/>
                <w:sz w:val="24"/>
                <w:lang w:bidi="ar"/>
              </w:rPr>
              <w:t>危废管理要求：</w:t>
            </w:r>
          </w:p>
          <w:p w14:paraId="015FA140">
            <w:pPr>
              <w:widowControl/>
              <w:spacing w:line="360" w:lineRule="auto"/>
              <w:jc w:val="left"/>
              <w:rPr>
                <w:color w:val="auto"/>
                <w:sz w:val="24"/>
              </w:rPr>
            </w:pPr>
            <w:r>
              <w:rPr>
                <w:color w:val="auto"/>
                <w:kern w:val="0"/>
                <w:sz w:val="24"/>
                <w:lang w:bidi="ar"/>
              </w:rPr>
              <w:t xml:space="preserve">1）包装 </w:t>
            </w:r>
          </w:p>
          <w:p w14:paraId="4F9F99F5">
            <w:pPr>
              <w:widowControl/>
              <w:spacing w:line="360" w:lineRule="auto"/>
              <w:ind w:firstLine="480" w:firstLineChars="200"/>
              <w:jc w:val="left"/>
              <w:rPr>
                <w:rFonts w:hint="eastAsia" w:ascii="Times New Roman" w:hAnsi="Times New Roman" w:eastAsia="宋体" w:cs="Times New Roman"/>
                <w:color w:val="auto"/>
                <w:kern w:val="0"/>
                <w:sz w:val="24"/>
                <w:lang w:val="en-US" w:eastAsia="zh-CN" w:bidi="ar"/>
              </w:rPr>
            </w:pPr>
            <w:r>
              <w:rPr>
                <w:color w:val="auto"/>
                <w:kern w:val="0"/>
                <w:sz w:val="24"/>
                <w:lang w:bidi="ar"/>
              </w:rPr>
              <w:t>危险废物收集时应根据</w:t>
            </w:r>
            <w:r>
              <w:rPr>
                <w:rFonts w:hint="eastAsia"/>
                <w:color w:val="auto"/>
                <w:kern w:val="0"/>
                <w:sz w:val="24"/>
                <w:lang w:val="en-US" w:eastAsia="zh-CN" w:bidi="ar"/>
              </w:rPr>
              <w:t>废化学品包装物、废润滑油和废含油抹布和</w:t>
            </w:r>
            <w:r>
              <w:rPr>
                <w:rFonts w:hint="eastAsia" w:ascii="Times New Roman" w:hAnsi="Times New Roman" w:eastAsia="宋体" w:cs="Times New Roman"/>
                <w:color w:val="auto"/>
                <w:kern w:val="0"/>
                <w:sz w:val="24"/>
                <w:lang w:val="en-US" w:eastAsia="zh-CN" w:bidi="ar"/>
              </w:rPr>
              <w:t xml:space="preserve">手套、废活性炭不同形态来确定包装形式，具体包装应符合如下要求： </w:t>
            </w:r>
          </w:p>
          <w:p w14:paraId="63CD7078">
            <w:pPr>
              <w:widowControl/>
              <w:spacing w:line="360" w:lineRule="auto"/>
              <w:ind w:firstLine="480" w:firstLineChars="200"/>
              <w:jc w:val="left"/>
              <w:rPr>
                <w:rFonts w:hint="eastAsia" w:ascii="Times New Roman" w:hAnsi="Times New Roman" w:eastAsia="宋体" w:cs="Times New Roman"/>
                <w:color w:val="auto"/>
                <w:kern w:val="0"/>
                <w:sz w:val="24"/>
                <w:lang w:val="en-US" w:eastAsia="zh-CN" w:bidi="ar"/>
              </w:rPr>
            </w:pPr>
            <w:r>
              <w:rPr>
                <w:rFonts w:hint="eastAsia" w:ascii="Times New Roman" w:hAnsi="Times New Roman" w:eastAsia="宋体" w:cs="Times New Roman"/>
                <w:color w:val="auto"/>
                <w:kern w:val="0"/>
                <w:sz w:val="24"/>
                <w:lang w:val="en-US" w:eastAsia="zh-CN" w:bidi="ar"/>
              </w:rPr>
              <w:t xml:space="preserve">A、废化学包装物、废含油抹布和手套利用包装袋进行包装后运输，废润滑油、废活性炭利用桶装进行盛放运输。 </w:t>
            </w:r>
          </w:p>
          <w:p w14:paraId="2DED0672">
            <w:pPr>
              <w:widowControl/>
              <w:spacing w:line="360" w:lineRule="auto"/>
              <w:ind w:firstLine="480" w:firstLineChars="200"/>
              <w:jc w:val="left"/>
              <w:rPr>
                <w:color w:val="auto"/>
                <w:sz w:val="24"/>
              </w:rPr>
            </w:pPr>
            <w:r>
              <w:rPr>
                <w:color w:val="auto"/>
                <w:kern w:val="0"/>
                <w:sz w:val="24"/>
                <w:lang w:bidi="ar"/>
              </w:rPr>
              <w:t>B、</w:t>
            </w:r>
            <w:r>
              <w:rPr>
                <w:rFonts w:hint="eastAsia"/>
                <w:color w:val="auto"/>
                <w:kern w:val="0"/>
                <w:sz w:val="24"/>
                <w:lang w:val="en-US" w:eastAsia="zh-CN" w:bidi="ar"/>
              </w:rPr>
              <w:t>两类</w:t>
            </w:r>
            <w:r>
              <w:rPr>
                <w:color w:val="auto"/>
                <w:kern w:val="0"/>
                <w:sz w:val="24"/>
                <w:lang w:bidi="ar"/>
              </w:rPr>
              <w:t>废物</w:t>
            </w:r>
            <w:r>
              <w:rPr>
                <w:rFonts w:hint="eastAsia"/>
                <w:color w:val="auto"/>
                <w:kern w:val="0"/>
                <w:sz w:val="24"/>
                <w:lang w:val="en-US" w:eastAsia="zh-CN" w:bidi="ar"/>
              </w:rPr>
              <w:t>不</w:t>
            </w:r>
            <w:r>
              <w:rPr>
                <w:color w:val="auto"/>
                <w:kern w:val="0"/>
                <w:sz w:val="24"/>
                <w:lang w:bidi="ar"/>
              </w:rPr>
              <w:t>可收集到同一容器中，性质不相容的危险废物不应混合包装。</w:t>
            </w:r>
          </w:p>
          <w:p w14:paraId="2C887382">
            <w:pPr>
              <w:widowControl/>
              <w:spacing w:line="360" w:lineRule="auto"/>
              <w:ind w:firstLine="480" w:firstLineChars="200"/>
              <w:jc w:val="left"/>
              <w:rPr>
                <w:color w:val="auto"/>
                <w:sz w:val="24"/>
              </w:rPr>
            </w:pPr>
            <w:r>
              <w:rPr>
                <w:color w:val="auto"/>
                <w:kern w:val="0"/>
                <w:sz w:val="24"/>
                <w:lang w:bidi="ar"/>
              </w:rPr>
              <w:t>C、危险废物包装应能有效隔断危险废物迁移扩散途径，并达到防渗、防漏要求。</w:t>
            </w:r>
          </w:p>
          <w:p w14:paraId="5EF5982D">
            <w:pPr>
              <w:widowControl/>
              <w:spacing w:line="360" w:lineRule="auto"/>
              <w:ind w:firstLine="480" w:firstLineChars="200"/>
              <w:jc w:val="left"/>
              <w:rPr>
                <w:color w:val="auto"/>
                <w:sz w:val="24"/>
              </w:rPr>
            </w:pPr>
            <w:r>
              <w:rPr>
                <w:color w:val="auto"/>
                <w:kern w:val="0"/>
                <w:sz w:val="24"/>
                <w:lang w:bidi="ar"/>
              </w:rPr>
              <w:t xml:space="preserve">D、包装好的危险废物应设置相应的标签，标签信息应填写完整详实。 </w:t>
            </w:r>
          </w:p>
          <w:p w14:paraId="294D6250">
            <w:pPr>
              <w:widowControl/>
              <w:spacing w:line="360" w:lineRule="auto"/>
              <w:ind w:firstLine="480" w:firstLineChars="200"/>
              <w:jc w:val="left"/>
              <w:rPr>
                <w:color w:val="auto"/>
                <w:sz w:val="24"/>
              </w:rPr>
            </w:pPr>
            <w:r>
              <w:rPr>
                <w:color w:val="auto"/>
                <w:kern w:val="0"/>
                <w:sz w:val="24"/>
                <w:lang w:bidi="ar"/>
              </w:rPr>
              <w:t xml:space="preserve">E、盛装过危险废物的包装袋或包装容器破损后应按危险废物进行管理和处置。 </w:t>
            </w:r>
          </w:p>
          <w:p w14:paraId="0D4F44D4">
            <w:pPr>
              <w:widowControl/>
              <w:spacing w:line="360" w:lineRule="auto"/>
              <w:ind w:firstLine="480" w:firstLineChars="200"/>
              <w:jc w:val="left"/>
              <w:rPr>
                <w:color w:val="auto"/>
                <w:sz w:val="24"/>
              </w:rPr>
            </w:pPr>
            <w:r>
              <w:rPr>
                <w:color w:val="auto"/>
                <w:kern w:val="0"/>
                <w:sz w:val="24"/>
                <w:lang w:bidi="ar"/>
              </w:rPr>
              <w:t>F、危险废物还应根据 GB12463 的有关要求进行运输包装。</w:t>
            </w:r>
          </w:p>
          <w:p w14:paraId="2302BEAB">
            <w:pPr>
              <w:widowControl/>
              <w:spacing w:line="360" w:lineRule="auto"/>
              <w:jc w:val="left"/>
              <w:rPr>
                <w:color w:val="auto"/>
                <w:kern w:val="0"/>
                <w:sz w:val="24"/>
                <w:lang w:bidi="ar"/>
              </w:rPr>
            </w:pPr>
            <w:r>
              <w:rPr>
                <w:color w:val="auto"/>
                <w:kern w:val="0"/>
                <w:sz w:val="24"/>
                <w:lang w:bidi="ar"/>
              </w:rPr>
              <w:t>2）运输</w:t>
            </w:r>
          </w:p>
          <w:p w14:paraId="319ED8D6">
            <w:pPr>
              <w:widowControl/>
              <w:spacing w:line="360" w:lineRule="auto"/>
              <w:ind w:firstLine="480" w:firstLineChars="200"/>
              <w:jc w:val="left"/>
              <w:rPr>
                <w:color w:val="auto"/>
                <w:sz w:val="24"/>
              </w:rPr>
            </w:pPr>
            <w:r>
              <w:rPr>
                <w:color w:val="auto"/>
                <w:kern w:val="0"/>
                <w:sz w:val="24"/>
                <w:lang w:bidi="ar"/>
              </w:rPr>
              <w:t xml:space="preserve">危险废物内部转运作业应满足如下要求： </w:t>
            </w:r>
          </w:p>
          <w:p w14:paraId="3FF7C071">
            <w:pPr>
              <w:widowControl/>
              <w:spacing w:line="360" w:lineRule="auto"/>
              <w:ind w:firstLine="480" w:firstLineChars="200"/>
              <w:rPr>
                <w:rFonts w:hint="eastAsia" w:eastAsia="宋体"/>
                <w:color w:val="auto"/>
                <w:sz w:val="24"/>
                <w:lang w:eastAsia="zh-CN"/>
              </w:rPr>
            </w:pPr>
            <w:r>
              <w:rPr>
                <w:color w:val="auto"/>
                <w:kern w:val="0"/>
                <w:sz w:val="24"/>
                <w:lang w:bidi="ar"/>
              </w:rPr>
              <w:t>A、危险废物内部转运应考虑厂区的</w:t>
            </w:r>
            <w:r>
              <w:rPr>
                <w:rFonts w:hint="eastAsia"/>
                <w:color w:val="auto"/>
                <w:kern w:val="0"/>
                <w:sz w:val="24"/>
                <w:lang w:eastAsia="zh-CN" w:bidi="ar"/>
              </w:rPr>
              <w:t>布局</w:t>
            </w:r>
            <w:r>
              <w:rPr>
                <w:color w:val="auto"/>
                <w:kern w:val="0"/>
                <w:sz w:val="24"/>
                <w:lang w:bidi="ar"/>
              </w:rPr>
              <w:t>实际情况确定转运路线，避开</w:t>
            </w:r>
            <w:r>
              <w:rPr>
                <w:rFonts w:hint="eastAsia"/>
                <w:color w:val="auto"/>
                <w:kern w:val="0"/>
                <w:sz w:val="24"/>
                <w:lang w:eastAsia="zh-CN" w:bidi="ar"/>
              </w:rPr>
              <w:t>综合服务楼。</w:t>
            </w:r>
          </w:p>
          <w:p w14:paraId="6B354750">
            <w:pPr>
              <w:spacing w:line="360" w:lineRule="auto"/>
              <w:ind w:firstLine="482"/>
              <w:rPr>
                <w:color w:val="auto"/>
                <w:kern w:val="0"/>
                <w:sz w:val="24"/>
                <w:lang w:bidi="ar"/>
              </w:rPr>
            </w:pPr>
            <w:r>
              <w:rPr>
                <w:color w:val="auto"/>
                <w:kern w:val="0"/>
                <w:sz w:val="24"/>
                <w:lang w:bidi="ar"/>
              </w:rPr>
              <w:t>B、危险废物内部转运作业应采用专用的工具，危险废物内部转运应参照《危险废物收集 贮存 运输技术规范》（HJ2025-2012）中附录B填写《危险废物厂内转运记录表》。</w:t>
            </w:r>
          </w:p>
          <w:p w14:paraId="7E70D4BB">
            <w:pPr>
              <w:spacing w:line="360" w:lineRule="auto"/>
              <w:ind w:firstLine="482"/>
              <w:rPr>
                <w:color w:val="auto"/>
                <w:kern w:val="0"/>
                <w:sz w:val="24"/>
              </w:rPr>
            </w:pPr>
            <w:r>
              <w:rPr>
                <w:color w:val="auto"/>
                <w:kern w:val="0"/>
                <w:sz w:val="24"/>
                <w:lang w:bidi="ar"/>
              </w:rPr>
              <w:t>C、危险废物内部转运结束后，应对转运线路检查和清理，确保无危险废物遗失在转运路线上，并对转运工具进行清洗。</w:t>
            </w:r>
          </w:p>
          <w:p w14:paraId="553B781E">
            <w:pPr>
              <w:spacing w:line="360" w:lineRule="auto"/>
              <w:rPr>
                <w:color w:val="auto"/>
                <w:kern w:val="0"/>
                <w:sz w:val="24"/>
              </w:rPr>
            </w:pPr>
            <w:r>
              <w:rPr>
                <w:color w:val="auto"/>
                <w:kern w:val="0"/>
                <w:sz w:val="24"/>
              </w:rPr>
              <w:t>3）贮存</w:t>
            </w:r>
          </w:p>
          <w:p w14:paraId="0ABC6F5C">
            <w:pPr>
              <w:widowControl/>
              <w:spacing w:line="360" w:lineRule="auto"/>
              <w:ind w:firstLine="480" w:firstLineChars="200"/>
              <w:rPr>
                <w:color w:val="auto"/>
                <w:sz w:val="24"/>
              </w:rPr>
            </w:pPr>
            <w:r>
              <w:rPr>
                <w:color w:val="auto"/>
                <w:kern w:val="0"/>
                <w:sz w:val="24"/>
                <w:lang w:bidi="ar"/>
              </w:rPr>
              <w:t>本项目</w:t>
            </w:r>
            <w:r>
              <w:rPr>
                <w:rFonts w:hint="eastAsia"/>
                <w:color w:val="auto"/>
                <w:kern w:val="0"/>
                <w:sz w:val="24"/>
                <w:lang w:eastAsia="zh-CN" w:bidi="ar"/>
              </w:rPr>
              <w:t>新建危废库，位于</w:t>
            </w:r>
            <w:r>
              <w:rPr>
                <w:rFonts w:hint="eastAsia"/>
                <w:color w:val="auto"/>
                <w:kern w:val="0"/>
                <w:sz w:val="24"/>
                <w:lang w:val="en-US" w:eastAsia="zh-CN" w:bidi="ar"/>
              </w:rPr>
              <w:t>丙类仓库</w:t>
            </w:r>
            <w:r>
              <w:rPr>
                <w:rFonts w:hint="eastAsia"/>
                <w:color w:val="auto"/>
                <w:kern w:val="0"/>
                <w:sz w:val="24"/>
                <w:lang w:eastAsia="zh-CN" w:bidi="ar"/>
              </w:rPr>
              <w:t>，建筑面积</w:t>
            </w:r>
            <w:r>
              <w:rPr>
                <w:rFonts w:hint="eastAsia"/>
                <w:color w:val="auto"/>
                <w:kern w:val="0"/>
                <w:sz w:val="24"/>
                <w:lang w:val="en-US" w:eastAsia="zh-CN" w:bidi="ar"/>
              </w:rPr>
              <w:t>25平方米。</w:t>
            </w:r>
            <w:r>
              <w:rPr>
                <w:color w:val="auto"/>
                <w:kern w:val="0"/>
                <w:sz w:val="24"/>
                <w:lang w:bidi="ar"/>
              </w:rPr>
              <w:t>危废间地面采取重点防腐防渗，地面无裂缝，配备通讯设备、照明设施、安全防护服装及工具，并设有应急防护设施，内部放置防渗漏密封桶以及防渗托盘，</w:t>
            </w:r>
            <w:r>
              <w:rPr>
                <w:rFonts w:hint="eastAsia"/>
                <w:color w:val="auto"/>
                <w:kern w:val="0"/>
                <w:sz w:val="24"/>
                <w:lang w:eastAsia="zh-CN" w:bidi="ar"/>
              </w:rPr>
              <w:t>废润滑油</w:t>
            </w:r>
            <w:r>
              <w:rPr>
                <w:color w:val="auto"/>
                <w:kern w:val="0"/>
                <w:sz w:val="24"/>
                <w:lang w:bidi="ar"/>
              </w:rPr>
              <w:t>用密封桶封装，避免对地下水产生影响。定期对危废间进行检查，发现破损，应及时进行修理；贮存场所应设置警示标志，危险废物必须粘贴危废识别标志，配备称重设备；危废年周转次数至少</w:t>
            </w:r>
            <w:r>
              <w:rPr>
                <w:rFonts w:hint="eastAsia"/>
                <w:color w:val="auto"/>
                <w:kern w:val="0"/>
                <w:sz w:val="24"/>
                <w:lang w:bidi="ar"/>
              </w:rPr>
              <w:t>4</w:t>
            </w:r>
            <w:r>
              <w:rPr>
                <w:color w:val="auto"/>
                <w:kern w:val="0"/>
                <w:sz w:val="24"/>
                <w:lang w:bidi="ar"/>
              </w:rPr>
              <w:t>次。延长贮存期限的，需报经环保部门批准；做好危险废物情况的纪录，记录上须注明危险废物的名称、来源、数量、特性和包装容器的类别、入库日期、堆放库位、废物出库日期及接收单位名称。</w:t>
            </w:r>
          </w:p>
          <w:p w14:paraId="02D8ED16">
            <w:pPr>
              <w:widowControl/>
              <w:spacing w:line="360" w:lineRule="auto"/>
              <w:ind w:firstLine="480" w:firstLineChars="200"/>
              <w:rPr>
                <w:color w:val="auto"/>
              </w:rPr>
            </w:pPr>
            <w:r>
              <w:rPr>
                <w:color w:val="auto"/>
                <w:kern w:val="0"/>
                <w:sz w:val="24"/>
                <w:lang w:bidi="ar"/>
              </w:rPr>
              <w:t>采取以上措施后，项目产生的危险废物均可得到有效处置，不会造成二次污染，从环保角度考虑，危险固体废物防治措施可行。</w:t>
            </w:r>
          </w:p>
          <w:p w14:paraId="4E8DA6C0">
            <w:pPr>
              <w:adjustRightInd w:val="0"/>
              <w:snapToGrid w:val="0"/>
              <w:spacing w:line="360" w:lineRule="auto"/>
              <w:rPr>
                <w:b/>
                <w:color w:val="auto"/>
                <w:sz w:val="24"/>
              </w:rPr>
            </w:pPr>
            <w:r>
              <w:rPr>
                <w:b/>
                <w:color w:val="auto"/>
                <w:sz w:val="24"/>
              </w:rPr>
              <w:t>五、土壤和地下水</w:t>
            </w:r>
          </w:p>
          <w:p w14:paraId="78F7E192">
            <w:pPr>
              <w:pStyle w:val="38"/>
              <w:snapToGrid w:val="0"/>
              <w:spacing w:line="360" w:lineRule="auto"/>
              <w:rPr>
                <w:rFonts w:ascii="Times New Roman" w:eastAsia="宋体" w:cs="Times New Roman"/>
                <w:b/>
                <w:bCs/>
                <w:color w:val="auto"/>
              </w:rPr>
            </w:pPr>
            <w:r>
              <w:rPr>
                <w:rFonts w:ascii="Times New Roman" w:eastAsia="宋体" w:cs="Times New Roman"/>
                <w:b/>
                <w:bCs/>
                <w:color w:val="auto"/>
              </w:rPr>
              <w:t>1、土壤、地下水污染类型及途径</w:t>
            </w:r>
          </w:p>
          <w:p w14:paraId="0D3C6AAB">
            <w:pPr>
              <w:pStyle w:val="38"/>
              <w:snapToGrid w:val="0"/>
              <w:spacing w:line="360" w:lineRule="auto"/>
              <w:ind w:firstLineChars="200"/>
              <w:rPr>
                <w:rFonts w:ascii="Times New Roman" w:eastAsia="宋体" w:cs="Times New Roman"/>
                <w:b w:val="0"/>
                <w:bCs w:val="0"/>
                <w:color w:val="auto"/>
              </w:rPr>
            </w:pPr>
            <w:r>
              <w:rPr>
                <w:rFonts w:ascii="Times New Roman" w:eastAsia="宋体" w:cs="Times New Roman"/>
                <w:b w:val="0"/>
                <w:bCs w:val="0"/>
                <w:color w:val="auto"/>
              </w:rPr>
              <w:t>本</w:t>
            </w:r>
            <w:r>
              <w:rPr>
                <w:rFonts w:hint="eastAsia" w:ascii="Times New Roman" w:eastAsia="宋体" w:cs="Times New Roman"/>
                <w:b w:val="0"/>
                <w:bCs w:val="0"/>
                <w:color w:val="auto"/>
                <w:lang w:eastAsia="zh-CN"/>
              </w:rPr>
              <w:t>项目</w:t>
            </w:r>
            <w:r>
              <w:rPr>
                <w:rFonts w:hint="eastAsia" w:ascii="Times New Roman" w:eastAsia="宋体" w:cs="Times New Roman"/>
                <w:b w:val="0"/>
                <w:bCs w:val="0"/>
                <w:color w:val="auto"/>
              </w:rPr>
              <w:t>营运期对土壤和地下水的污染是</w:t>
            </w:r>
            <w:r>
              <w:rPr>
                <w:rFonts w:hint="eastAsia" w:ascii="Times New Roman" w:eastAsia="宋体" w:cs="Times New Roman"/>
                <w:b w:val="0"/>
                <w:bCs w:val="0"/>
                <w:color w:val="auto"/>
                <w:lang w:eastAsia="zh-CN"/>
              </w:rPr>
              <w:t>罐</w:t>
            </w:r>
            <w:r>
              <w:rPr>
                <w:rFonts w:hint="eastAsia" w:ascii="Times New Roman" w:hAnsi="Times New Roman" w:eastAsia="宋体" w:cs="Times New Roman"/>
                <w:b w:val="0"/>
                <w:bCs w:val="0"/>
                <w:color w:val="auto"/>
                <w:lang w:eastAsia="zh-CN"/>
              </w:rPr>
              <w:t>区、丙类仓库的化学品库和危废库以</w:t>
            </w:r>
            <w:r>
              <w:rPr>
                <w:rFonts w:hint="eastAsia" w:ascii="Times New Roman" w:eastAsia="宋体" w:cs="Times New Roman"/>
                <w:b w:val="0"/>
                <w:bCs w:val="0"/>
                <w:color w:val="auto"/>
                <w:lang w:eastAsia="zh-CN"/>
              </w:rPr>
              <w:t>及主厂房的等液体物料泄漏</w:t>
            </w:r>
            <w:r>
              <w:rPr>
                <w:rFonts w:hint="eastAsia" w:ascii="Times New Roman" w:eastAsia="宋体" w:cs="Times New Roman"/>
                <w:b w:val="0"/>
                <w:bCs w:val="0"/>
                <w:color w:val="auto"/>
              </w:rPr>
              <w:t>，对地下水和土壤的影响。</w:t>
            </w:r>
            <w:r>
              <w:rPr>
                <w:rFonts w:hint="eastAsia" w:ascii="Times New Roman" w:eastAsia="宋体" w:cs="Times New Roman"/>
                <w:b w:val="0"/>
                <w:bCs w:val="0"/>
                <w:color w:val="auto"/>
                <w:lang w:eastAsia="zh-CN"/>
              </w:rPr>
              <w:t>本项目罐区、主厂房、危废库和化学品库均进行分区</w:t>
            </w:r>
            <w:r>
              <w:rPr>
                <w:rFonts w:hint="eastAsia" w:ascii="Times New Roman" w:eastAsia="宋体" w:cs="Times New Roman"/>
                <w:b w:val="0"/>
                <w:bCs w:val="0"/>
                <w:color w:val="auto"/>
              </w:rPr>
              <w:t>防渗，对土壤和地下水环境影响较小，可忽略。</w:t>
            </w:r>
          </w:p>
          <w:p w14:paraId="47BCF1F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color w:val="auto"/>
                <w:sz w:val="24"/>
                <w:szCs w:val="32"/>
              </w:rPr>
            </w:pPr>
            <w:r>
              <w:rPr>
                <w:b/>
                <w:bCs/>
                <w:color w:val="auto"/>
                <w:sz w:val="24"/>
                <w:szCs w:val="32"/>
              </w:rPr>
              <w:t>2、土壤及地下水防控措施</w:t>
            </w:r>
          </w:p>
          <w:p w14:paraId="6CD8869E">
            <w:pPr>
              <w:spacing w:line="360" w:lineRule="auto"/>
              <w:ind w:firstLine="480" w:firstLineChars="200"/>
              <w:rPr>
                <w:color w:val="auto"/>
                <w:sz w:val="24"/>
                <w:szCs w:val="24"/>
              </w:rPr>
            </w:pPr>
            <w:r>
              <w:rPr>
                <w:color w:val="auto"/>
                <w:sz w:val="24"/>
                <w:szCs w:val="24"/>
              </w:rPr>
              <w:t>根据项目特点，</w:t>
            </w:r>
            <w:r>
              <w:rPr>
                <w:rFonts w:hint="eastAsia"/>
                <w:color w:val="auto"/>
                <w:sz w:val="24"/>
                <w:szCs w:val="24"/>
              </w:rPr>
              <w:t>本项目分区防渗情况如下：</w:t>
            </w:r>
          </w:p>
          <w:p w14:paraId="41EADB26">
            <w:pPr>
              <w:spacing w:line="360" w:lineRule="auto"/>
              <w:ind w:firstLine="480" w:firstLineChars="200"/>
              <w:rPr>
                <w:rFonts w:hint="eastAsia" w:ascii="Times New Roman" w:hAnsi="Times New Roman" w:eastAsia="宋体" w:cs="Times New Roman"/>
                <w:color w:val="auto"/>
                <w:sz w:val="24"/>
                <w:szCs w:val="24"/>
              </w:rPr>
            </w:pPr>
            <w:r>
              <w:rPr>
                <w:rFonts w:ascii="Times New Roman" w:hAnsi="Times New Roman" w:eastAsia="宋体" w:cs="Times New Roman"/>
                <w:color w:val="auto"/>
                <w:sz w:val="24"/>
                <w:szCs w:val="24"/>
              </w:rPr>
              <w:t>重点防渗区：</w:t>
            </w:r>
            <w:r>
              <w:rPr>
                <w:rFonts w:hint="eastAsia" w:cs="Times New Roman"/>
                <w:color w:val="auto"/>
                <w:sz w:val="24"/>
                <w:szCs w:val="24"/>
                <w:lang w:eastAsia="zh-CN"/>
              </w:rPr>
              <w:t>厂房一、储罐区、危废库和化学品库</w:t>
            </w:r>
            <w:r>
              <w:rPr>
                <w:rFonts w:hint="eastAsia" w:ascii="Times New Roman" w:hAnsi="Times New Roman" w:eastAsia="宋体" w:cs="Times New Roman"/>
                <w:color w:val="auto"/>
                <w:sz w:val="24"/>
                <w:szCs w:val="24"/>
              </w:rPr>
              <w:t>。</w:t>
            </w:r>
          </w:p>
          <w:p w14:paraId="2A3AB874">
            <w:pPr>
              <w:spacing w:line="360" w:lineRule="auto"/>
              <w:ind w:firstLine="480" w:firstLineChars="20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一般防渗区：一般固废库。</w:t>
            </w:r>
          </w:p>
          <w:p w14:paraId="4CB658B1">
            <w:pPr>
              <w:spacing w:line="360" w:lineRule="auto"/>
              <w:ind w:firstLine="480" w:firstLineChars="200"/>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简单防渗：综合服务楼</w:t>
            </w:r>
            <w:r>
              <w:rPr>
                <w:rFonts w:hint="eastAsia" w:cs="Times New Roman"/>
                <w:color w:val="auto"/>
                <w:sz w:val="24"/>
                <w:szCs w:val="24"/>
                <w:lang w:val="en-US" w:eastAsia="zh-CN"/>
              </w:rPr>
              <w:t>、辅助车间</w:t>
            </w:r>
          </w:p>
          <w:p w14:paraId="5354C895">
            <w:pPr>
              <w:spacing w:line="360" w:lineRule="auto"/>
              <w:ind w:firstLine="480" w:firstLineChars="200"/>
              <w:rPr>
                <w:rFonts w:hint="eastAsia"/>
                <w:color w:val="auto"/>
                <w:sz w:val="24"/>
                <w:szCs w:val="24"/>
              </w:rPr>
            </w:pPr>
            <w:r>
              <w:rPr>
                <w:rFonts w:hint="eastAsia" w:ascii="Times New Roman" w:hAnsi="Times New Roman" w:eastAsia="宋体" w:cs="Times New Roman"/>
                <w:color w:val="auto"/>
                <w:sz w:val="24"/>
                <w:szCs w:val="24"/>
              </w:rPr>
              <w:t>项目应加强重点防</w:t>
            </w:r>
            <w:r>
              <w:rPr>
                <w:rFonts w:hint="eastAsia"/>
                <w:color w:val="auto"/>
                <w:sz w:val="24"/>
                <w:szCs w:val="24"/>
              </w:rPr>
              <w:t>渗区的防渗措施的建设、维护与保养，并委托有相关资质单位进行防渗工艺设计、施工；</w:t>
            </w:r>
          </w:p>
          <w:p w14:paraId="3C83AF5A">
            <w:pPr>
              <w:spacing w:line="360" w:lineRule="auto"/>
              <w:ind w:firstLine="480" w:firstLineChars="200"/>
              <w:rPr>
                <w:rFonts w:hint="eastAsia"/>
                <w:color w:val="auto"/>
                <w:sz w:val="24"/>
                <w:szCs w:val="24"/>
              </w:rPr>
            </w:pPr>
            <w:r>
              <w:rPr>
                <w:rFonts w:hint="eastAsia"/>
                <w:color w:val="auto"/>
                <w:sz w:val="24"/>
                <w:szCs w:val="24"/>
              </w:rPr>
              <w:t>定期检查重点防渗区的防治措施，防止污染物的跑、冒、滴、漏；</w:t>
            </w:r>
          </w:p>
          <w:p w14:paraId="147FB75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rPr>
            </w:pPr>
            <w:r>
              <w:rPr>
                <w:rFonts w:hint="eastAsia"/>
                <w:bCs/>
                <w:color w:val="auto"/>
                <w:sz w:val="24"/>
                <w:szCs w:val="24"/>
              </w:rPr>
              <w:t>项目在建设过程中做好污染防渗措施，运行期加强维护和管理情况下，</w:t>
            </w:r>
            <w:r>
              <w:rPr>
                <w:rFonts w:hint="eastAsia"/>
                <w:bCs/>
                <w:color w:val="auto"/>
                <w:sz w:val="24"/>
                <w:szCs w:val="24"/>
                <w:lang w:val="en-US" w:eastAsia="zh-CN"/>
              </w:rPr>
              <w:t>原辅材料</w:t>
            </w:r>
            <w:r>
              <w:rPr>
                <w:rFonts w:hint="eastAsia"/>
                <w:bCs/>
                <w:color w:val="auto"/>
                <w:sz w:val="24"/>
                <w:szCs w:val="24"/>
              </w:rPr>
              <w:t>等发生渗漏造成土壤、地下水污染的可能性较小，项目的建设运营对土壤、地下水环境的影响是可控的，对</w:t>
            </w:r>
            <w:r>
              <w:rPr>
                <w:rFonts w:hint="eastAsia" w:ascii="宋体" w:hAnsi="宋体" w:eastAsia="宋体" w:cs="宋体"/>
                <w:bCs/>
                <w:color w:val="auto"/>
                <w:sz w:val="24"/>
                <w:szCs w:val="24"/>
              </w:rPr>
              <w:t>土壤、地下水环境的影响从环保上来说是可接受的。</w:t>
            </w:r>
          </w:p>
          <w:p w14:paraId="33FAD92E">
            <w:pPr>
              <w:widowControl/>
              <w:jc w:val="center"/>
              <w:rPr>
                <w:b/>
                <w:color w:val="auto"/>
                <w:kern w:val="0"/>
                <w:szCs w:val="21"/>
              </w:rPr>
            </w:pPr>
            <w:r>
              <w:rPr>
                <w:rFonts w:hint="eastAsia"/>
                <w:b/>
                <w:color w:val="auto"/>
                <w:kern w:val="0"/>
                <w:szCs w:val="21"/>
              </w:rPr>
              <w:t>表</w:t>
            </w:r>
            <w:r>
              <w:rPr>
                <w:rFonts w:hint="eastAsia"/>
                <w:b/>
                <w:color w:val="auto"/>
                <w:kern w:val="0"/>
                <w:szCs w:val="21"/>
                <w:lang w:val="en-US" w:eastAsia="zh-CN"/>
              </w:rPr>
              <w:t>4-25</w:t>
            </w:r>
            <w:r>
              <w:rPr>
                <w:rFonts w:hint="eastAsia"/>
                <w:b/>
                <w:color w:val="auto"/>
                <w:kern w:val="0"/>
                <w:szCs w:val="21"/>
              </w:rPr>
              <w:t xml:space="preserve"> </w:t>
            </w:r>
            <w:r>
              <w:rPr>
                <w:b/>
                <w:color w:val="auto"/>
                <w:kern w:val="0"/>
                <w:szCs w:val="21"/>
              </w:rPr>
              <w:t>本项目分区防渗一览表</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3072"/>
              <w:gridCol w:w="2416"/>
              <w:gridCol w:w="3065"/>
            </w:tblGrid>
            <w:tr w14:paraId="308C6C7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95" w:type="pct"/>
                  <w:vAlign w:val="center"/>
                </w:tcPr>
                <w:p w14:paraId="040174E1">
                  <w:pPr>
                    <w:widowControl/>
                    <w:autoSpaceDN w:val="0"/>
                    <w:adjustRightInd w:val="0"/>
                    <w:snapToGrid w:val="0"/>
                    <w:jc w:val="center"/>
                    <w:rPr>
                      <w:b/>
                      <w:bCs/>
                      <w:color w:val="auto"/>
                      <w:sz w:val="21"/>
                      <w:szCs w:val="21"/>
                    </w:rPr>
                  </w:pPr>
                  <w:r>
                    <w:rPr>
                      <w:b/>
                      <w:bCs/>
                      <w:color w:val="auto"/>
                      <w:sz w:val="21"/>
                      <w:szCs w:val="21"/>
                    </w:rPr>
                    <w:t>装置、单元名称</w:t>
                  </w:r>
                </w:p>
              </w:tc>
              <w:tc>
                <w:tcPr>
                  <w:tcW w:w="1412" w:type="pct"/>
                  <w:vAlign w:val="center"/>
                </w:tcPr>
                <w:p w14:paraId="3D7DB625">
                  <w:pPr>
                    <w:widowControl/>
                    <w:autoSpaceDN w:val="0"/>
                    <w:adjustRightInd w:val="0"/>
                    <w:snapToGrid w:val="0"/>
                    <w:jc w:val="center"/>
                    <w:rPr>
                      <w:b/>
                      <w:bCs/>
                      <w:color w:val="auto"/>
                      <w:sz w:val="21"/>
                      <w:szCs w:val="21"/>
                    </w:rPr>
                  </w:pPr>
                  <w:r>
                    <w:rPr>
                      <w:b/>
                      <w:bCs/>
                      <w:color w:val="auto"/>
                      <w:sz w:val="21"/>
                      <w:szCs w:val="21"/>
                    </w:rPr>
                    <w:t>污染防治区类别</w:t>
                  </w:r>
                </w:p>
              </w:tc>
              <w:tc>
                <w:tcPr>
                  <w:tcW w:w="1791" w:type="pct"/>
                  <w:vAlign w:val="center"/>
                </w:tcPr>
                <w:p w14:paraId="61849F6B">
                  <w:pPr>
                    <w:widowControl/>
                    <w:autoSpaceDN w:val="0"/>
                    <w:adjustRightInd w:val="0"/>
                    <w:snapToGrid w:val="0"/>
                    <w:jc w:val="center"/>
                    <w:rPr>
                      <w:b/>
                      <w:bCs/>
                      <w:color w:val="auto"/>
                      <w:sz w:val="21"/>
                      <w:szCs w:val="21"/>
                    </w:rPr>
                  </w:pPr>
                  <w:r>
                    <w:rPr>
                      <w:b/>
                      <w:bCs/>
                      <w:color w:val="auto"/>
                      <w:sz w:val="21"/>
                      <w:szCs w:val="21"/>
                    </w:rPr>
                    <w:t>防渗设计要求</w:t>
                  </w:r>
                </w:p>
              </w:tc>
            </w:tr>
            <w:tr w14:paraId="7FC4C9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795" w:type="pct"/>
                  <w:vAlign w:val="center"/>
                </w:tcPr>
                <w:p w14:paraId="24532635">
                  <w:pPr>
                    <w:widowControl/>
                    <w:autoSpaceDN w:val="0"/>
                    <w:adjustRightInd w:val="0"/>
                    <w:snapToGrid w:val="0"/>
                    <w:jc w:val="center"/>
                    <w:rPr>
                      <w:rFonts w:hint="eastAsia" w:eastAsia="宋体"/>
                      <w:color w:val="auto"/>
                      <w:sz w:val="21"/>
                      <w:szCs w:val="21"/>
                      <w:lang w:eastAsia="zh-CN"/>
                    </w:rPr>
                  </w:pPr>
                  <w:r>
                    <w:rPr>
                      <w:rFonts w:hint="eastAsia"/>
                      <w:color w:val="auto"/>
                    </w:rPr>
                    <w:t>厂房一、储罐区、危废库和化学品库</w:t>
                  </w:r>
                </w:p>
              </w:tc>
              <w:tc>
                <w:tcPr>
                  <w:tcW w:w="1412" w:type="pct"/>
                  <w:vAlign w:val="center"/>
                </w:tcPr>
                <w:p w14:paraId="4AF68113">
                  <w:pPr>
                    <w:widowControl/>
                    <w:autoSpaceDN w:val="0"/>
                    <w:adjustRightInd w:val="0"/>
                    <w:snapToGrid w:val="0"/>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重点防渗区</w:t>
                  </w:r>
                </w:p>
              </w:tc>
              <w:tc>
                <w:tcPr>
                  <w:tcW w:w="1791" w:type="pct"/>
                  <w:vAlign w:val="center"/>
                </w:tcPr>
                <w:p w14:paraId="23DF32D6">
                  <w:pPr>
                    <w:widowControl/>
                    <w:autoSpaceDN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eastAsia="zh-CN"/>
                    </w:rPr>
                    <w:t>等效黏土防渗层Mb≥6.0m，渗透系数K≤10-7cm/s；</w:t>
                  </w:r>
                  <w:r>
                    <w:rPr>
                      <w:rFonts w:hint="eastAsia" w:ascii="Times New Roman" w:hAnsi="Times New Roman" w:eastAsia="宋体" w:cs="Times New Roman"/>
                      <w:color w:val="auto"/>
                      <w:sz w:val="21"/>
                      <w:szCs w:val="21"/>
                      <w:lang w:val="en-US" w:eastAsia="zh-CN"/>
                    </w:rPr>
                    <w:t>罐区设围堰</w:t>
                  </w:r>
                  <w:r>
                    <w:rPr>
                      <w:rFonts w:hint="eastAsia" w:cs="Times New Roman"/>
                      <w:color w:val="auto"/>
                      <w:sz w:val="21"/>
                      <w:szCs w:val="21"/>
                      <w:lang w:val="en-US" w:eastAsia="zh-CN"/>
                    </w:rPr>
                    <w:t>，围堰宽100mm，高150mm</w:t>
                  </w:r>
                </w:p>
              </w:tc>
            </w:tr>
            <w:tr w14:paraId="4E23081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95" w:type="pct"/>
                  <w:vAlign w:val="center"/>
                </w:tcPr>
                <w:p w14:paraId="01D6D37C">
                  <w:pPr>
                    <w:widowControl/>
                    <w:autoSpaceDN w:val="0"/>
                    <w:adjustRightInd w:val="0"/>
                    <w:snapToGrid w:val="0"/>
                    <w:jc w:val="center"/>
                    <w:rPr>
                      <w:rFonts w:hint="eastAsia" w:eastAsia="宋体"/>
                      <w:color w:val="auto"/>
                      <w:sz w:val="21"/>
                      <w:szCs w:val="21"/>
                      <w:lang w:eastAsia="zh-CN"/>
                    </w:rPr>
                  </w:pPr>
                  <w:r>
                    <w:rPr>
                      <w:rFonts w:hint="eastAsia" w:eastAsia="宋体"/>
                      <w:color w:val="auto"/>
                      <w:sz w:val="21"/>
                      <w:szCs w:val="21"/>
                      <w:lang w:val="en-US" w:eastAsia="zh-CN"/>
                    </w:rPr>
                    <w:t>一般固废库</w:t>
                  </w:r>
                </w:p>
              </w:tc>
              <w:tc>
                <w:tcPr>
                  <w:tcW w:w="1412" w:type="pct"/>
                  <w:vAlign w:val="center"/>
                </w:tcPr>
                <w:p w14:paraId="1FEAFBED">
                  <w:pPr>
                    <w:widowControl/>
                    <w:autoSpaceDN w:val="0"/>
                    <w:adjustRightInd w:val="0"/>
                    <w:snapToGrid w:val="0"/>
                    <w:jc w:val="center"/>
                    <w:rPr>
                      <w:rFonts w:hint="eastAsia" w:eastAsia="宋体"/>
                      <w:color w:val="auto"/>
                      <w:sz w:val="21"/>
                      <w:szCs w:val="21"/>
                      <w:lang w:eastAsia="zh-CN"/>
                    </w:rPr>
                  </w:pPr>
                  <w:r>
                    <w:rPr>
                      <w:rFonts w:hint="eastAsia" w:eastAsia="宋体"/>
                      <w:color w:val="auto"/>
                      <w:sz w:val="21"/>
                      <w:szCs w:val="21"/>
                      <w:lang w:eastAsia="zh-CN"/>
                    </w:rPr>
                    <w:t>一般防渗区</w:t>
                  </w:r>
                </w:p>
              </w:tc>
              <w:tc>
                <w:tcPr>
                  <w:tcW w:w="1791" w:type="pct"/>
                  <w:vAlign w:val="center"/>
                </w:tcPr>
                <w:p w14:paraId="092AE8AD">
                  <w:pPr>
                    <w:widowControl/>
                    <w:autoSpaceDN w:val="0"/>
                    <w:adjustRightInd w:val="0"/>
                    <w:snapToGrid w:val="0"/>
                    <w:jc w:val="center"/>
                    <w:rPr>
                      <w:rFonts w:hint="eastAsia" w:eastAsia="宋体"/>
                      <w:color w:val="auto"/>
                      <w:sz w:val="21"/>
                      <w:szCs w:val="21"/>
                      <w:lang w:eastAsia="zh-CN"/>
                    </w:rPr>
                  </w:pPr>
                  <w:r>
                    <w:rPr>
                      <w:rFonts w:hint="eastAsia" w:eastAsia="宋体"/>
                      <w:color w:val="auto"/>
                      <w:sz w:val="21"/>
                      <w:szCs w:val="21"/>
                      <w:lang w:eastAsia="zh-CN"/>
                    </w:rPr>
                    <w:t>等效黏土防渗层Mb≥1.5m，渗透系数K≤10-7cm/s</w:t>
                  </w:r>
                </w:p>
              </w:tc>
            </w:tr>
            <w:tr w14:paraId="23FFC80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95" w:type="pct"/>
                  <w:vAlign w:val="center"/>
                </w:tcPr>
                <w:p w14:paraId="50636E27">
                  <w:pPr>
                    <w:widowControl/>
                    <w:autoSpaceDN w:val="0"/>
                    <w:adjustRightInd w:val="0"/>
                    <w:snapToGrid w:val="0"/>
                    <w:jc w:val="center"/>
                    <w:rPr>
                      <w:rFonts w:hint="eastAsia" w:eastAsia="宋体"/>
                      <w:color w:val="auto"/>
                      <w:sz w:val="21"/>
                      <w:szCs w:val="21"/>
                      <w:lang w:val="en-US" w:eastAsia="zh-CN"/>
                    </w:rPr>
                  </w:pPr>
                  <w:r>
                    <w:rPr>
                      <w:rFonts w:hint="eastAsia" w:ascii="Times New Roman" w:hAnsi="Times New Roman" w:eastAsia="宋体" w:cs="Times New Roman"/>
                      <w:color w:val="auto"/>
                      <w:sz w:val="21"/>
                      <w:szCs w:val="21"/>
                      <w:lang w:val="en-US" w:eastAsia="zh-CN"/>
                    </w:rPr>
                    <w:t>综合</w:t>
                  </w:r>
                  <w:r>
                    <w:rPr>
                      <w:rFonts w:hint="eastAsia" w:cs="Times New Roman"/>
                      <w:color w:val="auto"/>
                      <w:sz w:val="21"/>
                      <w:szCs w:val="21"/>
                      <w:lang w:val="en-US" w:eastAsia="zh-CN"/>
                    </w:rPr>
                    <w:t>服务</w:t>
                  </w:r>
                  <w:r>
                    <w:rPr>
                      <w:rFonts w:hint="eastAsia" w:ascii="Times New Roman" w:hAnsi="Times New Roman" w:eastAsia="宋体" w:cs="Times New Roman"/>
                      <w:color w:val="auto"/>
                      <w:sz w:val="21"/>
                      <w:szCs w:val="21"/>
                      <w:lang w:val="en-US" w:eastAsia="zh-CN"/>
                    </w:rPr>
                    <w:t>楼</w:t>
                  </w:r>
                  <w:r>
                    <w:rPr>
                      <w:rFonts w:hint="eastAsia" w:cs="Times New Roman"/>
                      <w:color w:val="auto"/>
                      <w:sz w:val="21"/>
                      <w:szCs w:val="21"/>
                      <w:lang w:val="en-US" w:eastAsia="zh-CN"/>
                    </w:rPr>
                    <w:t>、辅助车间</w:t>
                  </w:r>
                </w:p>
              </w:tc>
              <w:tc>
                <w:tcPr>
                  <w:tcW w:w="1412" w:type="pct"/>
                  <w:vAlign w:val="center"/>
                </w:tcPr>
                <w:p w14:paraId="0E20BC38">
                  <w:pPr>
                    <w:widowControl/>
                    <w:autoSpaceDN w:val="0"/>
                    <w:adjustRightInd w:val="0"/>
                    <w:snapToGrid w:val="0"/>
                    <w:jc w:val="center"/>
                    <w:rPr>
                      <w:rFonts w:hint="eastAsia" w:eastAsia="宋体"/>
                      <w:color w:val="auto"/>
                      <w:sz w:val="21"/>
                      <w:szCs w:val="21"/>
                      <w:lang w:eastAsia="zh-CN"/>
                    </w:rPr>
                  </w:pPr>
                  <w:r>
                    <w:rPr>
                      <w:rFonts w:hint="eastAsia" w:eastAsia="宋体"/>
                      <w:color w:val="auto"/>
                      <w:sz w:val="21"/>
                      <w:szCs w:val="21"/>
                      <w:lang w:eastAsia="zh-CN"/>
                    </w:rPr>
                    <w:t>简单防渗</w:t>
                  </w:r>
                </w:p>
              </w:tc>
              <w:tc>
                <w:tcPr>
                  <w:tcW w:w="1791" w:type="pct"/>
                  <w:vAlign w:val="center"/>
                </w:tcPr>
                <w:p w14:paraId="3588FB53">
                  <w:pPr>
                    <w:widowControl/>
                    <w:autoSpaceDN w:val="0"/>
                    <w:adjustRightInd w:val="0"/>
                    <w:snapToGrid w:val="0"/>
                    <w:jc w:val="center"/>
                    <w:rPr>
                      <w:rFonts w:hint="eastAsia" w:eastAsia="宋体"/>
                      <w:color w:val="auto"/>
                      <w:sz w:val="21"/>
                      <w:szCs w:val="21"/>
                      <w:lang w:eastAsia="zh-CN"/>
                    </w:rPr>
                  </w:pPr>
                  <w:r>
                    <w:rPr>
                      <w:rFonts w:hint="eastAsia" w:eastAsia="宋体"/>
                      <w:color w:val="auto"/>
                      <w:sz w:val="21"/>
                      <w:szCs w:val="21"/>
                      <w:lang w:eastAsia="zh-CN"/>
                    </w:rPr>
                    <w:t>地面硬化</w:t>
                  </w:r>
                </w:p>
              </w:tc>
            </w:tr>
          </w:tbl>
          <w:p w14:paraId="257318D7">
            <w:pPr>
              <w:spacing w:line="360" w:lineRule="auto"/>
              <w:ind w:firstLine="480" w:firstLineChars="200"/>
              <w:rPr>
                <w:b/>
                <w:bCs/>
                <w:color w:val="auto"/>
                <w:sz w:val="24"/>
              </w:rPr>
            </w:pPr>
            <w:r>
              <w:rPr>
                <w:color w:val="auto"/>
                <w:sz w:val="24"/>
              </w:rPr>
              <w:t>在落实上述分区防渗措施后，本项目对区域土壤和地下水环境影响</w:t>
            </w:r>
            <w:r>
              <w:rPr>
                <w:rFonts w:hint="eastAsia"/>
                <w:color w:val="auto"/>
                <w:sz w:val="24"/>
              </w:rPr>
              <w:t>基本无影响，因此项目无需进行地下水、土壤定期监测</w:t>
            </w:r>
            <w:r>
              <w:rPr>
                <w:color w:val="auto"/>
                <w:sz w:val="24"/>
              </w:rPr>
              <w:t>。</w:t>
            </w:r>
          </w:p>
          <w:p w14:paraId="4FCA5CC8">
            <w:pPr>
              <w:numPr>
                <w:ilvl w:val="0"/>
                <w:numId w:val="7"/>
              </w:numPr>
              <w:adjustRightInd w:val="0"/>
              <w:snapToGrid w:val="0"/>
              <w:spacing w:line="360" w:lineRule="auto"/>
              <w:rPr>
                <w:b/>
                <w:color w:val="auto"/>
                <w:sz w:val="24"/>
              </w:rPr>
            </w:pPr>
            <w:r>
              <w:rPr>
                <w:b/>
                <w:color w:val="auto"/>
                <w:sz w:val="24"/>
              </w:rPr>
              <w:t>环境风险</w:t>
            </w:r>
          </w:p>
          <w:p w14:paraId="5ECC81AD">
            <w:pPr>
              <w:pStyle w:val="2"/>
              <w:numPr>
                <w:ilvl w:val="0"/>
                <w:numId w:val="0"/>
              </w:numPr>
              <w:ind w:leftChars="400"/>
              <w:rPr>
                <w:rFonts w:hint="eastAsia"/>
                <w:color w:val="auto"/>
                <w:vertAlign w:val="baseline"/>
              </w:rPr>
            </w:pPr>
            <w:r>
              <w:rPr>
                <w:rFonts w:hint="eastAsia"/>
                <w:color w:val="auto"/>
                <w:lang w:val="en-US" w:eastAsia="zh-CN"/>
              </w:rPr>
              <w:t>详见环境风险专章。</w:t>
            </w:r>
          </w:p>
        </w:tc>
      </w:tr>
    </w:tbl>
    <w:p w14:paraId="2550FAE0">
      <w:pPr>
        <w:rPr>
          <w:rFonts w:hint="eastAsia"/>
          <w:color w:val="auto"/>
        </w:rPr>
        <w:sectPr>
          <w:pgSz w:w="11907" w:h="16840"/>
          <w:pgMar w:top="1701" w:right="1531" w:bottom="2127" w:left="1531" w:header="851" w:footer="851" w:gutter="0"/>
          <w:cols w:space="720" w:num="1"/>
          <w:docGrid w:linePitch="312" w:charSpace="0"/>
        </w:sectPr>
      </w:pPr>
    </w:p>
    <w:p w14:paraId="7C1F1F54">
      <w:pPr>
        <w:pStyle w:val="25"/>
        <w:jc w:val="center"/>
        <w:outlineLvl w:val="0"/>
        <w:rPr>
          <w:rFonts w:ascii="黑体" w:hAnsi="黑体" w:eastAsia="黑体"/>
          <w:snapToGrid w:val="0"/>
          <w:color w:val="auto"/>
          <w:sz w:val="30"/>
          <w:szCs w:val="30"/>
        </w:rPr>
      </w:pPr>
      <w:r>
        <w:rPr>
          <w:rFonts w:hint="eastAsia" w:ascii="黑体" w:hAnsi="黑体" w:eastAsia="黑体"/>
          <w:snapToGrid w:val="0"/>
          <w:color w:val="auto"/>
          <w:sz w:val="30"/>
          <w:szCs w:val="30"/>
        </w:rPr>
        <w:t>五、</w:t>
      </w:r>
      <w:bookmarkStart w:id="34" w:name="_Hlk54167917"/>
      <w:r>
        <w:rPr>
          <w:rFonts w:hint="eastAsia" w:ascii="黑体" w:hAnsi="黑体" w:eastAsia="黑体"/>
          <w:snapToGrid w:val="0"/>
          <w:color w:val="auto"/>
          <w:sz w:val="30"/>
          <w:szCs w:val="30"/>
        </w:rPr>
        <w:t>环境保护措施监督检查清单</w:t>
      </w:r>
      <w:bookmarkEnd w:id="34"/>
    </w:p>
    <w:tbl>
      <w:tblPr>
        <w:tblStyle w:val="28"/>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40"/>
        <w:gridCol w:w="1499"/>
        <w:gridCol w:w="1710"/>
        <w:gridCol w:w="1755"/>
        <w:gridCol w:w="2296"/>
      </w:tblGrid>
      <w:tr w14:paraId="2BA687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40" w:type="dxa"/>
            <w:tcBorders>
              <w:tl2br w:val="single" w:color="auto" w:sz="4" w:space="0"/>
            </w:tcBorders>
          </w:tcPr>
          <w:p w14:paraId="1B517CF6">
            <w:pPr>
              <w:adjustRightInd w:val="0"/>
              <w:snapToGrid w:val="0"/>
              <w:ind w:firstLine="84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内容</w:t>
            </w:r>
          </w:p>
          <w:p w14:paraId="1680C007">
            <w:pPr>
              <w:adjustRightInd w:val="0"/>
              <w:snapToGrid w:val="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要素</w:t>
            </w:r>
          </w:p>
        </w:tc>
        <w:tc>
          <w:tcPr>
            <w:tcW w:w="1499" w:type="dxa"/>
            <w:vAlign w:val="center"/>
          </w:tcPr>
          <w:p w14:paraId="12954955">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排放口(编号、</w:t>
            </w:r>
          </w:p>
          <w:p w14:paraId="55109F2B">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名称)/污染源</w:t>
            </w:r>
          </w:p>
        </w:tc>
        <w:tc>
          <w:tcPr>
            <w:tcW w:w="1710" w:type="dxa"/>
            <w:vAlign w:val="center"/>
          </w:tcPr>
          <w:p w14:paraId="710EAC7B">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污染物项目</w:t>
            </w:r>
          </w:p>
        </w:tc>
        <w:tc>
          <w:tcPr>
            <w:tcW w:w="1755" w:type="dxa"/>
            <w:vAlign w:val="center"/>
          </w:tcPr>
          <w:p w14:paraId="2C759052">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环境保护措施</w:t>
            </w:r>
          </w:p>
        </w:tc>
        <w:tc>
          <w:tcPr>
            <w:tcW w:w="2296" w:type="dxa"/>
            <w:vAlign w:val="center"/>
          </w:tcPr>
          <w:p w14:paraId="29BD77C7">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执行标准</w:t>
            </w:r>
          </w:p>
        </w:tc>
      </w:tr>
      <w:tr w14:paraId="613CDD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40" w:type="dxa"/>
            <w:vAlign w:val="center"/>
          </w:tcPr>
          <w:p w14:paraId="562D18AC">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大气环境</w:t>
            </w:r>
          </w:p>
        </w:tc>
        <w:tc>
          <w:tcPr>
            <w:tcW w:w="1499" w:type="dxa"/>
            <w:vAlign w:val="center"/>
          </w:tcPr>
          <w:p w14:paraId="4CD557AC">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主厂房</w:t>
            </w:r>
          </w:p>
        </w:tc>
        <w:tc>
          <w:tcPr>
            <w:tcW w:w="1710" w:type="dxa"/>
            <w:vAlign w:val="center"/>
          </w:tcPr>
          <w:p w14:paraId="26DD64A3">
            <w:pPr>
              <w:jc w:val="center"/>
              <w:rPr>
                <w:rFonts w:hint="default" w:cs="Times New Roman"/>
                <w:color w:val="auto"/>
                <w:sz w:val="21"/>
                <w:szCs w:val="21"/>
                <w:lang w:val="en-US" w:eastAsia="zh-CN"/>
              </w:rPr>
            </w:pPr>
            <w:r>
              <w:rPr>
                <w:rFonts w:hint="default" w:cs="Times New Roman"/>
                <w:color w:val="auto"/>
                <w:sz w:val="21"/>
                <w:szCs w:val="21"/>
                <w:lang w:val="en-US" w:eastAsia="zh-CN"/>
              </w:rPr>
              <w:t>非甲烷总烃</w:t>
            </w:r>
            <w:r>
              <w:rPr>
                <w:rFonts w:hint="eastAsia" w:cs="Times New Roman"/>
                <w:color w:val="auto"/>
                <w:sz w:val="21"/>
                <w:szCs w:val="21"/>
                <w:lang w:val="en-US" w:eastAsia="zh-CN"/>
              </w:rPr>
              <w:t>、氨气、硫化氢、臭气浓度</w:t>
            </w:r>
          </w:p>
        </w:tc>
        <w:tc>
          <w:tcPr>
            <w:tcW w:w="1755" w:type="dxa"/>
            <w:vAlign w:val="center"/>
          </w:tcPr>
          <w:p w14:paraId="4149CD73">
            <w:pPr>
              <w:jc w:val="center"/>
              <w:rPr>
                <w:rFonts w:hint="default" w:cs="Times New Roman"/>
                <w:color w:val="auto"/>
                <w:sz w:val="21"/>
                <w:szCs w:val="21"/>
                <w:lang w:val="en-US" w:eastAsia="zh-CN"/>
              </w:rPr>
            </w:pPr>
            <w:r>
              <w:rPr>
                <w:rFonts w:hint="default" w:cs="Times New Roman"/>
                <w:color w:val="auto"/>
                <w:sz w:val="21"/>
                <w:szCs w:val="21"/>
                <w:lang w:val="en-US" w:eastAsia="zh-CN"/>
              </w:rPr>
              <w:t>生产车间加热罐废气、三相离心设备废气经过油雾净化器</w:t>
            </w:r>
            <w:r>
              <w:rPr>
                <w:rFonts w:hint="eastAsia" w:cs="Times New Roman"/>
                <w:color w:val="auto"/>
                <w:sz w:val="21"/>
                <w:szCs w:val="21"/>
                <w:lang w:val="en-US" w:eastAsia="zh-CN"/>
              </w:rPr>
              <w:t>+管式热交换器处理</w:t>
            </w:r>
            <w:r>
              <w:rPr>
                <w:rFonts w:hint="default" w:cs="Times New Roman"/>
                <w:color w:val="auto"/>
                <w:sz w:val="21"/>
                <w:szCs w:val="21"/>
                <w:lang w:val="en-US" w:eastAsia="zh-CN"/>
              </w:rPr>
              <w:t>后</w:t>
            </w:r>
            <w:r>
              <w:rPr>
                <w:rFonts w:hint="eastAsia" w:cs="Times New Roman"/>
                <w:color w:val="auto"/>
                <w:sz w:val="21"/>
                <w:szCs w:val="21"/>
                <w:lang w:val="en-US" w:eastAsia="zh-CN"/>
              </w:rPr>
              <w:t>汇同</w:t>
            </w:r>
            <w:r>
              <w:rPr>
                <w:rFonts w:hint="default" w:cs="Times New Roman"/>
                <w:color w:val="auto"/>
                <w:sz w:val="21"/>
                <w:szCs w:val="21"/>
                <w:lang w:val="en-US" w:eastAsia="zh-CN"/>
              </w:rPr>
              <w:t>车间其他废气</w:t>
            </w:r>
            <w:r>
              <w:rPr>
                <w:rFonts w:hint="eastAsia" w:cs="Times New Roman"/>
                <w:color w:val="auto"/>
                <w:sz w:val="21"/>
                <w:szCs w:val="21"/>
                <w:lang w:val="en-US" w:eastAsia="zh-CN"/>
              </w:rPr>
              <w:t>、储罐废气</w:t>
            </w:r>
            <w:r>
              <w:rPr>
                <w:rFonts w:hint="default" w:cs="Times New Roman"/>
                <w:color w:val="auto"/>
                <w:sz w:val="21"/>
                <w:szCs w:val="21"/>
                <w:lang w:val="en-US" w:eastAsia="zh-CN"/>
              </w:rPr>
              <w:t>混合进入酸洗+碱洗+</w:t>
            </w:r>
            <w:r>
              <w:rPr>
                <w:rFonts w:hint="eastAsia" w:cs="Times New Roman"/>
                <w:color w:val="auto"/>
                <w:sz w:val="21"/>
                <w:szCs w:val="21"/>
                <w:lang w:val="en-US" w:eastAsia="zh-CN"/>
              </w:rPr>
              <w:t>次氯酸钠洗+干式过滤器+一级活性炭</w:t>
            </w:r>
            <w:r>
              <w:rPr>
                <w:rFonts w:hint="default" w:cs="Times New Roman"/>
                <w:color w:val="auto"/>
                <w:sz w:val="21"/>
                <w:szCs w:val="21"/>
                <w:lang w:val="en-US" w:eastAsia="zh-CN"/>
              </w:rPr>
              <w:t>吸附后通过排气筒（DA001，15m）排放</w:t>
            </w:r>
          </w:p>
        </w:tc>
        <w:tc>
          <w:tcPr>
            <w:tcW w:w="2296" w:type="dxa"/>
            <w:vAlign w:val="center"/>
          </w:tcPr>
          <w:p w14:paraId="46676684">
            <w:pPr>
              <w:adjustRightInd w:val="0"/>
              <w:snapToGrid w:val="0"/>
              <w:jc w:val="center"/>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《恶臭污染物排放标准》(GB14554-93)、《大气污染物综合排放标准》（GB16297-1996）、《挥发性有机物无组织排放控制标准》（GB37822-2019）</w:t>
            </w:r>
          </w:p>
        </w:tc>
      </w:tr>
      <w:tr w14:paraId="7C9F97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40" w:type="dxa"/>
            <w:vAlign w:val="center"/>
          </w:tcPr>
          <w:p w14:paraId="1A2A7E65">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地表水环境</w:t>
            </w:r>
          </w:p>
        </w:tc>
        <w:tc>
          <w:tcPr>
            <w:tcW w:w="1499" w:type="dxa"/>
            <w:vAlign w:val="center"/>
          </w:tcPr>
          <w:p w14:paraId="4FCB4E6C">
            <w:pPr>
              <w:pStyle w:val="38"/>
              <w:snapToGrid w:val="0"/>
              <w:ind w:firstLine="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废水总排放口/DW001</w:t>
            </w:r>
          </w:p>
        </w:tc>
        <w:tc>
          <w:tcPr>
            <w:tcW w:w="1710" w:type="dxa"/>
            <w:vAlign w:val="center"/>
          </w:tcPr>
          <w:p w14:paraId="5A944672">
            <w:pPr>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pH、COD、BOD</w:t>
            </w:r>
            <w:r>
              <w:rPr>
                <w:rFonts w:hint="default" w:ascii="Times New Roman" w:hAnsi="Times New Roman" w:eastAsia="宋体" w:cs="Times New Roman"/>
                <w:color w:val="auto"/>
                <w:sz w:val="21"/>
                <w:szCs w:val="21"/>
                <w:vertAlign w:val="subscript"/>
              </w:rPr>
              <w:t>5</w:t>
            </w:r>
            <w:r>
              <w:rPr>
                <w:rFonts w:hint="default" w:ascii="Times New Roman" w:hAnsi="Times New Roman" w:eastAsia="宋体" w:cs="Times New Roman"/>
                <w:color w:val="auto"/>
                <w:sz w:val="21"/>
                <w:szCs w:val="21"/>
              </w:rPr>
              <w:t>、SS、NH</w:t>
            </w:r>
            <w:r>
              <w:rPr>
                <w:rFonts w:hint="default" w:ascii="Times New Roman" w:hAnsi="Times New Roman" w:eastAsia="宋体" w:cs="Times New Roman"/>
                <w:color w:val="auto"/>
                <w:sz w:val="21"/>
                <w:szCs w:val="21"/>
                <w:vertAlign w:val="subscript"/>
              </w:rPr>
              <w:t>3</w:t>
            </w:r>
            <w:r>
              <w:rPr>
                <w:rFonts w:hint="default" w:ascii="Times New Roman" w:hAnsi="Times New Roman" w:eastAsia="宋体" w:cs="Times New Roman"/>
                <w:color w:val="auto"/>
                <w:sz w:val="21"/>
                <w:szCs w:val="21"/>
              </w:rPr>
              <w:t>-N</w:t>
            </w:r>
            <w:r>
              <w:rPr>
                <w:rFonts w:hint="eastAsia" w:cs="Times New Roman"/>
                <w:color w:val="auto"/>
                <w:sz w:val="21"/>
                <w:szCs w:val="21"/>
                <w:lang w:eastAsia="zh-CN"/>
              </w:rPr>
              <w:t>、</w:t>
            </w:r>
            <w:r>
              <w:rPr>
                <w:rFonts w:hint="eastAsia" w:cs="Times New Roman"/>
                <w:color w:val="auto"/>
                <w:sz w:val="21"/>
                <w:szCs w:val="21"/>
                <w:lang w:val="en-US" w:eastAsia="zh-CN"/>
              </w:rPr>
              <w:t>TP、动植物油</w:t>
            </w:r>
          </w:p>
        </w:tc>
        <w:tc>
          <w:tcPr>
            <w:tcW w:w="1755" w:type="dxa"/>
            <w:vAlign w:val="center"/>
          </w:tcPr>
          <w:p w14:paraId="0EA33C66">
            <w:pPr>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c>
          <w:tcPr>
            <w:tcW w:w="2296" w:type="dxa"/>
            <w:vAlign w:val="center"/>
          </w:tcPr>
          <w:p w14:paraId="05B1DBA0">
            <w:pPr>
              <w:jc w:val="center"/>
              <w:rPr>
                <w:rFonts w:hint="default" w:ascii="Times New Roman" w:hAnsi="Times New Roman" w:eastAsia="宋体" w:cs="Times New Roman"/>
                <w:color w:val="auto"/>
                <w:sz w:val="21"/>
                <w:szCs w:val="21"/>
              </w:rPr>
            </w:pPr>
            <w:r>
              <w:rPr>
                <w:rFonts w:hint="eastAsia" w:cs="Times New Roman"/>
                <w:color w:val="auto"/>
                <w:sz w:val="21"/>
                <w:szCs w:val="21"/>
                <w:lang w:eastAsia="zh-CN"/>
              </w:rPr>
              <w:t>与池州中器环保科技有限公司商定的标准</w:t>
            </w:r>
            <w:r>
              <w:rPr>
                <w:rFonts w:hint="default" w:ascii="Times New Roman" w:hAnsi="Times New Roman" w:eastAsia="宋体" w:cs="Times New Roman"/>
                <w:color w:val="auto"/>
                <w:sz w:val="21"/>
                <w:szCs w:val="21"/>
              </w:rPr>
              <w:t>。</w:t>
            </w:r>
          </w:p>
        </w:tc>
      </w:tr>
      <w:tr w14:paraId="439F5D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40" w:type="dxa"/>
            <w:vAlign w:val="center"/>
          </w:tcPr>
          <w:p w14:paraId="26A8050A">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声环境</w:t>
            </w:r>
          </w:p>
        </w:tc>
        <w:tc>
          <w:tcPr>
            <w:tcW w:w="1499" w:type="dxa"/>
            <w:vAlign w:val="center"/>
          </w:tcPr>
          <w:p w14:paraId="3998A5B4">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设备运行噪声</w:t>
            </w:r>
          </w:p>
        </w:tc>
        <w:tc>
          <w:tcPr>
            <w:tcW w:w="1710" w:type="dxa"/>
            <w:vAlign w:val="center"/>
          </w:tcPr>
          <w:p w14:paraId="0B188FDB">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噪声</w:t>
            </w:r>
          </w:p>
        </w:tc>
        <w:tc>
          <w:tcPr>
            <w:tcW w:w="1755" w:type="dxa"/>
            <w:vAlign w:val="center"/>
          </w:tcPr>
          <w:p w14:paraId="343A25FC">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厂房隔声，基础减振等</w:t>
            </w:r>
          </w:p>
        </w:tc>
        <w:tc>
          <w:tcPr>
            <w:tcW w:w="2296" w:type="dxa"/>
            <w:vAlign w:val="center"/>
          </w:tcPr>
          <w:p w14:paraId="07E6F2A7">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《工业企业厂界环境噪声排放标准》（GB12348-2008）中</w:t>
            </w:r>
            <w:r>
              <w:rPr>
                <w:rFonts w:hint="eastAsia" w:cs="Times New Roman"/>
                <w:color w:val="auto"/>
                <w:sz w:val="21"/>
                <w:szCs w:val="21"/>
                <w:lang w:val="en-US" w:eastAsia="zh-CN"/>
              </w:rPr>
              <w:t>2</w:t>
            </w:r>
            <w:r>
              <w:rPr>
                <w:rFonts w:hint="default" w:ascii="Times New Roman" w:hAnsi="Times New Roman" w:eastAsia="宋体" w:cs="Times New Roman"/>
                <w:color w:val="auto"/>
                <w:sz w:val="21"/>
                <w:szCs w:val="21"/>
              </w:rPr>
              <w:t>类标准</w:t>
            </w:r>
          </w:p>
        </w:tc>
      </w:tr>
      <w:tr w14:paraId="5E0DA2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40" w:type="dxa"/>
            <w:vAlign w:val="center"/>
          </w:tcPr>
          <w:p w14:paraId="46C84137">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电磁辐射</w:t>
            </w:r>
          </w:p>
        </w:tc>
        <w:tc>
          <w:tcPr>
            <w:tcW w:w="1499" w:type="dxa"/>
            <w:vAlign w:val="center"/>
          </w:tcPr>
          <w:p w14:paraId="3E3C4760">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1710" w:type="dxa"/>
            <w:vAlign w:val="center"/>
          </w:tcPr>
          <w:p w14:paraId="751BF5E6">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1755" w:type="dxa"/>
            <w:vAlign w:val="center"/>
          </w:tcPr>
          <w:p w14:paraId="6BE96B62">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c>
          <w:tcPr>
            <w:tcW w:w="2296" w:type="dxa"/>
            <w:vAlign w:val="center"/>
          </w:tcPr>
          <w:p w14:paraId="04E1F986">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p>
        </w:tc>
      </w:tr>
      <w:tr w14:paraId="0A72DC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540" w:type="dxa"/>
            <w:vAlign w:val="center"/>
          </w:tcPr>
          <w:p w14:paraId="1AB0723D">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固体废物</w:t>
            </w:r>
          </w:p>
        </w:tc>
        <w:tc>
          <w:tcPr>
            <w:tcW w:w="7260" w:type="dxa"/>
            <w:gridSpan w:val="4"/>
            <w:vAlign w:val="center"/>
          </w:tcPr>
          <w:p w14:paraId="727D4629">
            <w:pPr>
              <w:adjustRightInd w:val="0"/>
              <w:snapToGrid w:val="0"/>
              <w:jc w:val="center"/>
              <w:rPr>
                <w:rFonts w:hint="default" w:ascii="Times New Roman" w:hAnsi="Times New Roman" w:eastAsia="宋体" w:cs="Times New Roman"/>
                <w:color w:val="auto"/>
                <w:kern w:val="0"/>
                <w:sz w:val="21"/>
                <w:szCs w:val="21"/>
                <w:lang w:eastAsia="zh-CN"/>
              </w:rPr>
            </w:pPr>
            <w:r>
              <w:rPr>
                <w:rFonts w:hint="eastAsia" w:ascii="Times New Roman" w:hAnsi="Times New Roman" w:eastAsia="宋体" w:cs="Times New Roman"/>
                <w:color w:val="auto"/>
                <w:kern w:val="0"/>
                <w:sz w:val="21"/>
                <w:szCs w:val="21"/>
                <w:lang w:eastAsia="zh-CN"/>
              </w:rPr>
              <w:t>固渣委托东至海创环境科技有限公司单位进行处置；废化学药剂包装物、废润滑油、废含油抹布和手套、废活性炭危险废物分类收集在厂区危废暂存间暂存后，定期委托有资质单位处置。生活垃圾由环卫部门统一清运、处置</w:t>
            </w:r>
          </w:p>
        </w:tc>
      </w:tr>
      <w:tr w14:paraId="657933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1540" w:type="dxa"/>
            <w:vAlign w:val="center"/>
          </w:tcPr>
          <w:p w14:paraId="109FE281">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土壤及地下水</w:t>
            </w:r>
          </w:p>
          <w:p w14:paraId="05AF0246">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污染防治措施</w:t>
            </w:r>
          </w:p>
        </w:tc>
        <w:tc>
          <w:tcPr>
            <w:tcW w:w="7260" w:type="dxa"/>
            <w:gridSpan w:val="4"/>
            <w:vAlign w:val="center"/>
          </w:tcPr>
          <w:p w14:paraId="1413563E">
            <w:pPr>
              <w:adjustRightInd w:val="0"/>
              <w:snapToGrid w:val="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eastAsia="zh-CN"/>
              </w:rPr>
              <w:t>危废</w:t>
            </w:r>
            <w:r>
              <w:rPr>
                <w:rFonts w:hint="eastAsia" w:ascii="Times New Roman" w:hAnsi="Times New Roman" w:eastAsia="宋体" w:cs="Times New Roman"/>
                <w:color w:val="auto"/>
                <w:kern w:val="0"/>
                <w:sz w:val="21"/>
                <w:szCs w:val="21"/>
                <w:lang w:eastAsia="zh-CN"/>
              </w:rPr>
              <w:t>库、化学品库、储罐区和厂房一等进行重点防渗</w:t>
            </w:r>
            <w:r>
              <w:rPr>
                <w:rFonts w:hint="default" w:ascii="Times New Roman" w:hAnsi="Times New Roman" w:eastAsia="宋体" w:cs="Times New Roman"/>
                <w:color w:val="auto"/>
                <w:kern w:val="0"/>
                <w:sz w:val="21"/>
                <w:szCs w:val="21"/>
                <w:lang w:eastAsia="zh-CN"/>
              </w:rPr>
              <w:t>。</w:t>
            </w:r>
          </w:p>
        </w:tc>
      </w:tr>
      <w:tr w14:paraId="7A0074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540" w:type="dxa"/>
            <w:vAlign w:val="center"/>
          </w:tcPr>
          <w:p w14:paraId="21FA283E">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生态保护措施</w:t>
            </w:r>
          </w:p>
        </w:tc>
        <w:tc>
          <w:tcPr>
            <w:tcW w:w="7260" w:type="dxa"/>
            <w:gridSpan w:val="4"/>
            <w:vAlign w:val="center"/>
          </w:tcPr>
          <w:p w14:paraId="2EA41DB9">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无</w:t>
            </w:r>
          </w:p>
        </w:tc>
      </w:tr>
      <w:tr w14:paraId="573C7A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540" w:type="dxa"/>
            <w:vAlign w:val="center"/>
          </w:tcPr>
          <w:p w14:paraId="6340AD70">
            <w:pPr>
              <w:adjustRightInd w:val="0"/>
              <w:snapToGrid w:val="0"/>
              <w:jc w:val="center"/>
              <w:rPr>
                <w:rFonts w:hint="default" w:ascii="Times New Roman" w:hAnsi="Times New Roman" w:eastAsia="宋体" w:cs="Times New Roman"/>
                <w:color w:val="auto"/>
                <w:spacing w:val="-8"/>
                <w:sz w:val="21"/>
                <w:szCs w:val="21"/>
              </w:rPr>
            </w:pPr>
            <w:r>
              <w:rPr>
                <w:rFonts w:hint="default" w:ascii="Times New Roman" w:hAnsi="Times New Roman" w:eastAsia="宋体" w:cs="Times New Roman"/>
                <w:color w:val="auto"/>
                <w:spacing w:val="-8"/>
                <w:sz w:val="21"/>
                <w:szCs w:val="21"/>
              </w:rPr>
              <w:t>环境风险</w:t>
            </w:r>
          </w:p>
          <w:p w14:paraId="5D1148C3">
            <w:pPr>
              <w:adjustRightInd w:val="0"/>
              <w:snapToGrid w:val="0"/>
              <w:jc w:val="center"/>
              <w:rPr>
                <w:rFonts w:hint="default" w:ascii="Times New Roman" w:hAnsi="Times New Roman" w:eastAsia="宋体" w:cs="Times New Roman"/>
                <w:color w:val="auto"/>
                <w:spacing w:val="-8"/>
                <w:sz w:val="21"/>
                <w:szCs w:val="21"/>
              </w:rPr>
            </w:pPr>
            <w:r>
              <w:rPr>
                <w:rFonts w:hint="default" w:ascii="Times New Roman" w:hAnsi="Times New Roman" w:eastAsia="宋体" w:cs="Times New Roman"/>
                <w:color w:val="auto"/>
                <w:spacing w:val="-8"/>
                <w:sz w:val="21"/>
                <w:szCs w:val="21"/>
              </w:rPr>
              <w:t>防范措施</w:t>
            </w:r>
          </w:p>
        </w:tc>
        <w:tc>
          <w:tcPr>
            <w:tcW w:w="7260" w:type="dxa"/>
            <w:gridSpan w:val="4"/>
            <w:vAlign w:val="center"/>
          </w:tcPr>
          <w:p w14:paraId="19BBF35E">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①建立健全原辅材料、危废暂存间及生产区的火灾防范制度，配备灭火设施。</w:t>
            </w:r>
          </w:p>
          <w:p w14:paraId="3B112E68">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②加强对废气设施的运行管理、维护保养当废气处理措施发生故障，造成废气、废水事故性排放，项目应立即停产，排除事故故障，待确保废气治理措施正常运转后再恢复生产。</w:t>
            </w:r>
          </w:p>
          <w:p w14:paraId="191A5470">
            <w:pPr>
              <w:adjustRightInd w:val="0"/>
              <w:snapToGrid w:val="0"/>
              <w:jc w:val="left"/>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sz w:val="21"/>
                <w:szCs w:val="21"/>
              </w:rPr>
              <w:t>③设立</w:t>
            </w:r>
            <w:r>
              <w:rPr>
                <w:rFonts w:hint="eastAsia" w:cs="Times New Roman"/>
                <w:color w:val="auto"/>
                <w:sz w:val="21"/>
                <w:szCs w:val="21"/>
                <w:lang w:eastAsia="zh-CN"/>
              </w:rPr>
              <w:t>废水储罐，</w:t>
            </w:r>
            <w:r>
              <w:rPr>
                <w:rFonts w:hint="eastAsia" w:ascii="Times New Roman" w:hAnsi="Times New Roman" w:eastAsia="宋体" w:cs="Times New Roman"/>
                <w:color w:val="auto"/>
                <w:kern w:val="0"/>
                <w:sz w:val="21"/>
                <w:szCs w:val="21"/>
                <w:lang w:eastAsia="zh-CN"/>
              </w:rPr>
              <w:t>应急暂存废水</w:t>
            </w:r>
            <w:r>
              <w:rPr>
                <w:rFonts w:hint="default" w:ascii="Times New Roman" w:hAnsi="Times New Roman" w:eastAsia="宋体" w:cs="Times New Roman"/>
                <w:color w:val="auto"/>
                <w:kern w:val="0"/>
                <w:sz w:val="21"/>
                <w:szCs w:val="21"/>
                <w:lang w:eastAsia="zh-CN"/>
              </w:rPr>
              <w:t>，雨水排放口设置雨水截止阀，发生火灾时，切断雨水管网与市政雨水管网的连接</w:t>
            </w:r>
          </w:p>
          <w:p w14:paraId="3814FDA0">
            <w:pPr>
              <w:adjustRightInd w:val="0"/>
              <w:snapToGrid w:val="0"/>
              <w:jc w:val="left"/>
              <w:rPr>
                <w:rFonts w:hint="eastAsia" w:ascii="Times New Roman" w:hAnsi="Times New Roman" w:eastAsia="宋体" w:cs="Times New Roman"/>
                <w:color w:val="auto"/>
                <w:kern w:val="0"/>
                <w:sz w:val="21"/>
                <w:szCs w:val="21"/>
                <w:lang w:eastAsia="zh-CN"/>
              </w:rPr>
            </w:pPr>
            <w:r>
              <w:rPr>
                <w:rFonts w:hint="eastAsia" w:ascii="Times New Roman" w:hAnsi="Times New Roman" w:eastAsia="宋体" w:cs="Times New Roman"/>
                <w:color w:val="auto"/>
                <w:kern w:val="0"/>
                <w:sz w:val="21"/>
                <w:szCs w:val="21"/>
                <w:lang w:eastAsia="zh-CN"/>
              </w:rPr>
              <w:t>④设置有初期雨水池</w:t>
            </w:r>
            <w:r>
              <w:rPr>
                <w:rFonts w:hint="eastAsia" w:cs="Times New Roman"/>
                <w:color w:val="auto"/>
                <w:kern w:val="0"/>
                <w:sz w:val="21"/>
                <w:szCs w:val="21"/>
                <w:lang w:eastAsia="zh-CN"/>
              </w:rPr>
              <w:t>和事故池</w:t>
            </w:r>
          </w:p>
          <w:p w14:paraId="57DEB1F8">
            <w:pPr>
              <w:adjustRightInd w:val="0"/>
              <w:snapToGrid w:val="0"/>
              <w:jc w:val="left"/>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kern w:val="0"/>
                <w:sz w:val="21"/>
                <w:szCs w:val="21"/>
                <w:lang w:eastAsia="zh-CN"/>
              </w:rPr>
              <w:t>⑤</w:t>
            </w:r>
            <w:r>
              <w:rPr>
                <w:rFonts w:hint="default" w:ascii="Times New Roman" w:hAnsi="Times New Roman" w:eastAsia="宋体" w:cs="Times New Roman"/>
                <w:color w:val="auto"/>
                <w:kern w:val="0"/>
                <w:sz w:val="21"/>
                <w:szCs w:val="21"/>
                <w:lang w:eastAsia="zh-CN"/>
              </w:rPr>
              <w:t>在项目竣工环境保护验收前按规范要求编制环境风险应急预案，包括预案适用范围、环境事件分类与分级、组织机构与职责、监控与预警、应急响应、应急保障、售后处理、预</w:t>
            </w:r>
            <w:r>
              <w:rPr>
                <w:rFonts w:hint="default" w:ascii="Times New Roman" w:hAnsi="Times New Roman" w:eastAsia="宋体" w:cs="Times New Roman"/>
                <w:color w:val="auto"/>
                <w:sz w:val="21"/>
                <w:szCs w:val="21"/>
              </w:rPr>
              <w:t>案管理与演练等，并报生态环境主管部门备案。</w:t>
            </w:r>
          </w:p>
        </w:tc>
      </w:tr>
      <w:tr w14:paraId="337BD7B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1540" w:type="dxa"/>
            <w:vAlign w:val="center"/>
          </w:tcPr>
          <w:p w14:paraId="6BC3FAFB">
            <w:pPr>
              <w:adjustRightInd w:val="0"/>
              <w:snapToGrid w:val="0"/>
              <w:jc w:val="center"/>
              <w:rPr>
                <w:rFonts w:hint="default" w:ascii="Times New Roman" w:hAnsi="Times New Roman" w:eastAsia="宋体" w:cs="Times New Roman"/>
                <w:color w:val="auto"/>
                <w:spacing w:val="-8"/>
                <w:sz w:val="21"/>
                <w:szCs w:val="21"/>
              </w:rPr>
            </w:pPr>
            <w:r>
              <w:rPr>
                <w:rFonts w:hint="default" w:ascii="Times New Roman" w:hAnsi="Times New Roman" w:eastAsia="宋体" w:cs="Times New Roman"/>
                <w:color w:val="auto"/>
                <w:spacing w:val="-8"/>
                <w:sz w:val="21"/>
                <w:szCs w:val="21"/>
              </w:rPr>
              <w:t>其他环境</w:t>
            </w:r>
          </w:p>
          <w:p w14:paraId="7669D489">
            <w:pPr>
              <w:adjustRightInd w:val="0"/>
              <w:snapToGrid w:val="0"/>
              <w:jc w:val="center"/>
              <w:rPr>
                <w:rFonts w:hint="default" w:ascii="Times New Roman" w:hAnsi="Times New Roman" w:eastAsia="宋体" w:cs="Times New Roman"/>
                <w:color w:val="auto"/>
                <w:spacing w:val="-8"/>
                <w:sz w:val="21"/>
                <w:szCs w:val="21"/>
              </w:rPr>
            </w:pPr>
            <w:r>
              <w:rPr>
                <w:rFonts w:hint="default" w:ascii="Times New Roman" w:hAnsi="Times New Roman" w:eastAsia="宋体" w:cs="Times New Roman"/>
                <w:color w:val="auto"/>
                <w:spacing w:val="-8"/>
                <w:sz w:val="21"/>
                <w:szCs w:val="21"/>
              </w:rPr>
              <w:t>管理要求</w:t>
            </w:r>
          </w:p>
        </w:tc>
        <w:tc>
          <w:tcPr>
            <w:tcW w:w="7260" w:type="dxa"/>
            <w:gridSpan w:val="4"/>
            <w:vAlign w:val="center"/>
          </w:tcPr>
          <w:p w14:paraId="58F45937">
            <w:pPr>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根据《建设项目竣工环境保护验收暂行办法》，在建设项目竣工后，建设单位应进行废气、废水、噪声、固废污染防治设施的自主验收，在对该项目配套建设的环保治理设施予以竣工验收后该项目方可正式投产运行。</w:t>
            </w:r>
          </w:p>
        </w:tc>
      </w:tr>
    </w:tbl>
    <w:p w14:paraId="6F5292F1">
      <w:pPr>
        <w:pStyle w:val="25"/>
        <w:jc w:val="center"/>
        <w:outlineLvl w:val="0"/>
        <w:rPr>
          <w:rFonts w:ascii="黑体" w:hAnsi="黑体" w:eastAsia="黑体"/>
          <w:snapToGrid w:val="0"/>
          <w:color w:val="auto"/>
          <w:sz w:val="30"/>
          <w:szCs w:val="30"/>
        </w:rPr>
      </w:pPr>
      <w:r>
        <w:rPr>
          <w:snapToGrid w:val="0"/>
          <w:color w:val="auto"/>
        </w:rPr>
        <w:br w:type="page"/>
      </w:r>
      <w:r>
        <w:rPr>
          <w:rFonts w:hint="eastAsia" w:ascii="黑体" w:hAnsi="黑体" w:eastAsia="黑体"/>
          <w:snapToGrid w:val="0"/>
          <w:color w:val="auto"/>
          <w:sz w:val="30"/>
          <w:szCs w:val="30"/>
        </w:rPr>
        <w:t>六、结论</w:t>
      </w:r>
    </w:p>
    <w:tbl>
      <w:tblPr>
        <w:tblStyle w:val="28"/>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09D5F2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vAlign w:val="center"/>
          </w:tcPr>
          <w:p w14:paraId="1AE2CAB5">
            <w:pPr>
              <w:spacing w:line="360" w:lineRule="auto"/>
              <w:ind w:firstLine="480" w:firstLineChars="200"/>
              <w:rPr>
                <w:color w:val="auto"/>
                <w:sz w:val="24"/>
              </w:rPr>
            </w:pPr>
            <w:r>
              <w:rPr>
                <w:rFonts w:hint="eastAsia"/>
                <w:color w:val="auto"/>
                <w:sz w:val="24"/>
              </w:rPr>
              <w:t>池州中器再生资源有限公司餐厨垃圾和废弃油脂收集</w:t>
            </w:r>
            <w:r>
              <w:rPr>
                <w:rFonts w:hint="eastAsia"/>
                <w:color w:val="auto"/>
                <w:sz w:val="24"/>
                <w:lang w:eastAsia="zh-CN"/>
              </w:rPr>
              <w:t>、</w:t>
            </w:r>
            <w:r>
              <w:rPr>
                <w:rFonts w:hint="eastAsia"/>
                <w:color w:val="auto"/>
                <w:sz w:val="24"/>
              </w:rPr>
              <w:t>初加工项目</w:t>
            </w:r>
            <w:r>
              <w:rPr>
                <w:color w:val="auto"/>
                <w:sz w:val="24"/>
              </w:rPr>
              <w:t>符合国家相关产业政策，选址符合用地要求。在认真落实环保“三同时”制度和本评价提出的各项环保措施，确保废气、废水、噪声各项污染物达标排放和固体废物妥善处置的前提下，本项目建设对周围环境的影响较小。因此，从环境影响角度分析，该项目的建设是可行的。</w:t>
            </w:r>
          </w:p>
        </w:tc>
      </w:tr>
    </w:tbl>
    <w:p w14:paraId="1CBD9EEE">
      <w:pPr>
        <w:rPr>
          <w:rFonts w:ascii="宋体"/>
          <w:color w:val="auto"/>
        </w:rPr>
        <w:sectPr>
          <w:pgSz w:w="11906" w:h="16838"/>
          <w:pgMar w:top="1587" w:right="1531" w:bottom="1587" w:left="1531" w:header="851" w:footer="851" w:gutter="0"/>
          <w:cols w:space="720" w:num="1"/>
          <w:docGrid w:linePitch="312" w:charSpace="0"/>
        </w:sectPr>
      </w:pPr>
    </w:p>
    <w:p w14:paraId="3834A62A">
      <w:pPr>
        <w:pStyle w:val="25"/>
        <w:adjustRightInd w:val="0"/>
        <w:snapToGrid w:val="0"/>
        <w:spacing w:before="0" w:beforeAutospacing="0" w:after="0" w:afterAutospacing="0"/>
        <w:outlineLvl w:val="0"/>
        <w:rPr>
          <w:rFonts w:ascii="黑体" w:hAnsi="黑体" w:eastAsia="黑体"/>
          <w:snapToGrid w:val="0"/>
          <w:color w:val="auto"/>
          <w:sz w:val="32"/>
          <w:szCs w:val="32"/>
        </w:rPr>
      </w:pPr>
      <w:r>
        <w:rPr>
          <w:rFonts w:hint="eastAsia" w:ascii="黑体" w:hAnsi="黑体" w:eastAsia="黑体"/>
          <w:snapToGrid w:val="0"/>
          <w:color w:val="auto"/>
          <w:sz w:val="32"/>
          <w:szCs w:val="32"/>
        </w:rPr>
        <w:t>附表</w:t>
      </w:r>
    </w:p>
    <w:p w14:paraId="3EB37F51">
      <w:pPr>
        <w:pStyle w:val="25"/>
        <w:adjustRightInd w:val="0"/>
        <w:snapToGrid w:val="0"/>
        <w:spacing w:before="0" w:beforeAutospacing="0" w:after="0" w:afterAutospacing="0"/>
        <w:jc w:val="center"/>
        <w:outlineLvl w:val="0"/>
        <w:rPr>
          <w:rFonts w:hint="eastAsia" w:ascii="方正小标宋_GBK" w:hAnsi="黑体" w:eastAsia="方正小标宋_GBK"/>
          <w:snapToGrid w:val="0"/>
          <w:color w:val="auto"/>
          <w:sz w:val="38"/>
          <w:szCs w:val="38"/>
        </w:rPr>
      </w:pPr>
      <w:r>
        <w:rPr>
          <w:rFonts w:hint="eastAsia" w:ascii="方正小标宋_GBK" w:hAnsi="黑体" w:eastAsia="方正小标宋_GBK"/>
          <w:snapToGrid w:val="0"/>
          <w:color w:val="auto"/>
          <w:sz w:val="38"/>
          <w:szCs w:val="38"/>
        </w:rPr>
        <w:t>建设项目污染物排放量汇总表</w:t>
      </w:r>
      <w:r>
        <w:rPr>
          <w:rFonts w:ascii="Times New Roman" w:hAnsi="Times New Roman"/>
          <w:b/>
          <w:bCs/>
          <w:color w:val="auto"/>
          <w:sz w:val="21"/>
          <w:szCs w:val="21"/>
        </w:rPr>
        <w:t>（单位：t/a）</w:t>
      </w:r>
    </w:p>
    <w:tbl>
      <w:tblPr>
        <w:tblStyle w:val="28"/>
        <w:tblW w:w="13788"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2200"/>
        <w:gridCol w:w="1630"/>
        <w:gridCol w:w="1114"/>
        <w:gridCol w:w="1591"/>
        <w:gridCol w:w="1559"/>
        <w:gridCol w:w="1471"/>
        <w:gridCol w:w="1507"/>
        <w:gridCol w:w="1568"/>
      </w:tblGrid>
      <w:tr w14:paraId="7928F6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148" w:type="dxa"/>
            <w:tcBorders>
              <w:tl2br w:val="single" w:color="auto" w:sz="4" w:space="0"/>
            </w:tcBorders>
            <w:tcMar>
              <w:left w:w="28" w:type="dxa"/>
              <w:right w:w="28" w:type="dxa"/>
            </w:tcMar>
            <w:vAlign w:val="center"/>
          </w:tcPr>
          <w:p w14:paraId="5FD3CAA2">
            <w:pPr>
              <w:pStyle w:val="64"/>
              <w:spacing w:beforeLines="0" w:afterLines="0" w:line="240" w:lineRule="auto"/>
              <w:ind w:left="396" w:hanging="396"/>
              <w:rPr>
                <w:rFonts w:ascii="Times New Roman"/>
                <w:snapToGrid w:val="0"/>
                <w:color w:val="auto"/>
                <w:spacing w:val="-6"/>
                <w:kern w:val="21"/>
                <w:szCs w:val="21"/>
              </w:rPr>
            </w:pPr>
            <w:r>
              <w:rPr>
                <w:rFonts w:hint="eastAsia" w:ascii="Times New Roman"/>
                <w:snapToGrid w:val="0"/>
                <w:color w:val="auto"/>
                <w:spacing w:val="-6"/>
                <w:kern w:val="21"/>
                <w:szCs w:val="21"/>
              </w:rPr>
              <w:t xml:space="preserve">    </w:t>
            </w:r>
            <w:r>
              <w:rPr>
                <w:rFonts w:ascii="Times New Roman"/>
                <w:snapToGrid w:val="0"/>
                <w:color w:val="auto"/>
                <w:spacing w:val="-6"/>
                <w:kern w:val="21"/>
                <w:szCs w:val="21"/>
              </w:rPr>
              <w:t>项目</w:t>
            </w:r>
          </w:p>
          <w:p w14:paraId="7AD89664">
            <w:pPr>
              <w:pStyle w:val="64"/>
              <w:spacing w:beforeLines="0" w:afterLines="0" w:line="240" w:lineRule="auto"/>
              <w:ind w:left="383" w:leftChars="88" w:hanging="198" w:hangingChars="100"/>
              <w:jc w:val="both"/>
              <w:rPr>
                <w:rFonts w:ascii="Times New Roman"/>
                <w:snapToGrid w:val="0"/>
                <w:color w:val="auto"/>
                <w:spacing w:val="-6"/>
                <w:kern w:val="21"/>
                <w:szCs w:val="21"/>
              </w:rPr>
            </w:pPr>
            <w:r>
              <w:rPr>
                <w:rFonts w:ascii="Times New Roman"/>
                <w:snapToGrid w:val="0"/>
                <w:color w:val="auto"/>
                <w:spacing w:val="-6"/>
                <w:kern w:val="21"/>
                <w:szCs w:val="21"/>
              </w:rPr>
              <w:t>分类</w:t>
            </w:r>
          </w:p>
        </w:tc>
        <w:tc>
          <w:tcPr>
            <w:tcW w:w="2200" w:type="dxa"/>
            <w:tcMar>
              <w:left w:w="28" w:type="dxa"/>
              <w:right w:w="28" w:type="dxa"/>
            </w:tcMar>
            <w:vAlign w:val="center"/>
          </w:tcPr>
          <w:p w14:paraId="7397694C">
            <w:pPr>
              <w:pStyle w:val="64"/>
              <w:spacing w:beforeLines="0" w:afterLines="0" w:line="240" w:lineRule="auto"/>
              <w:ind w:left="396" w:hanging="396"/>
              <w:rPr>
                <w:rFonts w:ascii="Times New Roman"/>
                <w:snapToGrid w:val="0"/>
                <w:color w:val="auto"/>
                <w:spacing w:val="-6"/>
                <w:kern w:val="21"/>
                <w:szCs w:val="21"/>
              </w:rPr>
            </w:pPr>
            <w:r>
              <w:rPr>
                <w:rFonts w:ascii="Times New Roman"/>
                <w:snapToGrid w:val="0"/>
                <w:color w:val="auto"/>
                <w:spacing w:val="-6"/>
                <w:kern w:val="21"/>
                <w:szCs w:val="21"/>
              </w:rPr>
              <w:t>污染物名称</w:t>
            </w:r>
          </w:p>
        </w:tc>
        <w:tc>
          <w:tcPr>
            <w:tcW w:w="1630" w:type="dxa"/>
            <w:tcMar>
              <w:left w:w="28" w:type="dxa"/>
              <w:right w:w="28" w:type="dxa"/>
            </w:tcMar>
            <w:vAlign w:val="center"/>
          </w:tcPr>
          <w:p w14:paraId="51F300F8">
            <w:pPr>
              <w:pStyle w:val="64"/>
              <w:spacing w:beforeLines="0" w:afterLines="0" w:line="240" w:lineRule="auto"/>
              <w:ind w:left="396" w:hanging="396"/>
              <w:rPr>
                <w:rFonts w:ascii="Times New Roman"/>
                <w:snapToGrid w:val="0"/>
                <w:color w:val="auto"/>
                <w:spacing w:val="-6"/>
                <w:kern w:val="21"/>
                <w:szCs w:val="21"/>
              </w:rPr>
            </w:pPr>
            <w:r>
              <w:rPr>
                <w:rFonts w:ascii="Times New Roman"/>
                <w:snapToGrid w:val="0"/>
                <w:color w:val="auto"/>
                <w:spacing w:val="-6"/>
                <w:kern w:val="21"/>
                <w:szCs w:val="21"/>
              </w:rPr>
              <w:t>现有工程</w:t>
            </w:r>
          </w:p>
          <w:p w14:paraId="1BF8E5B1">
            <w:pPr>
              <w:pStyle w:val="64"/>
              <w:spacing w:beforeLines="0" w:afterLines="0" w:line="240" w:lineRule="auto"/>
              <w:ind w:left="396" w:hanging="396"/>
              <w:rPr>
                <w:rFonts w:ascii="Times New Roman"/>
                <w:snapToGrid w:val="0"/>
                <w:color w:val="auto"/>
                <w:spacing w:val="-6"/>
                <w:kern w:val="21"/>
                <w:szCs w:val="21"/>
              </w:rPr>
            </w:pPr>
            <w:r>
              <w:rPr>
                <w:rFonts w:ascii="Times New Roman"/>
                <w:snapToGrid w:val="0"/>
                <w:color w:val="auto"/>
                <w:spacing w:val="-6"/>
                <w:kern w:val="21"/>
                <w:szCs w:val="21"/>
              </w:rPr>
              <w:t>排放量（固体废物产生量）</w:t>
            </w:r>
            <w:r>
              <w:rPr>
                <w:rFonts w:ascii="Times New Roman"/>
                <w:snapToGrid w:val="0"/>
                <w:color w:val="auto"/>
                <w:spacing w:val="-6"/>
                <w:kern w:val="21"/>
                <w:szCs w:val="21"/>
              </w:rPr>
              <w:fldChar w:fldCharType="begin"/>
            </w:r>
            <w:r>
              <w:rPr>
                <w:rFonts w:ascii="Times New Roman"/>
                <w:snapToGrid w:val="0"/>
                <w:color w:val="auto"/>
                <w:spacing w:val="-6"/>
                <w:kern w:val="21"/>
                <w:szCs w:val="21"/>
              </w:rPr>
              <w:instrText xml:space="preserve"> = 1 \* GB3 \* MERGEFORMAT </w:instrText>
            </w:r>
            <w:r>
              <w:rPr>
                <w:rFonts w:ascii="Times New Roman"/>
                <w:snapToGrid w:val="0"/>
                <w:color w:val="auto"/>
                <w:spacing w:val="-6"/>
                <w:kern w:val="21"/>
                <w:szCs w:val="21"/>
              </w:rPr>
              <w:fldChar w:fldCharType="separate"/>
            </w:r>
            <w:r>
              <w:rPr>
                <w:rFonts w:ascii="Times New Roman"/>
                <w:color w:val="auto"/>
                <w:kern w:val="2"/>
                <w:szCs w:val="21"/>
              </w:rPr>
              <w:t>①</w:t>
            </w:r>
            <w:r>
              <w:rPr>
                <w:rFonts w:ascii="Times New Roman"/>
                <w:snapToGrid w:val="0"/>
                <w:color w:val="auto"/>
                <w:spacing w:val="-6"/>
                <w:kern w:val="21"/>
                <w:szCs w:val="21"/>
              </w:rPr>
              <w:fldChar w:fldCharType="end"/>
            </w:r>
          </w:p>
        </w:tc>
        <w:tc>
          <w:tcPr>
            <w:tcW w:w="1114" w:type="dxa"/>
            <w:tcMar>
              <w:left w:w="28" w:type="dxa"/>
              <w:right w:w="28" w:type="dxa"/>
            </w:tcMar>
            <w:vAlign w:val="center"/>
          </w:tcPr>
          <w:p w14:paraId="314F7065">
            <w:pPr>
              <w:pStyle w:val="64"/>
              <w:spacing w:beforeLines="0" w:afterLines="0" w:line="240" w:lineRule="auto"/>
              <w:ind w:left="396" w:hanging="396"/>
              <w:rPr>
                <w:rFonts w:ascii="Times New Roman"/>
                <w:snapToGrid w:val="0"/>
                <w:color w:val="auto"/>
                <w:spacing w:val="-6"/>
                <w:kern w:val="21"/>
                <w:szCs w:val="21"/>
              </w:rPr>
            </w:pPr>
            <w:r>
              <w:rPr>
                <w:rFonts w:ascii="Times New Roman"/>
                <w:snapToGrid w:val="0"/>
                <w:color w:val="auto"/>
                <w:spacing w:val="-6"/>
                <w:kern w:val="21"/>
                <w:szCs w:val="21"/>
              </w:rPr>
              <w:t>现有工程</w:t>
            </w:r>
          </w:p>
          <w:p w14:paraId="7AB1FF2E">
            <w:pPr>
              <w:pStyle w:val="64"/>
              <w:spacing w:beforeLines="0" w:afterLines="0" w:line="240" w:lineRule="auto"/>
              <w:ind w:left="396" w:hanging="396"/>
              <w:rPr>
                <w:rFonts w:ascii="Times New Roman"/>
                <w:snapToGrid w:val="0"/>
                <w:color w:val="auto"/>
                <w:spacing w:val="-6"/>
                <w:kern w:val="21"/>
                <w:szCs w:val="21"/>
              </w:rPr>
            </w:pPr>
            <w:r>
              <w:rPr>
                <w:rFonts w:ascii="Times New Roman"/>
                <w:snapToGrid w:val="0"/>
                <w:color w:val="auto"/>
                <w:spacing w:val="-6"/>
                <w:kern w:val="21"/>
                <w:szCs w:val="21"/>
              </w:rPr>
              <w:t>许可排放量</w:t>
            </w:r>
          </w:p>
          <w:p w14:paraId="4D293D59">
            <w:pPr>
              <w:pStyle w:val="64"/>
              <w:spacing w:beforeLines="0" w:afterLines="0"/>
              <w:ind w:left="420" w:hanging="420"/>
              <w:rPr>
                <w:rFonts w:ascii="Times New Roman"/>
                <w:snapToGrid w:val="0"/>
                <w:color w:val="auto"/>
                <w:spacing w:val="-6"/>
                <w:kern w:val="21"/>
                <w:szCs w:val="21"/>
              </w:rPr>
            </w:pPr>
            <w:r>
              <w:rPr>
                <w:rFonts w:ascii="Times New Roman"/>
                <w:snapToGrid w:val="0"/>
                <w:color w:val="auto"/>
                <w:spacing w:val="-6"/>
                <w:kern w:val="21"/>
                <w:szCs w:val="21"/>
              </w:rPr>
              <w:fldChar w:fldCharType="begin"/>
            </w:r>
            <w:r>
              <w:rPr>
                <w:rFonts w:ascii="Times New Roman"/>
                <w:snapToGrid w:val="0"/>
                <w:color w:val="auto"/>
                <w:spacing w:val="-6"/>
                <w:kern w:val="21"/>
                <w:szCs w:val="21"/>
              </w:rPr>
              <w:instrText xml:space="preserve"> = 2 \* GB3 \* MERGEFORMAT </w:instrText>
            </w:r>
            <w:r>
              <w:rPr>
                <w:rFonts w:ascii="Times New Roman"/>
                <w:snapToGrid w:val="0"/>
                <w:color w:val="auto"/>
                <w:spacing w:val="-6"/>
                <w:kern w:val="21"/>
                <w:szCs w:val="21"/>
              </w:rPr>
              <w:fldChar w:fldCharType="separate"/>
            </w:r>
            <w:r>
              <w:rPr>
                <w:rFonts w:ascii="Times New Roman"/>
                <w:snapToGrid w:val="0"/>
                <w:color w:val="auto"/>
                <w:spacing w:val="-6"/>
                <w:kern w:val="21"/>
                <w:szCs w:val="21"/>
              </w:rPr>
              <w:t>②</w:t>
            </w:r>
            <w:r>
              <w:rPr>
                <w:rFonts w:ascii="Times New Roman"/>
                <w:snapToGrid w:val="0"/>
                <w:color w:val="auto"/>
                <w:spacing w:val="-6"/>
                <w:kern w:val="21"/>
                <w:szCs w:val="21"/>
              </w:rPr>
              <w:fldChar w:fldCharType="end"/>
            </w:r>
          </w:p>
        </w:tc>
        <w:tc>
          <w:tcPr>
            <w:tcW w:w="1591" w:type="dxa"/>
            <w:tcMar>
              <w:left w:w="28" w:type="dxa"/>
              <w:right w:w="28" w:type="dxa"/>
            </w:tcMar>
            <w:vAlign w:val="center"/>
          </w:tcPr>
          <w:p w14:paraId="29C9D745">
            <w:pPr>
              <w:pStyle w:val="64"/>
              <w:spacing w:beforeLines="0" w:afterLines="0" w:line="240" w:lineRule="auto"/>
              <w:ind w:left="396" w:hanging="396"/>
              <w:rPr>
                <w:rFonts w:ascii="Times New Roman"/>
                <w:snapToGrid w:val="0"/>
                <w:color w:val="auto"/>
                <w:spacing w:val="-6"/>
                <w:kern w:val="21"/>
                <w:szCs w:val="21"/>
              </w:rPr>
            </w:pPr>
            <w:r>
              <w:rPr>
                <w:rFonts w:ascii="Times New Roman"/>
                <w:snapToGrid w:val="0"/>
                <w:color w:val="auto"/>
                <w:spacing w:val="-6"/>
                <w:kern w:val="21"/>
                <w:szCs w:val="21"/>
              </w:rPr>
              <w:t>在建工程</w:t>
            </w:r>
          </w:p>
          <w:p w14:paraId="1A6CF0FE">
            <w:pPr>
              <w:pStyle w:val="64"/>
              <w:spacing w:beforeLines="0" w:afterLines="0" w:line="240" w:lineRule="auto"/>
              <w:ind w:left="396" w:hanging="396"/>
              <w:rPr>
                <w:rFonts w:ascii="Times New Roman"/>
                <w:snapToGrid w:val="0"/>
                <w:color w:val="auto"/>
                <w:spacing w:val="-6"/>
                <w:kern w:val="21"/>
                <w:szCs w:val="21"/>
              </w:rPr>
            </w:pPr>
            <w:r>
              <w:rPr>
                <w:rFonts w:ascii="Times New Roman"/>
                <w:snapToGrid w:val="0"/>
                <w:color w:val="auto"/>
                <w:spacing w:val="-6"/>
                <w:kern w:val="21"/>
                <w:szCs w:val="21"/>
              </w:rPr>
              <w:t>排放量（固体废物产生量）</w:t>
            </w:r>
            <w:r>
              <w:rPr>
                <w:rFonts w:ascii="Times New Roman"/>
                <w:snapToGrid w:val="0"/>
                <w:color w:val="auto"/>
                <w:spacing w:val="-6"/>
                <w:kern w:val="21"/>
                <w:szCs w:val="21"/>
              </w:rPr>
              <w:fldChar w:fldCharType="begin"/>
            </w:r>
            <w:r>
              <w:rPr>
                <w:rFonts w:ascii="Times New Roman"/>
                <w:snapToGrid w:val="0"/>
                <w:color w:val="auto"/>
                <w:spacing w:val="-6"/>
                <w:kern w:val="21"/>
                <w:szCs w:val="21"/>
              </w:rPr>
              <w:instrText xml:space="preserve"> = 3 \* GB3 \* MERGEFORMAT </w:instrText>
            </w:r>
            <w:r>
              <w:rPr>
                <w:rFonts w:ascii="Times New Roman"/>
                <w:snapToGrid w:val="0"/>
                <w:color w:val="auto"/>
                <w:spacing w:val="-6"/>
                <w:kern w:val="21"/>
                <w:szCs w:val="21"/>
              </w:rPr>
              <w:fldChar w:fldCharType="separate"/>
            </w:r>
            <w:r>
              <w:rPr>
                <w:rFonts w:ascii="Times New Roman"/>
                <w:color w:val="auto"/>
                <w:kern w:val="2"/>
                <w:szCs w:val="21"/>
              </w:rPr>
              <w:t>③</w:t>
            </w:r>
            <w:r>
              <w:rPr>
                <w:rFonts w:ascii="Times New Roman"/>
                <w:snapToGrid w:val="0"/>
                <w:color w:val="auto"/>
                <w:spacing w:val="-6"/>
                <w:kern w:val="21"/>
                <w:szCs w:val="21"/>
              </w:rPr>
              <w:fldChar w:fldCharType="end"/>
            </w:r>
          </w:p>
        </w:tc>
        <w:tc>
          <w:tcPr>
            <w:tcW w:w="1559" w:type="dxa"/>
            <w:tcMar>
              <w:left w:w="28" w:type="dxa"/>
              <w:right w:w="28" w:type="dxa"/>
            </w:tcMar>
            <w:vAlign w:val="center"/>
          </w:tcPr>
          <w:p w14:paraId="68F920F5">
            <w:pPr>
              <w:pStyle w:val="64"/>
              <w:spacing w:beforeLines="0" w:afterLines="0" w:line="240" w:lineRule="auto"/>
              <w:ind w:left="396" w:hanging="396"/>
              <w:rPr>
                <w:rFonts w:ascii="Times New Roman"/>
                <w:snapToGrid w:val="0"/>
                <w:color w:val="auto"/>
                <w:spacing w:val="-6"/>
                <w:kern w:val="21"/>
                <w:szCs w:val="21"/>
              </w:rPr>
            </w:pPr>
            <w:r>
              <w:rPr>
                <w:rFonts w:ascii="Times New Roman"/>
                <w:snapToGrid w:val="0"/>
                <w:color w:val="auto"/>
                <w:spacing w:val="-6"/>
                <w:kern w:val="21"/>
                <w:szCs w:val="21"/>
              </w:rPr>
              <w:t>本项目</w:t>
            </w:r>
          </w:p>
          <w:p w14:paraId="391C2C8C">
            <w:pPr>
              <w:pStyle w:val="64"/>
              <w:spacing w:beforeLines="0" w:afterLines="0" w:line="240" w:lineRule="auto"/>
              <w:ind w:left="396" w:hanging="396"/>
              <w:rPr>
                <w:rFonts w:ascii="Times New Roman"/>
                <w:snapToGrid w:val="0"/>
                <w:color w:val="auto"/>
                <w:spacing w:val="-6"/>
                <w:kern w:val="21"/>
                <w:szCs w:val="21"/>
              </w:rPr>
            </w:pPr>
            <w:r>
              <w:rPr>
                <w:rFonts w:ascii="Times New Roman"/>
                <w:snapToGrid w:val="0"/>
                <w:color w:val="auto"/>
                <w:spacing w:val="-6"/>
                <w:kern w:val="21"/>
                <w:szCs w:val="21"/>
              </w:rPr>
              <w:t>排放量（固体废物产生量）</w:t>
            </w:r>
            <w:r>
              <w:rPr>
                <w:rFonts w:ascii="Times New Roman"/>
                <w:snapToGrid w:val="0"/>
                <w:color w:val="auto"/>
                <w:spacing w:val="-6"/>
                <w:kern w:val="21"/>
                <w:szCs w:val="21"/>
              </w:rPr>
              <w:fldChar w:fldCharType="begin"/>
            </w:r>
            <w:r>
              <w:rPr>
                <w:rFonts w:ascii="Times New Roman"/>
                <w:snapToGrid w:val="0"/>
                <w:color w:val="auto"/>
                <w:spacing w:val="-6"/>
                <w:kern w:val="21"/>
                <w:szCs w:val="21"/>
              </w:rPr>
              <w:instrText xml:space="preserve"> = 4 \* GB3 \* MERGEFORMAT </w:instrText>
            </w:r>
            <w:r>
              <w:rPr>
                <w:rFonts w:ascii="Times New Roman"/>
                <w:snapToGrid w:val="0"/>
                <w:color w:val="auto"/>
                <w:spacing w:val="-6"/>
                <w:kern w:val="21"/>
                <w:szCs w:val="21"/>
              </w:rPr>
              <w:fldChar w:fldCharType="separate"/>
            </w:r>
            <w:r>
              <w:rPr>
                <w:rFonts w:ascii="Times New Roman"/>
                <w:color w:val="auto"/>
                <w:kern w:val="2"/>
                <w:szCs w:val="21"/>
              </w:rPr>
              <w:t>④</w:t>
            </w:r>
            <w:r>
              <w:rPr>
                <w:rFonts w:ascii="Times New Roman"/>
                <w:snapToGrid w:val="0"/>
                <w:color w:val="auto"/>
                <w:spacing w:val="-6"/>
                <w:kern w:val="21"/>
                <w:szCs w:val="21"/>
              </w:rPr>
              <w:fldChar w:fldCharType="end"/>
            </w:r>
          </w:p>
        </w:tc>
        <w:tc>
          <w:tcPr>
            <w:tcW w:w="1471" w:type="dxa"/>
            <w:tcMar>
              <w:left w:w="28" w:type="dxa"/>
              <w:right w:w="28" w:type="dxa"/>
            </w:tcMar>
            <w:vAlign w:val="center"/>
          </w:tcPr>
          <w:p w14:paraId="2315B05C">
            <w:pPr>
              <w:pStyle w:val="64"/>
              <w:spacing w:beforeLines="0" w:afterLines="0" w:line="240" w:lineRule="auto"/>
              <w:ind w:left="356" w:hanging="356"/>
              <w:rPr>
                <w:rFonts w:ascii="Times New Roman"/>
                <w:snapToGrid w:val="0"/>
                <w:color w:val="auto"/>
                <w:spacing w:val="-16"/>
                <w:kern w:val="21"/>
                <w:szCs w:val="21"/>
              </w:rPr>
            </w:pPr>
            <w:r>
              <w:rPr>
                <w:rFonts w:ascii="Times New Roman"/>
                <w:snapToGrid w:val="0"/>
                <w:color w:val="auto"/>
                <w:spacing w:val="-16"/>
                <w:kern w:val="21"/>
                <w:szCs w:val="21"/>
              </w:rPr>
              <w:t>以新带老削减量</w:t>
            </w:r>
          </w:p>
          <w:p w14:paraId="66A00E2C">
            <w:pPr>
              <w:pStyle w:val="64"/>
              <w:spacing w:beforeLines="0" w:afterLines="0" w:line="240" w:lineRule="auto"/>
              <w:ind w:left="356" w:hanging="356"/>
              <w:rPr>
                <w:rFonts w:ascii="Times New Roman"/>
                <w:snapToGrid w:val="0"/>
                <w:color w:val="auto"/>
                <w:spacing w:val="-16"/>
                <w:kern w:val="21"/>
                <w:szCs w:val="21"/>
              </w:rPr>
            </w:pPr>
            <w:r>
              <w:rPr>
                <w:rFonts w:ascii="Times New Roman"/>
                <w:snapToGrid w:val="0"/>
                <w:color w:val="auto"/>
                <w:spacing w:val="-16"/>
                <w:kern w:val="21"/>
                <w:szCs w:val="21"/>
              </w:rPr>
              <w:t>（新建项目不填）</w:t>
            </w:r>
            <w:r>
              <w:rPr>
                <w:rFonts w:ascii="Times New Roman"/>
                <w:snapToGrid w:val="0"/>
                <w:color w:val="auto"/>
                <w:spacing w:val="-16"/>
                <w:kern w:val="21"/>
                <w:szCs w:val="21"/>
              </w:rPr>
              <w:fldChar w:fldCharType="begin"/>
            </w:r>
            <w:r>
              <w:rPr>
                <w:rFonts w:ascii="Times New Roman"/>
                <w:snapToGrid w:val="0"/>
                <w:color w:val="auto"/>
                <w:spacing w:val="-16"/>
                <w:kern w:val="21"/>
                <w:szCs w:val="21"/>
              </w:rPr>
              <w:instrText xml:space="preserve"> = 5 \* GB3 \* MERGEFORMAT </w:instrText>
            </w:r>
            <w:r>
              <w:rPr>
                <w:rFonts w:ascii="Times New Roman"/>
                <w:snapToGrid w:val="0"/>
                <w:color w:val="auto"/>
                <w:spacing w:val="-16"/>
                <w:kern w:val="21"/>
                <w:szCs w:val="21"/>
              </w:rPr>
              <w:fldChar w:fldCharType="separate"/>
            </w:r>
            <w:r>
              <w:rPr>
                <w:rFonts w:ascii="Times New Roman"/>
                <w:color w:val="auto"/>
                <w:kern w:val="2"/>
                <w:szCs w:val="21"/>
              </w:rPr>
              <w:t>⑤</w:t>
            </w:r>
            <w:r>
              <w:rPr>
                <w:rFonts w:ascii="Times New Roman"/>
                <w:snapToGrid w:val="0"/>
                <w:color w:val="auto"/>
                <w:spacing w:val="-16"/>
                <w:kern w:val="21"/>
                <w:szCs w:val="21"/>
              </w:rPr>
              <w:fldChar w:fldCharType="end"/>
            </w:r>
          </w:p>
        </w:tc>
        <w:tc>
          <w:tcPr>
            <w:tcW w:w="1507" w:type="dxa"/>
            <w:tcMar>
              <w:left w:w="28" w:type="dxa"/>
              <w:right w:w="28" w:type="dxa"/>
            </w:tcMar>
            <w:vAlign w:val="center"/>
          </w:tcPr>
          <w:p w14:paraId="4818C5BC">
            <w:pPr>
              <w:pStyle w:val="64"/>
              <w:spacing w:beforeLines="0" w:afterLines="0" w:line="240" w:lineRule="auto"/>
              <w:ind w:left="356" w:hanging="356"/>
              <w:rPr>
                <w:rFonts w:ascii="Times New Roman"/>
                <w:snapToGrid w:val="0"/>
                <w:color w:val="auto"/>
                <w:spacing w:val="-16"/>
                <w:kern w:val="21"/>
                <w:szCs w:val="21"/>
              </w:rPr>
            </w:pPr>
            <w:r>
              <w:rPr>
                <w:rFonts w:ascii="Times New Roman"/>
                <w:snapToGrid w:val="0"/>
                <w:color w:val="auto"/>
                <w:spacing w:val="-16"/>
                <w:kern w:val="21"/>
                <w:szCs w:val="21"/>
              </w:rPr>
              <w:t>本项目建成后</w:t>
            </w:r>
          </w:p>
          <w:p w14:paraId="47072014">
            <w:pPr>
              <w:pStyle w:val="64"/>
              <w:spacing w:beforeLines="0" w:afterLines="0" w:line="240" w:lineRule="auto"/>
              <w:ind w:left="356" w:hanging="356"/>
              <w:rPr>
                <w:rFonts w:ascii="Times New Roman"/>
                <w:snapToGrid w:val="0"/>
                <w:color w:val="auto"/>
                <w:spacing w:val="-16"/>
                <w:kern w:val="21"/>
                <w:szCs w:val="21"/>
              </w:rPr>
            </w:pPr>
            <w:r>
              <w:rPr>
                <w:rFonts w:ascii="Times New Roman"/>
                <w:snapToGrid w:val="0"/>
                <w:color w:val="auto"/>
                <w:spacing w:val="-16"/>
                <w:kern w:val="21"/>
                <w:szCs w:val="21"/>
              </w:rPr>
              <w:t>全厂排放量（固体废物产生量）</w:t>
            </w:r>
            <w:r>
              <w:rPr>
                <w:rFonts w:ascii="Times New Roman"/>
                <w:snapToGrid w:val="0"/>
                <w:color w:val="auto"/>
                <w:spacing w:val="-16"/>
                <w:kern w:val="21"/>
                <w:szCs w:val="21"/>
              </w:rPr>
              <w:fldChar w:fldCharType="begin"/>
            </w:r>
            <w:r>
              <w:rPr>
                <w:rFonts w:ascii="Times New Roman"/>
                <w:snapToGrid w:val="0"/>
                <w:color w:val="auto"/>
                <w:spacing w:val="-16"/>
                <w:kern w:val="21"/>
                <w:szCs w:val="21"/>
              </w:rPr>
              <w:instrText xml:space="preserve"> = 6 \* GB3 \* MERGEFORMAT </w:instrText>
            </w:r>
            <w:r>
              <w:rPr>
                <w:rFonts w:ascii="Times New Roman"/>
                <w:snapToGrid w:val="0"/>
                <w:color w:val="auto"/>
                <w:spacing w:val="-16"/>
                <w:kern w:val="21"/>
                <w:szCs w:val="21"/>
              </w:rPr>
              <w:fldChar w:fldCharType="separate"/>
            </w:r>
            <w:r>
              <w:rPr>
                <w:rFonts w:ascii="Times New Roman"/>
                <w:color w:val="auto"/>
                <w:kern w:val="2"/>
                <w:szCs w:val="21"/>
              </w:rPr>
              <w:t>⑥</w:t>
            </w:r>
            <w:r>
              <w:rPr>
                <w:rFonts w:ascii="Times New Roman"/>
                <w:snapToGrid w:val="0"/>
                <w:color w:val="auto"/>
                <w:spacing w:val="-16"/>
                <w:kern w:val="21"/>
                <w:szCs w:val="21"/>
              </w:rPr>
              <w:fldChar w:fldCharType="end"/>
            </w:r>
          </w:p>
        </w:tc>
        <w:tc>
          <w:tcPr>
            <w:tcW w:w="1568" w:type="dxa"/>
            <w:tcMar>
              <w:left w:w="28" w:type="dxa"/>
              <w:right w:w="28" w:type="dxa"/>
            </w:tcMar>
            <w:vAlign w:val="center"/>
          </w:tcPr>
          <w:p w14:paraId="2E44CB19">
            <w:pPr>
              <w:pStyle w:val="64"/>
              <w:spacing w:beforeLines="0" w:afterLines="0" w:line="240" w:lineRule="auto"/>
              <w:ind w:left="396" w:hanging="396"/>
              <w:rPr>
                <w:rFonts w:ascii="Times New Roman"/>
                <w:snapToGrid w:val="0"/>
                <w:color w:val="auto"/>
                <w:spacing w:val="-6"/>
                <w:kern w:val="21"/>
                <w:szCs w:val="21"/>
              </w:rPr>
            </w:pPr>
            <w:r>
              <w:rPr>
                <w:rFonts w:ascii="Times New Roman"/>
                <w:snapToGrid w:val="0"/>
                <w:color w:val="auto"/>
                <w:spacing w:val="-6"/>
                <w:kern w:val="21"/>
                <w:szCs w:val="21"/>
              </w:rPr>
              <w:t>变化量</w:t>
            </w:r>
          </w:p>
          <w:p w14:paraId="10A9A6C4">
            <w:pPr>
              <w:pStyle w:val="64"/>
              <w:spacing w:beforeLines="0" w:afterLines="0" w:line="240" w:lineRule="auto"/>
              <w:ind w:left="420" w:hanging="420"/>
              <w:rPr>
                <w:rFonts w:ascii="Times New Roman"/>
                <w:snapToGrid w:val="0"/>
                <w:color w:val="auto"/>
                <w:spacing w:val="-6"/>
                <w:kern w:val="21"/>
                <w:szCs w:val="21"/>
              </w:rPr>
            </w:pPr>
            <w:r>
              <w:rPr>
                <w:rFonts w:ascii="Times New Roman"/>
                <w:snapToGrid w:val="0"/>
                <w:color w:val="auto"/>
                <w:spacing w:val="-6"/>
                <w:kern w:val="21"/>
                <w:szCs w:val="21"/>
              </w:rPr>
              <w:fldChar w:fldCharType="begin"/>
            </w:r>
            <w:r>
              <w:rPr>
                <w:rFonts w:ascii="Times New Roman"/>
                <w:snapToGrid w:val="0"/>
                <w:color w:val="auto"/>
                <w:spacing w:val="-6"/>
                <w:kern w:val="21"/>
                <w:szCs w:val="21"/>
              </w:rPr>
              <w:instrText xml:space="preserve"> = 7 \* GB3 \* MERGEFORMAT </w:instrText>
            </w:r>
            <w:r>
              <w:rPr>
                <w:rFonts w:ascii="Times New Roman"/>
                <w:snapToGrid w:val="0"/>
                <w:color w:val="auto"/>
                <w:spacing w:val="-6"/>
                <w:kern w:val="21"/>
                <w:szCs w:val="21"/>
              </w:rPr>
              <w:fldChar w:fldCharType="separate"/>
            </w:r>
            <w:r>
              <w:rPr>
                <w:rFonts w:ascii="Times New Roman"/>
                <w:color w:val="auto"/>
                <w:kern w:val="2"/>
                <w:szCs w:val="21"/>
              </w:rPr>
              <w:t>⑦</w:t>
            </w:r>
            <w:r>
              <w:rPr>
                <w:rFonts w:ascii="Times New Roman"/>
                <w:snapToGrid w:val="0"/>
                <w:color w:val="auto"/>
                <w:spacing w:val="-6"/>
                <w:kern w:val="21"/>
                <w:szCs w:val="21"/>
              </w:rPr>
              <w:fldChar w:fldCharType="end"/>
            </w:r>
          </w:p>
        </w:tc>
      </w:tr>
      <w:tr w14:paraId="1EFD81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1148" w:type="dxa"/>
            <w:vAlign w:val="center"/>
          </w:tcPr>
          <w:p w14:paraId="633C8D24">
            <w:pPr>
              <w:pStyle w:val="64"/>
              <w:spacing w:beforeLines="0" w:afterLines="0" w:line="240" w:lineRule="auto"/>
              <w:ind w:left="0" w:firstLine="0" w:firstLineChars="0"/>
              <w:rPr>
                <w:rFonts w:ascii="Times New Roman"/>
                <w:snapToGrid w:val="0"/>
                <w:color w:val="auto"/>
                <w:kern w:val="21"/>
                <w:szCs w:val="21"/>
              </w:rPr>
            </w:pPr>
            <w:r>
              <w:rPr>
                <w:rFonts w:ascii="Times New Roman"/>
                <w:snapToGrid w:val="0"/>
                <w:color w:val="auto"/>
                <w:kern w:val="21"/>
                <w:szCs w:val="21"/>
              </w:rPr>
              <w:t>废气</w:t>
            </w:r>
          </w:p>
        </w:tc>
        <w:tc>
          <w:tcPr>
            <w:tcW w:w="2200" w:type="dxa"/>
            <w:vAlign w:val="center"/>
          </w:tcPr>
          <w:p w14:paraId="692421DB">
            <w:pPr>
              <w:widowControl/>
              <w:jc w:val="center"/>
              <w:textAlignment w:val="center"/>
              <w:rPr>
                <w:rFonts w:hint="eastAsia" w:ascii="Times New Roman" w:hAnsi="Times New Roman" w:eastAsia="黑体" w:cs="Times New Roman"/>
                <w:snapToGrid w:val="0"/>
                <w:color w:val="auto"/>
                <w:spacing w:val="-6"/>
                <w:kern w:val="21"/>
                <w:szCs w:val="21"/>
              </w:rPr>
            </w:pPr>
            <w:r>
              <w:rPr>
                <w:rFonts w:hint="eastAsia" w:ascii="Times New Roman" w:hAnsi="Times New Roman" w:eastAsia="黑体" w:cs="Times New Roman"/>
                <w:snapToGrid w:val="0"/>
                <w:color w:val="auto"/>
                <w:spacing w:val="-6"/>
                <w:kern w:val="21"/>
                <w:szCs w:val="21"/>
              </w:rPr>
              <w:t>非甲烷总烃</w:t>
            </w:r>
          </w:p>
        </w:tc>
        <w:tc>
          <w:tcPr>
            <w:tcW w:w="1630" w:type="dxa"/>
            <w:vAlign w:val="center"/>
          </w:tcPr>
          <w:p w14:paraId="257AE51B">
            <w:pPr>
              <w:widowControl/>
              <w:jc w:val="center"/>
              <w:textAlignment w:val="center"/>
              <w:rPr>
                <w:rFonts w:hint="eastAsia" w:ascii="Times New Roman" w:hAnsi="Times New Roman" w:eastAsia="黑体" w:cs="Times New Roman"/>
                <w:snapToGrid w:val="0"/>
                <w:color w:val="auto"/>
                <w:spacing w:val="-6"/>
                <w:kern w:val="21"/>
                <w:szCs w:val="21"/>
                <w:lang w:val="en-US" w:eastAsia="zh-CN"/>
              </w:rPr>
            </w:pPr>
            <w:r>
              <w:rPr>
                <w:rFonts w:hint="eastAsia" w:eastAsia="黑体" w:cs="Times New Roman"/>
                <w:snapToGrid w:val="0"/>
                <w:color w:val="auto"/>
                <w:spacing w:val="-6"/>
                <w:kern w:val="21"/>
                <w:szCs w:val="21"/>
                <w:lang w:val="en-US" w:eastAsia="zh-CN"/>
              </w:rPr>
              <w:t>0</w:t>
            </w:r>
          </w:p>
        </w:tc>
        <w:tc>
          <w:tcPr>
            <w:tcW w:w="1114" w:type="dxa"/>
            <w:vAlign w:val="center"/>
          </w:tcPr>
          <w:p w14:paraId="40998A2C">
            <w:pPr>
              <w:widowControl/>
              <w:jc w:val="center"/>
              <w:textAlignment w:val="center"/>
              <w:rPr>
                <w:snapToGrid w:val="0"/>
                <w:color w:val="auto"/>
                <w:kern w:val="21"/>
                <w:szCs w:val="21"/>
              </w:rPr>
            </w:pPr>
            <w:r>
              <w:rPr>
                <w:rFonts w:eastAsia="黑体"/>
                <w:snapToGrid w:val="0"/>
                <w:color w:val="auto"/>
                <w:spacing w:val="-6"/>
                <w:kern w:val="21"/>
                <w:szCs w:val="21"/>
              </w:rPr>
              <w:t>/</w:t>
            </w:r>
          </w:p>
        </w:tc>
        <w:tc>
          <w:tcPr>
            <w:tcW w:w="1591" w:type="dxa"/>
            <w:vAlign w:val="center"/>
          </w:tcPr>
          <w:p w14:paraId="1FA17523">
            <w:pPr>
              <w:widowControl/>
              <w:jc w:val="center"/>
              <w:textAlignment w:val="center"/>
              <w:rPr>
                <w:snapToGrid w:val="0"/>
                <w:color w:val="auto"/>
                <w:kern w:val="21"/>
                <w:szCs w:val="21"/>
              </w:rPr>
            </w:pPr>
            <w:r>
              <w:rPr>
                <w:rFonts w:eastAsia="黑体"/>
                <w:snapToGrid w:val="0"/>
                <w:color w:val="auto"/>
                <w:spacing w:val="-6"/>
                <w:kern w:val="21"/>
                <w:szCs w:val="21"/>
              </w:rPr>
              <w:t>/</w:t>
            </w:r>
          </w:p>
        </w:tc>
        <w:tc>
          <w:tcPr>
            <w:tcW w:w="1559" w:type="dxa"/>
            <w:vAlign w:val="center"/>
          </w:tcPr>
          <w:p w14:paraId="148EC272">
            <w:pPr>
              <w:widowControl/>
              <w:jc w:val="center"/>
              <w:textAlignment w:val="center"/>
              <w:rPr>
                <w:rFonts w:hint="default" w:eastAsia="宋体"/>
                <w:color w:val="auto"/>
                <w:szCs w:val="21"/>
                <w:lang w:val="en-US" w:eastAsia="zh-CN"/>
              </w:rPr>
            </w:pPr>
            <w:r>
              <w:rPr>
                <w:rFonts w:hint="eastAsia"/>
                <w:color w:val="auto"/>
                <w:szCs w:val="21"/>
                <w:lang w:val="en-US" w:eastAsia="zh-CN"/>
              </w:rPr>
              <w:t>0.7125</w:t>
            </w:r>
          </w:p>
        </w:tc>
        <w:tc>
          <w:tcPr>
            <w:tcW w:w="1471" w:type="dxa"/>
            <w:shd w:val="clear" w:color="auto" w:fill="auto"/>
            <w:vAlign w:val="center"/>
          </w:tcPr>
          <w:p w14:paraId="5ACC43D7">
            <w:pPr>
              <w:widowControl/>
              <w:jc w:val="center"/>
              <w:textAlignment w:val="center"/>
              <w:rPr>
                <w:rFonts w:ascii="Times New Roman" w:hAnsi="Times New Roman" w:eastAsia="宋体" w:cs="Times New Roman"/>
                <w:snapToGrid w:val="0"/>
                <w:color w:val="auto"/>
                <w:kern w:val="21"/>
                <w:sz w:val="21"/>
                <w:szCs w:val="21"/>
                <w:lang w:val="en-US" w:eastAsia="zh-CN" w:bidi="ar-SA"/>
              </w:rPr>
            </w:pPr>
            <w:r>
              <w:rPr>
                <w:rFonts w:eastAsia="黑体"/>
                <w:snapToGrid w:val="0"/>
                <w:color w:val="auto"/>
                <w:spacing w:val="-6"/>
                <w:kern w:val="21"/>
                <w:szCs w:val="21"/>
              </w:rPr>
              <w:t>/</w:t>
            </w:r>
          </w:p>
        </w:tc>
        <w:tc>
          <w:tcPr>
            <w:tcW w:w="1507" w:type="dxa"/>
            <w:shd w:val="clear" w:color="auto" w:fill="auto"/>
            <w:vAlign w:val="center"/>
          </w:tcPr>
          <w:p w14:paraId="0E80EEB7">
            <w:pPr>
              <w:widowControl/>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0.7125</w:t>
            </w:r>
          </w:p>
        </w:tc>
        <w:tc>
          <w:tcPr>
            <w:tcW w:w="1568" w:type="dxa"/>
            <w:shd w:val="clear" w:color="auto" w:fill="auto"/>
            <w:vAlign w:val="center"/>
          </w:tcPr>
          <w:p w14:paraId="0F19E82F">
            <w:pPr>
              <w:widowControl/>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+0.7125</w:t>
            </w:r>
          </w:p>
        </w:tc>
      </w:tr>
      <w:tr w14:paraId="7A1F6E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148" w:type="dxa"/>
            <w:vMerge w:val="restart"/>
            <w:vAlign w:val="center"/>
          </w:tcPr>
          <w:p w14:paraId="76DE9C38">
            <w:pPr>
              <w:pStyle w:val="64"/>
              <w:spacing w:beforeLines="0" w:afterLines="0" w:line="240" w:lineRule="auto"/>
              <w:ind w:left="0" w:firstLine="0" w:firstLineChars="0"/>
              <w:rPr>
                <w:rFonts w:ascii="Times New Roman"/>
                <w:snapToGrid w:val="0"/>
                <w:color w:val="auto"/>
                <w:kern w:val="21"/>
                <w:szCs w:val="21"/>
              </w:rPr>
            </w:pPr>
            <w:r>
              <w:rPr>
                <w:rFonts w:ascii="Times New Roman"/>
                <w:snapToGrid w:val="0"/>
                <w:color w:val="auto"/>
                <w:kern w:val="21"/>
                <w:szCs w:val="21"/>
              </w:rPr>
              <w:t>废水</w:t>
            </w:r>
          </w:p>
        </w:tc>
        <w:tc>
          <w:tcPr>
            <w:tcW w:w="2200" w:type="dxa"/>
            <w:vAlign w:val="center"/>
          </w:tcPr>
          <w:p w14:paraId="69758A4E">
            <w:pPr>
              <w:jc w:val="center"/>
              <w:rPr>
                <w:color w:val="auto"/>
                <w:szCs w:val="21"/>
              </w:rPr>
            </w:pPr>
            <w:r>
              <w:rPr>
                <w:rFonts w:hint="eastAsia" w:eastAsia="黑体"/>
                <w:snapToGrid w:val="0"/>
                <w:color w:val="auto"/>
                <w:spacing w:val="-6"/>
                <w:kern w:val="21"/>
                <w:szCs w:val="21"/>
              </w:rPr>
              <w:t>废水量</w:t>
            </w:r>
          </w:p>
        </w:tc>
        <w:tc>
          <w:tcPr>
            <w:tcW w:w="1630" w:type="dxa"/>
            <w:vAlign w:val="center"/>
          </w:tcPr>
          <w:p w14:paraId="5B747C4D">
            <w:pPr>
              <w:jc w:val="center"/>
              <w:rPr>
                <w:snapToGrid w:val="0"/>
                <w:color w:val="auto"/>
                <w:kern w:val="21"/>
                <w:szCs w:val="21"/>
              </w:rPr>
            </w:pPr>
            <w:r>
              <w:rPr>
                <w:rFonts w:hint="eastAsia" w:eastAsia="黑体" w:cs="Times New Roman"/>
                <w:snapToGrid w:val="0"/>
                <w:color w:val="auto"/>
                <w:spacing w:val="-6"/>
                <w:kern w:val="21"/>
                <w:szCs w:val="21"/>
                <w:lang w:val="en-US" w:eastAsia="zh-CN"/>
              </w:rPr>
              <w:t>0</w:t>
            </w:r>
          </w:p>
        </w:tc>
        <w:tc>
          <w:tcPr>
            <w:tcW w:w="1114" w:type="dxa"/>
            <w:vAlign w:val="center"/>
          </w:tcPr>
          <w:p w14:paraId="30EB85BC">
            <w:pPr>
              <w:widowControl/>
              <w:jc w:val="center"/>
              <w:textAlignment w:val="top"/>
              <w:rPr>
                <w:snapToGrid w:val="0"/>
                <w:color w:val="auto"/>
                <w:kern w:val="21"/>
                <w:szCs w:val="21"/>
              </w:rPr>
            </w:pPr>
            <w:r>
              <w:rPr>
                <w:rFonts w:eastAsia="黑体"/>
                <w:snapToGrid w:val="0"/>
                <w:color w:val="auto"/>
                <w:spacing w:val="-6"/>
                <w:kern w:val="21"/>
                <w:szCs w:val="21"/>
              </w:rPr>
              <w:t>/</w:t>
            </w:r>
          </w:p>
        </w:tc>
        <w:tc>
          <w:tcPr>
            <w:tcW w:w="1591" w:type="dxa"/>
            <w:vAlign w:val="center"/>
          </w:tcPr>
          <w:p w14:paraId="6CB9382C">
            <w:pPr>
              <w:widowControl/>
              <w:jc w:val="center"/>
              <w:textAlignment w:val="top"/>
              <w:rPr>
                <w:snapToGrid w:val="0"/>
                <w:color w:val="auto"/>
                <w:kern w:val="21"/>
                <w:szCs w:val="21"/>
              </w:rPr>
            </w:pPr>
            <w:r>
              <w:rPr>
                <w:rFonts w:eastAsia="黑体"/>
                <w:snapToGrid w:val="0"/>
                <w:color w:val="auto"/>
                <w:spacing w:val="-6"/>
                <w:kern w:val="21"/>
                <w:szCs w:val="21"/>
              </w:rPr>
              <w:t>/</w:t>
            </w:r>
          </w:p>
        </w:tc>
        <w:tc>
          <w:tcPr>
            <w:tcW w:w="1559" w:type="dxa"/>
            <w:vAlign w:val="center"/>
          </w:tcPr>
          <w:p w14:paraId="5B88DECF">
            <w:pPr>
              <w:widowControl/>
              <w:jc w:val="center"/>
              <w:rPr>
                <w:rFonts w:hint="default" w:ascii="Times New Roman" w:hAnsi="Times New Roman" w:eastAsia="宋体" w:cs="Times New Roman"/>
                <w:snapToGrid w:val="0"/>
                <w:color w:val="auto"/>
                <w:kern w:val="21"/>
                <w:szCs w:val="21"/>
                <w:lang w:val="en-US" w:eastAsia="zh-CN"/>
              </w:rPr>
            </w:pPr>
            <w:r>
              <w:rPr>
                <w:rFonts w:hint="eastAsia" w:cs="Times New Roman"/>
                <w:snapToGrid w:val="0"/>
                <w:color w:val="auto"/>
                <w:kern w:val="21"/>
                <w:szCs w:val="21"/>
                <w:lang w:val="en-US" w:eastAsia="zh-CN"/>
              </w:rPr>
              <w:t>10015.952</w:t>
            </w:r>
          </w:p>
        </w:tc>
        <w:tc>
          <w:tcPr>
            <w:tcW w:w="1471" w:type="dxa"/>
            <w:shd w:val="clear" w:color="auto" w:fill="auto"/>
            <w:vAlign w:val="center"/>
          </w:tcPr>
          <w:p w14:paraId="6CAA2A9F">
            <w:pPr>
              <w:widowControl/>
              <w:jc w:val="center"/>
              <w:textAlignment w:val="top"/>
              <w:rPr>
                <w:rFonts w:hint="default" w:ascii="Times New Roman" w:hAnsi="Times New Roman" w:eastAsia="宋体" w:cs="Times New Roman"/>
                <w:snapToGrid w:val="0"/>
                <w:color w:val="auto"/>
                <w:kern w:val="21"/>
                <w:sz w:val="21"/>
                <w:szCs w:val="21"/>
                <w:lang w:val="en-US" w:eastAsia="zh-CN" w:bidi="ar-SA"/>
              </w:rPr>
            </w:pPr>
            <w:r>
              <w:rPr>
                <w:rFonts w:eastAsia="黑体"/>
                <w:snapToGrid w:val="0"/>
                <w:color w:val="auto"/>
                <w:spacing w:val="-6"/>
                <w:kern w:val="21"/>
                <w:szCs w:val="21"/>
              </w:rPr>
              <w:t>/</w:t>
            </w:r>
          </w:p>
        </w:tc>
        <w:tc>
          <w:tcPr>
            <w:tcW w:w="1507" w:type="dxa"/>
            <w:shd w:val="clear" w:color="auto" w:fill="auto"/>
            <w:vAlign w:val="center"/>
          </w:tcPr>
          <w:p w14:paraId="5BA1D5D7">
            <w:pPr>
              <w:widowControl/>
              <w:jc w:val="center"/>
              <w:rPr>
                <w:rFonts w:hint="default" w:ascii="Times New Roman" w:hAnsi="Times New Roman" w:eastAsia="宋体" w:cs="Times New Roman"/>
                <w:snapToGrid w:val="0"/>
                <w:color w:val="auto"/>
                <w:kern w:val="21"/>
                <w:sz w:val="21"/>
                <w:szCs w:val="21"/>
                <w:lang w:val="en-US" w:eastAsia="zh-CN" w:bidi="ar-SA"/>
              </w:rPr>
            </w:pPr>
            <w:r>
              <w:rPr>
                <w:rFonts w:hint="eastAsia" w:cs="Times New Roman"/>
                <w:snapToGrid w:val="0"/>
                <w:color w:val="auto"/>
                <w:kern w:val="21"/>
                <w:szCs w:val="21"/>
                <w:lang w:val="en-US" w:eastAsia="zh-CN"/>
              </w:rPr>
              <w:t>10015.952</w:t>
            </w:r>
          </w:p>
        </w:tc>
        <w:tc>
          <w:tcPr>
            <w:tcW w:w="1568" w:type="dxa"/>
            <w:shd w:val="clear" w:color="auto" w:fill="auto"/>
            <w:vAlign w:val="center"/>
          </w:tcPr>
          <w:p w14:paraId="6D68FF61">
            <w:pPr>
              <w:widowControl/>
              <w:jc w:val="center"/>
              <w:rPr>
                <w:rFonts w:hint="default" w:ascii="Times New Roman" w:hAnsi="Times New Roman" w:eastAsia="宋体" w:cs="Times New Roman"/>
                <w:snapToGrid w:val="0"/>
                <w:color w:val="auto"/>
                <w:kern w:val="21"/>
                <w:sz w:val="21"/>
                <w:szCs w:val="21"/>
                <w:lang w:val="en-US" w:eastAsia="zh-CN" w:bidi="ar-SA"/>
              </w:rPr>
            </w:pPr>
            <w:r>
              <w:rPr>
                <w:rFonts w:hint="eastAsia" w:cs="Times New Roman"/>
                <w:snapToGrid w:val="0"/>
                <w:color w:val="auto"/>
                <w:kern w:val="21"/>
                <w:szCs w:val="21"/>
                <w:lang w:val="en-US" w:eastAsia="zh-CN"/>
              </w:rPr>
              <w:t>+10015.952</w:t>
            </w:r>
          </w:p>
        </w:tc>
      </w:tr>
      <w:tr w14:paraId="300040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1148" w:type="dxa"/>
            <w:vMerge w:val="continue"/>
            <w:vAlign w:val="center"/>
          </w:tcPr>
          <w:p w14:paraId="0E5CFBBF">
            <w:pPr>
              <w:pStyle w:val="64"/>
              <w:spacing w:beforeLines="0" w:afterLines="0" w:line="240" w:lineRule="auto"/>
              <w:ind w:left="420" w:hanging="420"/>
              <w:rPr>
                <w:rFonts w:ascii="Times New Roman"/>
                <w:snapToGrid w:val="0"/>
                <w:color w:val="auto"/>
                <w:kern w:val="21"/>
                <w:szCs w:val="21"/>
              </w:rPr>
            </w:pPr>
          </w:p>
        </w:tc>
        <w:tc>
          <w:tcPr>
            <w:tcW w:w="2200" w:type="dxa"/>
            <w:vAlign w:val="center"/>
          </w:tcPr>
          <w:p w14:paraId="234BD4FC">
            <w:pPr>
              <w:pStyle w:val="119"/>
              <w:rPr>
                <w:color w:val="auto"/>
                <w:szCs w:val="21"/>
              </w:rPr>
            </w:pPr>
            <w:r>
              <w:rPr>
                <w:rFonts w:eastAsia="黑体"/>
                <w:snapToGrid w:val="0"/>
                <w:color w:val="auto"/>
                <w:spacing w:val="-6"/>
                <w:kern w:val="21"/>
              </w:rPr>
              <w:t>COD</w:t>
            </w:r>
          </w:p>
        </w:tc>
        <w:tc>
          <w:tcPr>
            <w:tcW w:w="1630" w:type="dxa"/>
            <w:vAlign w:val="center"/>
          </w:tcPr>
          <w:p w14:paraId="6451A1DC">
            <w:pPr>
              <w:jc w:val="center"/>
              <w:rPr>
                <w:snapToGrid w:val="0"/>
                <w:color w:val="auto"/>
                <w:kern w:val="21"/>
                <w:szCs w:val="21"/>
              </w:rPr>
            </w:pPr>
            <w:r>
              <w:rPr>
                <w:rFonts w:hint="eastAsia" w:eastAsia="黑体" w:cs="Times New Roman"/>
                <w:snapToGrid w:val="0"/>
                <w:color w:val="auto"/>
                <w:spacing w:val="-6"/>
                <w:kern w:val="21"/>
                <w:szCs w:val="21"/>
                <w:lang w:val="en-US" w:eastAsia="zh-CN"/>
              </w:rPr>
              <w:t>0</w:t>
            </w:r>
          </w:p>
        </w:tc>
        <w:tc>
          <w:tcPr>
            <w:tcW w:w="1114" w:type="dxa"/>
            <w:vAlign w:val="center"/>
          </w:tcPr>
          <w:p w14:paraId="6F3A1CE7">
            <w:pPr>
              <w:widowControl/>
              <w:jc w:val="center"/>
              <w:textAlignment w:val="top"/>
              <w:rPr>
                <w:snapToGrid w:val="0"/>
                <w:color w:val="auto"/>
                <w:kern w:val="21"/>
                <w:szCs w:val="21"/>
              </w:rPr>
            </w:pPr>
            <w:r>
              <w:rPr>
                <w:rFonts w:eastAsia="黑体"/>
                <w:snapToGrid w:val="0"/>
                <w:color w:val="auto"/>
                <w:spacing w:val="-6"/>
                <w:kern w:val="21"/>
                <w:szCs w:val="21"/>
              </w:rPr>
              <w:t>/</w:t>
            </w:r>
          </w:p>
        </w:tc>
        <w:tc>
          <w:tcPr>
            <w:tcW w:w="1591" w:type="dxa"/>
            <w:vAlign w:val="center"/>
          </w:tcPr>
          <w:p w14:paraId="34B622DE">
            <w:pPr>
              <w:widowControl/>
              <w:jc w:val="center"/>
              <w:textAlignment w:val="top"/>
              <w:rPr>
                <w:snapToGrid w:val="0"/>
                <w:color w:val="auto"/>
                <w:kern w:val="21"/>
                <w:szCs w:val="21"/>
              </w:rPr>
            </w:pPr>
            <w:r>
              <w:rPr>
                <w:rFonts w:eastAsia="黑体"/>
                <w:snapToGrid w:val="0"/>
                <w:color w:val="auto"/>
                <w:spacing w:val="-6"/>
                <w:kern w:val="21"/>
                <w:szCs w:val="21"/>
              </w:rPr>
              <w:t>/</w:t>
            </w:r>
          </w:p>
        </w:tc>
        <w:tc>
          <w:tcPr>
            <w:tcW w:w="1559" w:type="dxa"/>
            <w:shd w:val="clear" w:color="auto" w:fill="auto"/>
            <w:vAlign w:val="center"/>
          </w:tcPr>
          <w:p w14:paraId="591CC154">
            <w:pPr>
              <w:widowControl/>
              <w:jc w:val="center"/>
              <w:rPr>
                <w:rFonts w:hint="default"/>
                <w:color w:val="auto"/>
                <w:lang w:val="en-US" w:eastAsia="zh-CN"/>
              </w:rPr>
            </w:pPr>
            <w:r>
              <w:rPr>
                <w:rFonts w:hint="eastAsia"/>
                <w:color w:val="auto"/>
                <w:lang w:val="en-US" w:eastAsia="zh-CN"/>
              </w:rPr>
              <w:t>0.501</w:t>
            </w:r>
          </w:p>
        </w:tc>
        <w:tc>
          <w:tcPr>
            <w:tcW w:w="1471" w:type="dxa"/>
            <w:shd w:val="clear" w:color="auto" w:fill="auto"/>
            <w:vAlign w:val="center"/>
          </w:tcPr>
          <w:p w14:paraId="47767970">
            <w:pPr>
              <w:widowControl/>
              <w:jc w:val="center"/>
              <w:textAlignment w:val="top"/>
              <w:rPr>
                <w:rFonts w:hint="default" w:ascii="Times New Roman" w:hAnsi="Times New Roman" w:eastAsia="宋体" w:cs="Times New Roman"/>
                <w:snapToGrid w:val="0"/>
                <w:color w:val="auto"/>
                <w:kern w:val="21"/>
                <w:sz w:val="21"/>
                <w:szCs w:val="21"/>
                <w:lang w:val="en-US" w:eastAsia="zh-CN" w:bidi="ar-SA"/>
              </w:rPr>
            </w:pPr>
            <w:r>
              <w:rPr>
                <w:rFonts w:eastAsia="黑体"/>
                <w:snapToGrid w:val="0"/>
                <w:color w:val="auto"/>
                <w:spacing w:val="-6"/>
                <w:kern w:val="21"/>
                <w:szCs w:val="21"/>
              </w:rPr>
              <w:t>/</w:t>
            </w:r>
          </w:p>
        </w:tc>
        <w:tc>
          <w:tcPr>
            <w:tcW w:w="1507" w:type="dxa"/>
            <w:shd w:val="clear" w:color="auto" w:fill="auto"/>
            <w:vAlign w:val="center"/>
          </w:tcPr>
          <w:p w14:paraId="3DE246D7">
            <w:pPr>
              <w:widowControl/>
              <w:jc w:val="center"/>
              <w:rPr>
                <w:rFonts w:hint="default" w:ascii="Times New Roman" w:hAnsi="Times New Roman" w:eastAsia="宋体" w:cs="Times New Roman"/>
                <w:color w:val="auto"/>
                <w:kern w:val="2"/>
                <w:sz w:val="21"/>
                <w:szCs w:val="24"/>
                <w:lang w:val="en-US" w:eastAsia="zh-CN" w:bidi="ar-SA"/>
              </w:rPr>
            </w:pPr>
            <w:r>
              <w:rPr>
                <w:rFonts w:hint="eastAsia"/>
                <w:color w:val="auto"/>
                <w:lang w:val="en-US" w:eastAsia="zh-CN"/>
              </w:rPr>
              <w:t>0.501</w:t>
            </w:r>
          </w:p>
        </w:tc>
        <w:tc>
          <w:tcPr>
            <w:tcW w:w="1568" w:type="dxa"/>
            <w:shd w:val="clear" w:color="auto" w:fill="auto"/>
            <w:vAlign w:val="center"/>
          </w:tcPr>
          <w:p w14:paraId="7A2A9C4F">
            <w:pPr>
              <w:widowControl/>
              <w:jc w:val="center"/>
              <w:rPr>
                <w:rFonts w:hint="default" w:ascii="Times New Roman" w:hAnsi="Times New Roman" w:eastAsia="宋体" w:cs="Times New Roman"/>
                <w:color w:val="auto"/>
                <w:kern w:val="2"/>
                <w:sz w:val="21"/>
                <w:szCs w:val="24"/>
                <w:lang w:val="en-US" w:eastAsia="zh-CN" w:bidi="ar-SA"/>
              </w:rPr>
            </w:pPr>
            <w:r>
              <w:rPr>
                <w:rFonts w:hint="eastAsia"/>
                <w:color w:val="auto"/>
                <w:lang w:val="en-US" w:eastAsia="zh-CN"/>
              </w:rPr>
              <w:t>+0.501</w:t>
            </w:r>
          </w:p>
        </w:tc>
      </w:tr>
      <w:tr w14:paraId="2DECDF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1148" w:type="dxa"/>
            <w:vMerge w:val="continue"/>
            <w:vAlign w:val="center"/>
          </w:tcPr>
          <w:p w14:paraId="1983B347">
            <w:pPr>
              <w:pStyle w:val="64"/>
              <w:spacing w:beforeLines="0" w:afterLines="0" w:line="240" w:lineRule="auto"/>
              <w:ind w:left="420" w:hanging="420"/>
              <w:rPr>
                <w:rFonts w:ascii="Times New Roman"/>
                <w:snapToGrid w:val="0"/>
                <w:color w:val="auto"/>
                <w:kern w:val="21"/>
                <w:szCs w:val="21"/>
              </w:rPr>
            </w:pPr>
          </w:p>
        </w:tc>
        <w:tc>
          <w:tcPr>
            <w:tcW w:w="2200" w:type="dxa"/>
            <w:vAlign w:val="center"/>
          </w:tcPr>
          <w:p w14:paraId="55E237BD">
            <w:pPr>
              <w:pStyle w:val="119"/>
              <w:rPr>
                <w:color w:val="auto"/>
                <w:szCs w:val="21"/>
              </w:rPr>
            </w:pPr>
            <w:r>
              <w:rPr>
                <w:rFonts w:eastAsia="黑体"/>
                <w:snapToGrid w:val="0"/>
                <w:color w:val="auto"/>
                <w:spacing w:val="-6"/>
                <w:kern w:val="21"/>
              </w:rPr>
              <w:t>NH</w:t>
            </w:r>
            <w:r>
              <w:rPr>
                <w:rFonts w:eastAsia="黑体"/>
                <w:snapToGrid w:val="0"/>
                <w:color w:val="auto"/>
                <w:spacing w:val="-6"/>
                <w:kern w:val="21"/>
                <w:vertAlign w:val="subscript"/>
              </w:rPr>
              <w:t>3</w:t>
            </w:r>
            <w:r>
              <w:rPr>
                <w:rFonts w:eastAsia="黑体"/>
                <w:snapToGrid w:val="0"/>
                <w:color w:val="auto"/>
                <w:spacing w:val="-6"/>
                <w:kern w:val="21"/>
              </w:rPr>
              <w:t>-N</w:t>
            </w:r>
          </w:p>
        </w:tc>
        <w:tc>
          <w:tcPr>
            <w:tcW w:w="1630" w:type="dxa"/>
            <w:vAlign w:val="center"/>
          </w:tcPr>
          <w:p w14:paraId="022F3C33">
            <w:pPr>
              <w:jc w:val="center"/>
              <w:rPr>
                <w:snapToGrid w:val="0"/>
                <w:color w:val="auto"/>
                <w:kern w:val="21"/>
                <w:szCs w:val="21"/>
              </w:rPr>
            </w:pPr>
            <w:r>
              <w:rPr>
                <w:rFonts w:hint="eastAsia" w:eastAsia="黑体" w:cs="Times New Roman"/>
                <w:snapToGrid w:val="0"/>
                <w:color w:val="auto"/>
                <w:spacing w:val="-6"/>
                <w:kern w:val="21"/>
                <w:szCs w:val="21"/>
                <w:lang w:val="en-US" w:eastAsia="zh-CN"/>
              </w:rPr>
              <w:t>0</w:t>
            </w:r>
          </w:p>
        </w:tc>
        <w:tc>
          <w:tcPr>
            <w:tcW w:w="1114" w:type="dxa"/>
            <w:vAlign w:val="center"/>
          </w:tcPr>
          <w:p w14:paraId="3B825DEC">
            <w:pPr>
              <w:widowControl/>
              <w:jc w:val="center"/>
              <w:textAlignment w:val="top"/>
              <w:rPr>
                <w:snapToGrid w:val="0"/>
                <w:color w:val="auto"/>
                <w:kern w:val="21"/>
                <w:szCs w:val="21"/>
              </w:rPr>
            </w:pPr>
            <w:r>
              <w:rPr>
                <w:rFonts w:eastAsia="黑体"/>
                <w:snapToGrid w:val="0"/>
                <w:color w:val="auto"/>
                <w:spacing w:val="-6"/>
                <w:kern w:val="21"/>
                <w:szCs w:val="21"/>
              </w:rPr>
              <w:t>/</w:t>
            </w:r>
          </w:p>
        </w:tc>
        <w:tc>
          <w:tcPr>
            <w:tcW w:w="1591" w:type="dxa"/>
            <w:vAlign w:val="center"/>
          </w:tcPr>
          <w:p w14:paraId="6847D699">
            <w:pPr>
              <w:widowControl/>
              <w:jc w:val="center"/>
              <w:textAlignment w:val="top"/>
              <w:rPr>
                <w:snapToGrid w:val="0"/>
                <w:color w:val="auto"/>
                <w:kern w:val="21"/>
                <w:szCs w:val="21"/>
              </w:rPr>
            </w:pPr>
            <w:r>
              <w:rPr>
                <w:rFonts w:eastAsia="黑体"/>
                <w:snapToGrid w:val="0"/>
                <w:color w:val="auto"/>
                <w:spacing w:val="-6"/>
                <w:kern w:val="21"/>
                <w:szCs w:val="21"/>
              </w:rPr>
              <w:t>/</w:t>
            </w:r>
          </w:p>
        </w:tc>
        <w:tc>
          <w:tcPr>
            <w:tcW w:w="1559" w:type="dxa"/>
            <w:shd w:val="clear" w:color="auto" w:fill="auto"/>
            <w:vAlign w:val="center"/>
          </w:tcPr>
          <w:p w14:paraId="1F484D91">
            <w:pPr>
              <w:jc w:val="center"/>
              <w:rPr>
                <w:rFonts w:hint="default"/>
                <w:color w:val="auto"/>
                <w:lang w:val="en-US" w:eastAsia="zh-CN"/>
              </w:rPr>
            </w:pPr>
            <w:r>
              <w:rPr>
                <w:rFonts w:hint="eastAsia"/>
                <w:color w:val="auto"/>
                <w:lang w:val="en-US" w:eastAsia="zh-CN"/>
              </w:rPr>
              <w:t>0.050</w:t>
            </w:r>
          </w:p>
        </w:tc>
        <w:tc>
          <w:tcPr>
            <w:tcW w:w="1471" w:type="dxa"/>
            <w:shd w:val="clear" w:color="auto" w:fill="auto"/>
            <w:vAlign w:val="center"/>
          </w:tcPr>
          <w:p w14:paraId="6E4C334A">
            <w:pPr>
              <w:widowControl/>
              <w:jc w:val="center"/>
              <w:textAlignment w:val="top"/>
              <w:rPr>
                <w:rFonts w:hint="default" w:ascii="Times New Roman" w:hAnsi="Times New Roman" w:eastAsia="宋体" w:cs="Times New Roman"/>
                <w:snapToGrid w:val="0"/>
                <w:color w:val="auto"/>
                <w:kern w:val="21"/>
                <w:sz w:val="21"/>
                <w:szCs w:val="21"/>
                <w:lang w:val="en-US" w:eastAsia="zh-CN" w:bidi="ar-SA"/>
              </w:rPr>
            </w:pPr>
            <w:r>
              <w:rPr>
                <w:rFonts w:eastAsia="黑体"/>
                <w:snapToGrid w:val="0"/>
                <w:color w:val="auto"/>
                <w:spacing w:val="-6"/>
                <w:kern w:val="21"/>
                <w:szCs w:val="21"/>
              </w:rPr>
              <w:t>/</w:t>
            </w:r>
          </w:p>
        </w:tc>
        <w:tc>
          <w:tcPr>
            <w:tcW w:w="1507" w:type="dxa"/>
            <w:shd w:val="clear" w:color="auto" w:fill="auto"/>
            <w:vAlign w:val="center"/>
          </w:tcPr>
          <w:p w14:paraId="7AE457E5">
            <w:pPr>
              <w:jc w:val="center"/>
              <w:rPr>
                <w:rFonts w:hint="default" w:ascii="Times New Roman" w:hAnsi="Times New Roman" w:eastAsia="宋体" w:cs="Times New Roman"/>
                <w:color w:val="auto"/>
                <w:kern w:val="2"/>
                <w:sz w:val="21"/>
                <w:szCs w:val="24"/>
                <w:lang w:val="en-US" w:eastAsia="zh-CN" w:bidi="ar-SA"/>
              </w:rPr>
            </w:pPr>
            <w:r>
              <w:rPr>
                <w:rFonts w:hint="eastAsia"/>
                <w:color w:val="auto"/>
                <w:lang w:val="en-US" w:eastAsia="zh-CN"/>
              </w:rPr>
              <w:t>0.050</w:t>
            </w:r>
          </w:p>
        </w:tc>
        <w:tc>
          <w:tcPr>
            <w:tcW w:w="1568" w:type="dxa"/>
            <w:shd w:val="clear" w:color="auto" w:fill="auto"/>
            <w:vAlign w:val="center"/>
          </w:tcPr>
          <w:p w14:paraId="05F6D21A">
            <w:pPr>
              <w:jc w:val="center"/>
              <w:rPr>
                <w:rFonts w:hint="default" w:ascii="Times New Roman" w:hAnsi="Times New Roman" w:eastAsia="宋体" w:cs="Times New Roman"/>
                <w:color w:val="auto"/>
                <w:kern w:val="2"/>
                <w:sz w:val="21"/>
                <w:szCs w:val="24"/>
                <w:lang w:val="en-US" w:eastAsia="zh-CN" w:bidi="ar-SA"/>
              </w:rPr>
            </w:pPr>
            <w:r>
              <w:rPr>
                <w:rFonts w:hint="eastAsia"/>
                <w:color w:val="auto"/>
                <w:lang w:val="en-US" w:eastAsia="zh-CN"/>
              </w:rPr>
              <w:t>+0.050</w:t>
            </w:r>
          </w:p>
        </w:tc>
      </w:tr>
      <w:tr w14:paraId="0903FD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348" w:type="dxa"/>
            <w:gridSpan w:val="2"/>
            <w:vAlign w:val="center"/>
          </w:tcPr>
          <w:p w14:paraId="5BFCF4B3">
            <w:pPr>
              <w:widowControl/>
              <w:snapToGrid w:val="0"/>
              <w:jc w:val="center"/>
              <w:rPr>
                <w:color w:val="auto"/>
                <w:kern w:val="0"/>
                <w:szCs w:val="21"/>
              </w:rPr>
            </w:pPr>
            <w:r>
              <w:rPr>
                <w:rFonts w:ascii="Times New Roman"/>
                <w:snapToGrid w:val="0"/>
                <w:color w:val="auto"/>
                <w:kern w:val="21"/>
                <w:szCs w:val="21"/>
              </w:rPr>
              <w:t>一般工业固体废物</w:t>
            </w:r>
          </w:p>
        </w:tc>
        <w:tc>
          <w:tcPr>
            <w:tcW w:w="1630" w:type="dxa"/>
            <w:shd w:val="clear" w:color="auto" w:fill="auto"/>
            <w:vAlign w:val="center"/>
          </w:tcPr>
          <w:p w14:paraId="3DFF98A3">
            <w:pPr>
              <w:snapToGrid w:val="0"/>
              <w:jc w:val="center"/>
              <w:rPr>
                <w:rFonts w:ascii="Times New Roman" w:hAnsi="Times New Roman" w:eastAsia="宋体" w:cs="Times New Roman"/>
                <w:snapToGrid w:val="0"/>
                <w:color w:val="auto"/>
                <w:kern w:val="21"/>
                <w:sz w:val="21"/>
                <w:szCs w:val="21"/>
                <w:lang w:val="en-US" w:eastAsia="zh-CN" w:bidi="ar-SA"/>
              </w:rPr>
            </w:pPr>
            <w:r>
              <w:rPr>
                <w:rFonts w:hint="eastAsia" w:eastAsia="黑体" w:cs="Times New Roman"/>
                <w:snapToGrid w:val="0"/>
                <w:color w:val="auto"/>
                <w:spacing w:val="-6"/>
                <w:kern w:val="21"/>
                <w:szCs w:val="21"/>
                <w:lang w:val="en-US" w:eastAsia="zh-CN"/>
              </w:rPr>
              <w:t>0</w:t>
            </w:r>
          </w:p>
        </w:tc>
        <w:tc>
          <w:tcPr>
            <w:tcW w:w="1114" w:type="dxa"/>
            <w:shd w:val="clear" w:color="auto" w:fill="auto"/>
            <w:vAlign w:val="center"/>
          </w:tcPr>
          <w:p w14:paraId="3C8A2965">
            <w:pPr>
              <w:snapToGrid w:val="0"/>
              <w:jc w:val="center"/>
              <w:rPr>
                <w:rFonts w:ascii="Times New Roman" w:hAnsi="Times New Roman" w:eastAsia="宋体" w:cs="Times New Roman"/>
                <w:snapToGrid w:val="0"/>
                <w:color w:val="auto"/>
                <w:kern w:val="21"/>
                <w:sz w:val="21"/>
                <w:szCs w:val="21"/>
                <w:lang w:val="en-US" w:eastAsia="zh-CN" w:bidi="ar-SA"/>
              </w:rPr>
            </w:pPr>
            <w:r>
              <w:rPr>
                <w:rFonts w:eastAsia="黑体"/>
                <w:snapToGrid w:val="0"/>
                <w:color w:val="auto"/>
                <w:spacing w:val="-6"/>
                <w:kern w:val="21"/>
                <w:szCs w:val="21"/>
              </w:rPr>
              <w:t>/</w:t>
            </w:r>
          </w:p>
        </w:tc>
        <w:tc>
          <w:tcPr>
            <w:tcW w:w="1591" w:type="dxa"/>
            <w:shd w:val="clear" w:color="auto" w:fill="auto"/>
            <w:vAlign w:val="center"/>
          </w:tcPr>
          <w:p w14:paraId="5D82B71C">
            <w:pPr>
              <w:snapToGrid w:val="0"/>
              <w:jc w:val="center"/>
              <w:rPr>
                <w:rFonts w:ascii="Times New Roman" w:hAnsi="Times New Roman" w:eastAsia="宋体" w:cs="Times New Roman"/>
                <w:snapToGrid w:val="0"/>
                <w:color w:val="auto"/>
                <w:kern w:val="21"/>
                <w:sz w:val="21"/>
                <w:szCs w:val="21"/>
                <w:lang w:val="en-US" w:eastAsia="zh-CN" w:bidi="ar-SA"/>
              </w:rPr>
            </w:pPr>
            <w:r>
              <w:rPr>
                <w:snapToGrid w:val="0"/>
                <w:color w:val="auto"/>
                <w:kern w:val="21"/>
                <w:szCs w:val="21"/>
              </w:rPr>
              <w:t>/</w:t>
            </w:r>
          </w:p>
        </w:tc>
        <w:tc>
          <w:tcPr>
            <w:tcW w:w="1559" w:type="dxa"/>
            <w:vAlign w:val="center"/>
          </w:tcPr>
          <w:p w14:paraId="7336BFC9">
            <w:pPr>
              <w:adjustRightInd w:val="0"/>
              <w:snapToGrid w:val="0"/>
              <w:jc w:val="center"/>
              <w:rPr>
                <w:rFonts w:hint="default" w:eastAsia="宋体"/>
                <w:color w:val="auto"/>
                <w:kern w:val="0"/>
                <w:szCs w:val="21"/>
                <w:lang w:val="en-US" w:eastAsia="zh-CN"/>
              </w:rPr>
            </w:pPr>
            <w:r>
              <w:rPr>
                <w:rFonts w:hint="eastAsia"/>
                <w:color w:val="auto"/>
                <w:kern w:val="0"/>
                <w:szCs w:val="21"/>
                <w:lang w:val="en-US" w:eastAsia="zh-CN"/>
              </w:rPr>
              <w:t>2826.758</w:t>
            </w:r>
          </w:p>
        </w:tc>
        <w:tc>
          <w:tcPr>
            <w:tcW w:w="1471" w:type="dxa"/>
            <w:shd w:val="clear" w:color="auto" w:fill="auto"/>
            <w:vAlign w:val="center"/>
          </w:tcPr>
          <w:p w14:paraId="0667B74D">
            <w:pPr>
              <w:snapToGrid w:val="0"/>
              <w:jc w:val="center"/>
              <w:rPr>
                <w:rFonts w:ascii="Times New Roman" w:hAnsi="Times New Roman" w:eastAsia="宋体" w:cs="Times New Roman"/>
                <w:snapToGrid w:val="0"/>
                <w:color w:val="auto"/>
                <w:kern w:val="21"/>
                <w:sz w:val="21"/>
                <w:szCs w:val="21"/>
                <w:lang w:val="en-US" w:eastAsia="zh-CN" w:bidi="ar-SA"/>
              </w:rPr>
            </w:pPr>
            <w:r>
              <w:rPr>
                <w:snapToGrid w:val="0"/>
                <w:color w:val="auto"/>
                <w:kern w:val="21"/>
                <w:szCs w:val="21"/>
              </w:rPr>
              <w:t>/</w:t>
            </w:r>
          </w:p>
        </w:tc>
        <w:tc>
          <w:tcPr>
            <w:tcW w:w="1507" w:type="dxa"/>
            <w:shd w:val="clear" w:color="auto" w:fill="auto"/>
            <w:vAlign w:val="center"/>
          </w:tcPr>
          <w:p w14:paraId="78D9895E">
            <w:pPr>
              <w:adjustRightInd w:val="0"/>
              <w:snapToGrid w:val="0"/>
              <w:jc w:val="center"/>
              <w:rPr>
                <w:rFonts w:hint="default" w:ascii="Times New Roman" w:hAnsi="Times New Roman" w:eastAsia="宋体" w:cs="Times New Roman"/>
                <w:color w:val="auto"/>
                <w:kern w:val="0"/>
                <w:sz w:val="21"/>
                <w:szCs w:val="21"/>
                <w:lang w:val="en-US" w:eastAsia="zh-CN" w:bidi="ar-SA"/>
              </w:rPr>
            </w:pPr>
            <w:r>
              <w:rPr>
                <w:rFonts w:hint="eastAsia"/>
                <w:color w:val="auto"/>
                <w:kern w:val="0"/>
                <w:szCs w:val="21"/>
                <w:lang w:val="en-US" w:eastAsia="zh-CN"/>
              </w:rPr>
              <w:t>2826.758</w:t>
            </w:r>
          </w:p>
        </w:tc>
        <w:tc>
          <w:tcPr>
            <w:tcW w:w="1568" w:type="dxa"/>
            <w:shd w:val="clear" w:color="auto" w:fill="auto"/>
            <w:vAlign w:val="center"/>
          </w:tcPr>
          <w:p w14:paraId="4814964D">
            <w:pPr>
              <w:adjustRightInd w:val="0"/>
              <w:snapToGrid w:val="0"/>
              <w:jc w:val="center"/>
              <w:rPr>
                <w:rFonts w:hint="eastAsia" w:ascii="Times New Roman" w:hAnsi="Times New Roman" w:eastAsia="宋体" w:cs="Times New Roman"/>
                <w:color w:val="auto"/>
                <w:kern w:val="0"/>
                <w:sz w:val="21"/>
                <w:szCs w:val="21"/>
                <w:lang w:val="en-US" w:eastAsia="zh-CN" w:bidi="ar-SA"/>
              </w:rPr>
            </w:pPr>
            <w:r>
              <w:rPr>
                <w:rFonts w:hint="eastAsia"/>
                <w:color w:val="auto"/>
                <w:kern w:val="0"/>
                <w:szCs w:val="21"/>
                <w:lang w:val="en-US" w:eastAsia="zh-CN"/>
              </w:rPr>
              <w:t>+2826.758</w:t>
            </w:r>
          </w:p>
        </w:tc>
      </w:tr>
      <w:tr w14:paraId="14A911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3348" w:type="dxa"/>
            <w:gridSpan w:val="2"/>
            <w:vAlign w:val="center"/>
          </w:tcPr>
          <w:p w14:paraId="63E94A00">
            <w:pPr>
              <w:jc w:val="center"/>
              <w:rPr>
                <w:color w:val="auto"/>
                <w:szCs w:val="21"/>
              </w:rPr>
            </w:pPr>
            <w:r>
              <w:rPr>
                <w:rFonts w:ascii="Times New Roman"/>
                <w:snapToGrid w:val="0"/>
                <w:color w:val="auto"/>
                <w:kern w:val="21"/>
                <w:szCs w:val="21"/>
              </w:rPr>
              <w:t>危险废物</w:t>
            </w:r>
          </w:p>
        </w:tc>
        <w:tc>
          <w:tcPr>
            <w:tcW w:w="1630" w:type="dxa"/>
            <w:vAlign w:val="center"/>
          </w:tcPr>
          <w:p w14:paraId="5312BC55">
            <w:pPr>
              <w:snapToGrid w:val="0"/>
              <w:jc w:val="center"/>
              <w:rPr>
                <w:rFonts w:hint="default" w:eastAsia="宋体"/>
                <w:snapToGrid w:val="0"/>
                <w:color w:val="auto"/>
                <w:kern w:val="21"/>
                <w:szCs w:val="21"/>
                <w:lang w:val="en-US" w:eastAsia="zh-CN"/>
              </w:rPr>
            </w:pPr>
            <w:r>
              <w:rPr>
                <w:rFonts w:hint="eastAsia" w:eastAsia="黑体" w:cs="Times New Roman"/>
                <w:snapToGrid w:val="0"/>
                <w:color w:val="auto"/>
                <w:spacing w:val="-6"/>
                <w:kern w:val="21"/>
                <w:szCs w:val="21"/>
                <w:lang w:val="en-US" w:eastAsia="zh-CN"/>
              </w:rPr>
              <w:t>0</w:t>
            </w:r>
          </w:p>
        </w:tc>
        <w:tc>
          <w:tcPr>
            <w:tcW w:w="1114" w:type="dxa"/>
            <w:vAlign w:val="center"/>
          </w:tcPr>
          <w:p w14:paraId="76188D93">
            <w:pPr>
              <w:snapToGrid w:val="0"/>
              <w:jc w:val="center"/>
              <w:rPr>
                <w:snapToGrid w:val="0"/>
                <w:color w:val="auto"/>
                <w:kern w:val="21"/>
                <w:szCs w:val="21"/>
              </w:rPr>
            </w:pPr>
            <w:r>
              <w:rPr>
                <w:rFonts w:eastAsia="黑体"/>
                <w:snapToGrid w:val="0"/>
                <w:color w:val="auto"/>
                <w:spacing w:val="-6"/>
                <w:kern w:val="21"/>
                <w:szCs w:val="21"/>
              </w:rPr>
              <w:t>/</w:t>
            </w:r>
          </w:p>
        </w:tc>
        <w:tc>
          <w:tcPr>
            <w:tcW w:w="1591" w:type="dxa"/>
            <w:vAlign w:val="center"/>
          </w:tcPr>
          <w:p w14:paraId="09F08AB8">
            <w:pPr>
              <w:snapToGrid w:val="0"/>
              <w:jc w:val="center"/>
              <w:rPr>
                <w:snapToGrid w:val="0"/>
                <w:color w:val="auto"/>
                <w:kern w:val="21"/>
                <w:szCs w:val="21"/>
              </w:rPr>
            </w:pPr>
            <w:r>
              <w:rPr>
                <w:snapToGrid w:val="0"/>
                <w:color w:val="auto"/>
                <w:kern w:val="21"/>
                <w:szCs w:val="21"/>
              </w:rPr>
              <w:t>/</w:t>
            </w:r>
          </w:p>
        </w:tc>
        <w:tc>
          <w:tcPr>
            <w:tcW w:w="1559" w:type="dxa"/>
            <w:vAlign w:val="center"/>
          </w:tcPr>
          <w:p w14:paraId="71493A8D">
            <w:pPr>
              <w:adjustRightInd w:val="0"/>
              <w:snapToGrid w:val="0"/>
              <w:jc w:val="center"/>
              <w:rPr>
                <w:rFonts w:hint="default" w:eastAsia="宋体"/>
                <w:color w:val="auto"/>
                <w:szCs w:val="21"/>
                <w:lang w:val="en-US" w:eastAsia="zh-CN"/>
              </w:rPr>
            </w:pPr>
            <w:r>
              <w:rPr>
                <w:rFonts w:hint="eastAsia"/>
                <w:color w:val="auto"/>
                <w:szCs w:val="21"/>
                <w:lang w:val="en-US" w:eastAsia="zh-CN"/>
              </w:rPr>
              <w:t>0.57</w:t>
            </w:r>
          </w:p>
        </w:tc>
        <w:tc>
          <w:tcPr>
            <w:tcW w:w="1471" w:type="dxa"/>
            <w:shd w:val="clear" w:color="auto" w:fill="auto"/>
            <w:vAlign w:val="center"/>
          </w:tcPr>
          <w:p w14:paraId="77F989F5">
            <w:pPr>
              <w:snapToGrid w:val="0"/>
              <w:jc w:val="center"/>
              <w:rPr>
                <w:rFonts w:ascii="Times New Roman" w:hAnsi="Times New Roman" w:eastAsia="宋体" w:cs="Times New Roman"/>
                <w:snapToGrid w:val="0"/>
                <w:color w:val="auto"/>
                <w:kern w:val="21"/>
                <w:sz w:val="21"/>
                <w:szCs w:val="21"/>
                <w:lang w:val="en-US" w:eastAsia="zh-CN" w:bidi="ar-SA"/>
              </w:rPr>
            </w:pPr>
            <w:r>
              <w:rPr>
                <w:snapToGrid w:val="0"/>
                <w:color w:val="auto"/>
                <w:kern w:val="21"/>
                <w:szCs w:val="21"/>
              </w:rPr>
              <w:t>/</w:t>
            </w:r>
          </w:p>
        </w:tc>
        <w:tc>
          <w:tcPr>
            <w:tcW w:w="1507" w:type="dxa"/>
            <w:shd w:val="clear" w:color="auto" w:fill="auto"/>
            <w:vAlign w:val="center"/>
          </w:tcPr>
          <w:p w14:paraId="0DB0BC3E">
            <w:pPr>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0.57</w:t>
            </w:r>
          </w:p>
        </w:tc>
        <w:tc>
          <w:tcPr>
            <w:tcW w:w="1568" w:type="dxa"/>
            <w:shd w:val="clear" w:color="auto" w:fill="auto"/>
            <w:vAlign w:val="center"/>
          </w:tcPr>
          <w:p w14:paraId="485E1519">
            <w:pPr>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+0.57</w:t>
            </w:r>
          </w:p>
        </w:tc>
      </w:tr>
    </w:tbl>
    <w:p w14:paraId="251980AD">
      <w:pPr>
        <w:pStyle w:val="64"/>
        <w:spacing w:beforeLines="0" w:afterLines="0" w:line="240" w:lineRule="auto"/>
        <w:ind w:left="420" w:hanging="420"/>
        <w:jc w:val="left"/>
        <w:rPr>
          <w:rFonts w:hAnsi="宋体" w:eastAsia="黑体"/>
          <w:color w:val="auto"/>
        </w:rPr>
      </w:pPr>
      <w:r>
        <w:rPr>
          <w:rFonts w:hAnsi="宋体"/>
          <w:snapToGrid w:val="0"/>
          <w:color w:val="auto"/>
          <w:kern w:val="21"/>
          <w:szCs w:val="21"/>
        </w:rPr>
        <w:t>注：</w:t>
      </w:r>
      <w:r>
        <w:rPr>
          <w:rFonts w:hAnsi="宋体"/>
          <w:snapToGrid w:val="0"/>
          <w:color w:val="auto"/>
          <w:spacing w:val="-16"/>
          <w:kern w:val="21"/>
          <w:szCs w:val="21"/>
        </w:rPr>
        <w:fldChar w:fldCharType="begin"/>
      </w:r>
      <w:r>
        <w:rPr>
          <w:rFonts w:hAnsi="宋体"/>
          <w:snapToGrid w:val="0"/>
          <w:color w:val="auto"/>
          <w:spacing w:val="-16"/>
          <w:kern w:val="21"/>
          <w:szCs w:val="21"/>
        </w:rPr>
        <w:instrText xml:space="preserve"> = 6 \* GB3 \* MERGEFORMAT </w:instrText>
      </w:r>
      <w:r>
        <w:rPr>
          <w:rFonts w:hAnsi="宋体"/>
          <w:snapToGrid w:val="0"/>
          <w:color w:val="auto"/>
          <w:spacing w:val="-16"/>
          <w:kern w:val="21"/>
          <w:szCs w:val="21"/>
        </w:rPr>
        <w:fldChar w:fldCharType="separate"/>
      </w:r>
      <w:r>
        <w:rPr>
          <w:rFonts w:hint="eastAsia" w:hAnsi="宋体"/>
          <w:color w:val="auto"/>
          <w:szCs w:val="21"/>
        </w:rPr>
        <w:t>⑥</w:t>
      </w:r>
      <w:r>
        <w:rPr>
          <w:rFonts w:hAnsi="宋体"/>
          <w:snapToGrid w:val="0"/>
          <w:color w:val="auto"/>
          <w:spacing w:val="-16"/>
          <w:kern w:val="21"/>
          <w:szCs w:val="21"/>
        </w:rPr>
        <w:fldChar w:fldCharType="end"/>
      </w:r>
      <w:r>
        <w:rPr>
          <w:rFonts w:hAnsi="宋体"/>
          <w:snapToGrid w:val="0"/>
          <w:color w:val="auto"/>
          <w:spacing w:val="-16"/>
          <w:kern w:val="21"/>
          <w:szCs w:val="21"/>
        </w:rPr>
        <w:t>=</w:t>
      </w:r>
      <w:r>
        <w:rPr>
          <w:rFonts w:hAnsi="宋体"/>
          <w:snapToGrid w:val="0"/>
          <w:color w:val="auto"/>
          <w:spacing w:val="-6"/>
          <w:kern w:val="21"/>
          <w:szCs w:val="21"/>
        </w:rPr>
        <w:fldChar w:fldCharType="begin"/>
      </w:r>
      <w:r>
        <w:rPr>
          <w:rFonts w:hAnsi="宋体"/>
          <w:snapToGrid w:val="0"/>
          <w:color w:val="auto"/>
          <w:spacing w:val="-6"/>
          <w:kern w:val="21"/>
          <w:szCs w:val="21"/>
        </w:rPr>
        <w:instrText xml:space="preserve"> = 1 \* GB3 \* MERGEFORMAT </w:instrText>
      </w:r>
      <w:r>
        <w:rPr>
          <w:rFonts w:hAnsi="宋体"/>
          <w:snapToGrid w:val="0"/>
          <w:color w:val="auto"/>
          <w:spacing w:val="-6"/>
          <w:kern w:val="21"/>
          <w:szCs w:val="21"/>
        </w:rPr>
        <w:fldChar w:fldCharType="separate"/>
      </w:r>
      <w:r>
        <w:rPr>
          <w:rFonts w:hint="eastAsia" w:hAnsi="宋体"/>
          <w:color w:val="auto"/>
          <w:szCs w:val="21"/>
        </w:rPr>
        <w:t>①</w:t>
      </w:r>
      <w:r>
        <w:rPr>
          <w:rFonts w:hAnsi="宋体"/>
          <w:snapToGrid w:val="0"/>
          <w:color w:val="auto"/>
          <w:spacing w:val="-6"/>
          <w:kern w:val="21"/>
          <w:szCs w:val="21"/>
        </w:rPr>
        <w:fldChar w:fldCharType="end"/>
      </w:r>
      <w:r>
        <w:rPr>
          <w:rFonts w:hAnsi="宋体"/>
          <w:snapToGrid w:val="0"/>
          <w:color w:val="auto"/>
          <w:spacing w:val="-6"/>
          <w:kern w:val="21"/>
          <w:szCs w:val="21"/>
        </w:rPr>
        <w:t>+</w:t>
      </w:r>
      <w:r>
        <w:rPr>
          <w:rFonts w:hAnsi="宋体"/>
          <w:snapToGrid w:val="0"/>
          <w:color w:val="auto"/>
          <w:spacing w:val="-6"/>
          <w:kern w:val="21"/>
          <w:szCs w:val="21"/>
        </w:rPr>
        <w:fldChar w:fldCharType="begin"/>
      </w:r>
      <w:r>
        <w:rPr>
          <w:rFonts w:hAnsi="宋体"/>
          <w:snapToGrid w:val="0"/>
          <w:color w:val="auto"/>
          <w:spacing w:val="-6"/>
          <w:kern w:val="21"/>
          <w:szCs w:val="21"/>
        </w:rPr>
        <w:instrText xml:space="preserve"> = 3 \* GB3 \* MERGEFORMAT </w:instrText>
      </w:r>
      <w:r>
        <w:rPr>
          <w:rFonts w:hAnsi="宋体"/>
          <w:snapToGrid w:val="0"/>
          <w:color w:val="auto"/>
          <w:spacing w:val="-6"/>
          <w:kern w:val="21"/>
          <w:szCs w:val="21"/>
        </w:rPr>
        <w:fldChar w:fldCharType="separate"/>
      </w:r>
      <w:r>
        <w:rPr>
          <w:rFonts w:hint="eastAsia" w:hAnsi="宋体"/>
          <w:color w:val="auto"/>
          <w:szCs w:val="21"/>
        </w:rPr>
        <w:t>③</w:t>
      </w:r>
      <w:r>
        <w:rPr>
          <w:rFonts w:hAnsi="宋体"/>
          <w:snapToGrid w:val="0"/>
          <w:color w:val="auto"/>
          <w:spacing w:val="-6"/>
          <w:kern w:val="21"/>
          <w:szCs w:val="21"/>
        </w:rPr>
        <w:fldChar w:fldCharType="end"/>
      </w:r>
      <w:r>
        <w:rPr>
          <w:rFonts w:hAnsi="宋体"/>
          <w:snapToGrid w:val="0"/>
          <w:color w:val="auto"/>
          <w:spacing w:val="-6"/>
          <w:kern w:val="21"/>
          <w:szCs w:val="21"/>
        </w:rPr>
        <w:t>+</w:t>
      </w:r>
      <w:r>
        <w:rPr>
          <w:rFonts w:hAnsi="宋体"/>
          <w:snapToGrid w:val="0"/>
          <w:color w:val="auto"/>
          <w:spacing w:val="-6"/>
          <w:kern w:val="21"/>
          <w:szCs w:val="21"/>
        </w:rPr>
        <w:fldChar w:fldCharType="begin"/>
      </w:r>
      <w:r>
        <w:rPr>
          <w:rFonts w:hAnsi="宋体"/>
          <w:snapToGrid w:val="0"/>
          <w:color w:val="auto"/>
          <w:spacing w:val="-6"/>
          <w:kern w:val="21"/>
          <w:szCs w:val="21"/>
        </w:rPr>
        <w:instrText xml:space="preserve"> = 4 \* GB3 \* MERGEFORMAT </w:instrText>
      </w:r>
      <w:r>
        <w:rPr>
          <w:rFonts w:hAnsi="宋体"/>
          <w:snapToGrid w:val="0"/>
          <w:color w:val="auto"/>
          <w:spacing w:val="-6"/>
          <w:kern w:val="21"/>
          <w:szCs w:val="21"/>
        </w:rPr>
        <w:fldChar w:fldCharType="separate"/>
      </w:r>
      <w:r>
        <w:rPr>
          <w:rFonts w:hint="eastAsia" w:hAnsi="宋体"/>
          <w:color w:val="auto"/>
          <w:szCs w:val="21"/>
        </w:rPr>
        <w:t>④</w:t>
      </w:r>
      <w:r>
        <w:rPr>
          <w:rFonts w:hAnsi="宋体"/>
          <w:snapToGrid w:val="0"/>
          <w:color w:val="auto"/>
          <w:spacing w:val="-6"/>
          <w:kern w:val="21"/>
          <w:szCs w:val="21"/>
        </w:rPr>
        <w:fldChar w:fldCharType="end"/>
      </w:r>
      <w:r>
        <w:rPr>
          <w:rFonts w:hAnsi="宋体"/>
          <w:snapToGrid w:val="0"/>
          <w:color w:val="auto"/>
          <w:spacing w:val="-6"/>
          <w:kern w:val="21"/>
          <w:szCs w:val="21"/>
        </w:rPr>
        <w:t>-</w:t>
      </w:r>
      <w:r>
        <w:rPr>
          <w:rFonts w:hAnsi="宋体"/>
          <w:snapToGrid w:val="0"/>
          <w:color w:val="auto"/>
          <w:spacing w:val="-16"/>
          <w:kern w:val="21"/>
          <w:szCs w:val="21"/>
        </w:rPr>
        <w:fldChar w:fldCharType="begin"/>
      </w:r>
      <w:r>
        <w:rPr>
          <w:rFonts w:hAnsi="宋体"/>
          <w:snapToGrid w:val="0"/>
          <w:color w:val="auto"/>
          <w:spacing w:val="-16"/>
          <w:kern w:val="21"/>
          <w:szCs w:val="21"/>
        </w:rPr>
        <w:instrText xml:space="preserve"> = 5 \* GB3 \* MERGEFORMAT </w:instrText>
      </w:r>
      <w:r>
        <w:rPr>
          <w:rFonts w:hAnsi="宋体"/>
          <w:snapToGrid w:val="0"/>
          <w:color w:val="auto"/>
          <w:spacing w:val="-16"/>
          <w:kern w:val="21"/>
          <w:szCs w:val="21"/>
        </w:rPr>
        <w:fldChar w:fldCharType="separate"/>
      </w:r>
      <w:r>
        <w:rPr>
          <w:rFonts w:hint="eastAsia" w:hAnsi="宋体"/>
          <w:color w:val="auto"/>
          <w:szCs w:val="21"/>
        </w:rPr>
        <w:t>⑤</w:t>
      </w:r>
      <w:r>
        <w:rPr>
          <w:rFonts w:hAnsi="宋体"/>
          <w:snapToGrid w:val="0"/>
          <w:color w:val="auto"/>
          <w:spacing w:val="-16"/>
          <w:kern w:val="21"/>
          <w:szCs w:val="21"/>
        </w:rPr>
        <w:fldChar w:fldCharType="end"/>
      </w:r>
      <w:r>
        <w:rPr>
          <w:rFonts w:hAnsi="宋体"/>
          <w:snapToGrid w:val="0"/>
          <w:color w:val="auto"/>
          <w:spacing w:val="-16"/>
          <w:kern w:val="21"/>
          <w:szCs w:val="21"/>
        </w:rPr>
        <w:t>；</w:t>
      </w:r>
      <w:r>
        <w:rPr>
          <w:rFonts w:hAnsi="宋体"/>
          <w:snapToGrid w:val="0"/>
          <w:color w:val="auto"/>
          <w:spacing w:val="-6"/>
          <w:kern w:val="21"/>
          <w:szCs w:val="21"/>
        </w:rPr>
        <w:fldChar w:fldCharType="begin"/>
      </w:r>
      <w:r>
        <w:rPr>
          <w:rFonts w:hAnsi="宋体"/>
          <w:snapToGrid w:val="0"/>
          <w:color w:val="auto"/>
          <w:spacing w:val="-6"/>
          <w:kern w:val="21"/>
          <w:szCs w:val="21"/>
        </w:rPr>
        <w:instrText xml:space="preserve"> = 7 \* GB3 \* MERGEFORMAT </w:instrText>
      </w:r>
      <w:r>
        <w:rPr>
          <w:rFonts w:hAnsi="宋体"/>
          <w:snapToGrid w:val="0"/>
          <w:color w:val="auto"/>
          <w:spacing w:val="-6"/>
          <w:kern w:val="21"/>
          <w:szCs w:val="21"/>
        </w:rPr>
        <w:fldChar w:fldCharType="separate"/>
      </w:r>
      <w:r>
        <w:rPr>
          <w:rFonts w:hint="eastAsia" w:hAnsi="宋体"/>
          <w:color w:val="auto"/>
          <w:szCs w:val="21"/>
        </w:rPr>
        <w:t>⑦</w:t>
      </w:r>
      <w:r>
        <w:rPr>
          <w:rFonts w:hAnsi="宋体"/>
          <w:snapToGrid w:val="0"/>
          <w:color w:val="auto"/>
          <w:spacing w:val="-6"/>
          <w:kern w:val="21"/>
          <w:szCs w:val="21"/>
        </w:rPr>
        <w:fldChar w:fldCharType="end"/>
      </w:r>
      <w:r>
        <w:rPr>
          <w:rFonts w:hAnsi="宋体"/>
          <w:snapToGrid w:val="0"/>
          <w:color w:val="auto"/>
          <w:spacing w:val="-6"/>
          <w:kern w:val="21"/>
          <w:szCs w:val="21"/>
        </w:rPr>
        <w:t>=</w:t>
      </w:r>
      <w:r>
        <w:rPr>
          <w:rFonts w:hAnsi="宋体"/>
          <w:snapToGrid w:val="0"/>
          <w:color w:val="auto"/>
          <w:spacing w:val="-16"/>
          <w:kern w:val="21"/>
          <w:szCs w:val="21"/>
        </w:rPr>
        <w:fldChar w:fldCharType="begin"/>
      </w:r>
      <w:r>
        <w:rPr>
          <w:rFonts w:hAnsi="宋体"/>
          <w:snapToGrid w:val="0"/>
          <w:color w:val="auto"/>
          <w:spacing w:val="-16"/>
          <w:kern w:val="21"/>
          <w:szCs w:val="21"/>
        </w:rPr>
        <w:instrText xml:space="preserve"> = 6 \* GB3 \* MERGEFORMAT </w:instrText>
      </w:r>
      <w:r>
        <w:rPr>
          <w:rFonts w:hAnsi="宋体"/>
          <w:snapToGrid w:val="0"/>
          <w:color w:val="auto"/>
          <w:spacing w:val="-16"/>
          <w:kern w:val="21"/>
          <w:szCs w:val="21"/>
        </w:rPr>
        <w:fldChar w:fldCharType="separate"/>
      </w:r>
      <w:r>
        <w:rPr>
          <w:rFonts w:hint="eastAsia" w:hAnsi="宋体"/>
          <w:color w:val="auto"/>
          <w:szCs w:val="21"/>
        </w:rPr>
        <w:t>⑥</w:t>
      </w:r>
      <w:r>
        <w:rPr>
          <w:rFonts w:hAnsi="宋体"/>
          <w:snapToGrid w:val="0"/>
          <w:color w:val="auto"/>
          <w:spacing w:val="-16"/>
          <w:kern w:val="21"/>
          <w:szCs w:val="21"/>
        </w:rPr>
        <w:fldChar w:fldCharType="end"/>
      </w:r>
      <w:r>
        <w:rPr>
          <w:rFonts w:hAnsi="宋体"/>
          <w:snapToGrid w:val="0"/>
          <w:color w:val="auto"/>
          <w:spacing w:val="-16"/>
          <w:kern w:val="21"/>
          <w:szCs w:val="21"/>
        </w:rPr>
        <w:t>-</w:t>
      </w:r>
      <w:r>
        <w:rPr>
          <w:rFonts w:hAnsi="宋体"/>
          <w:snapToGrid w:val="0"/>
          <w:color w:val="auto"/>
          <w:spacing w:val="-6"/>
          <w:kern w:val="21"/>
          <w:szCs w:val="21"/>
        </w:rPr>
        <w:fldChar w:fldCharType="begin"/>
      </w:r>
      <w:r>
        <w:rPr>
          <w:rFonts w:hAnsi="宋体"/>
          <w:snapToGrid w:val="0"/>
          <w:color w:val="auto"/>
          <w:spacing w:val="-6"/>
          <w:kern w:val="21"/>
          <w:szCs w:val="21"/>
        </w:rPr>
        <w:instrText xml:space="preserve"> = 1 \* GB3 \* MERGEFORMAT </w:instrText>
      </w:r>
      <w:r>
        <w:rPr>
          <w:rFonts w:hAnsi="宋体"/>
          <w:snapToGrid w:val="0"/>
          <w:color w:val="auto"/>
          <w:spacing w:val="-6"/>
          <w:kern w:val="21"/>
          <w:szCs w:val="21"/>
        </w:rPr>
        <w:fldChar w:fldCharType="separate"/>
      </w:r>
      <w:r>
        <w:rPr>
          <w:rFonts w:hint="eastAsia" w:hAnsi="宋体"/>
          <w:color w:val="auto"/>
          <w:szCs w:val="21"/>
        </w:rPr>
        <w:t>①</w:t>
      </w:r>
      <w:r>
        <w:rPr>
          <w:rFonts w:hAnsi="宋体"/>
          <w:snapToGrid w:val="0"/>
          <w:color w:val="auto"/>
          <w:spacing w:val="-6"/>
          <w:kern w:val="21"/>
          <w:szCs w:val="21"/>
        </w:rPr>
        <w:fldChar w:fldCharType="end"/>
      </w:r>
    </w:p>
    <w:p w14:paraId="773F9D90">
      <w:pPr>
        <w:rPr>
          <w:color w:val="auto"/>
        </w:rPr>
      </w:pPr>
    </w:p>
    <w:sectPr>
      <w:footerReference r:id="rId6" w:type="default"/>
      <w:pgSz w:w="16838" w:h="11906" w:orient="landscape"/>
      <w:pgMar w:top="1304" w:right="1587" w:bottom="1304" w:left="1587" w:header="851" w:footer="85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18030">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_GBK">
    <w:altName w:val="微软雅黑"/>
    <w:panose1 w:val="02000000000000000000"/>
    <w:charset w:val="86"/>
    <w:family w:val="script"/>
    <w:pitch w:val="default"/>
    <w:sig w:usb0="00000000" w:usb1="00000000" w:usb2="00082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6E71A">
    <w:pPr>
      <w:pStyle w:val="21"/>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BBEA4">
    <w:pPr>
      <w:pStyle w:val="21"/>
      <w:framePr w:wrap="around" w:vAnchor="text" w:hAnchor="margin" w:xAlign="center" w:y="1"/>
      <w:rPr>
        <w:rStyle w:val="32"/>
      </w:rPr>
    </w:pPr>
    <w:r>
      <w:fldChar w:fldCharType="begin"/>
    </w:r>
    <w:r>
      <w:rPr>
        <w:rStyle w:val="32"/>
      </w:rPr>
      <w:instrText xml:space="preserve">PAGE  </w:instrText>
    </w:r>
    <w:r>
      <w:fldChar w:fldCharType="end"/>
    </w:r>
  </w:p>
  <w:p w14:paraId="0ED407AC">
    <w:pPr>
      <w:pStyle w:val="2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A79AF">
    <w:pPr>
      <w:pStyle w:val="21"/>
      <w:ind w:right="360"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00710" cy="153035"/>
              <wp:effectExtent l="3175" t="0" r="0" b="0"/>
              <wp:wrapNone/>
              <wp:docPr id="2059490924" name="文本框 1025"/>
              <wp:cNvGraphicFramePr/>
              <a:graphic xmlns:a="http://schemas.openxmlformats.org/drawingml/2006/main">
                <a:graphicData uri="http://schemas.microsoft.com/office/word/2010/wordprocessingShape">
                  <wps:wsp>
                    <wps:cNvSpPr txBox="1">
                      <a:spLocks noChangeArrowheads="1"/>
                    </wps:cNvSpPr>
                    <wps:spPr bwMode="auto">
                      <a:xfrm>
                        <a:off x="0" y="0"/>
                        <a:ext cx="600710" cy="153035"/>
                      </a:xfrm>
                      <a:prstGeom prst="rect">
                        <a:avLst/>
                      </a:prstGeom>
                      <a:noFill/>
                      <a:ln>
                        <a:noFill/>
                      </a:ln>
                    </wps:spPr>
                    <wps:txbx>
                      <w:txbxContent>
                        <w:p w14:paraId="09C92DD3">
                          <w:pPr>
                            <w:pStyle w:val="21"/>
                            <w:rPr>
                              <w:rStyle w:val="32"/>
                              <w:sz w:val="21"/>
                              <w:szCs w:val="21"/>
                            </w:rPr>
                          </w:pPr>
                          <w:r>
                            <w:rPr>
                              <w:rStyle w:val="32"/>
                              <w:sz w:val="21"/>
                              <w:szCs w:val="21"/>
                            </w:rPr>
                            <w:t xml:space="preserve">—  </w:t>
                          </w:r>
                          <w:r>
                            <w:rPr>
                              <w:sz w:val="21"/>
                              <w:szCs w:val="21"/>
                            </w:rPr>
                            <w:fldChar w:fldCharType="begin"/>
                          </w:r>
                          <w:r>
                            <w:rPr>
                              <w:rStyle w:val="32"/>
                              <w:sz w:val="21"/>
                              <w:szCs w:val="21"/>
                            </w:rPr>
                            <w:instrText xml:space="preserve">PAGE  </w:instrText>
                          </w:r>
                          <w:r>
                            <w:rPr>
                              <w:sz w:val="21"/>
                              <w:szCs w:val="21"/>
                            </w:rPr>
                            <w:fldChar w:fldCharType="separate"/>
                          </w:r>
                          <w:r>
                            <w:rPr>
                              <w:rStyle w:val="32"/>
                              <w:sz w:val="21"/>
                              <w:szCs w:val="21"/>
                            </w:rPr>
                            <w:t>9</w:t>
                          </w:r>
                          <w:r>
                            <w:rPr>
                              <w:sz w:val="21"/>
                              <w:szCs w:val="21"/>
                            </w:rPr>
                            <w:fldChar w:fldCharType="end"/>
                          </w:r>
                          <w:r>
                            <w:rPr>
                              <w:rStyle w:val="32"/>
                              <w:sz w:val="21"/>
                              <w:szCs w:val="21"/>
                            </w:rPr>
                            <w:t xml:space="preserve">  —</w:t>
                          </w:r>
                        </w:p>
                      </w:txbxContent>
                    </wps:txbx>
                    <wps:bodyPr rot="0" vert="horz" wrap="none" lIns="0" tIns="0" rIns="0" bIns="0" anchor="t" anchorCtr="0" upright="1">
                      <a:spAutoFit/>
                    </wps:bodyPr>
                  </wps:wsp>
                </a:graphicData>
              </a:graphic>
            </wp:anchor>
          </w:drawing>
        </mc:Choice>
        <mc:Fallback>
          <w:pict>
            <v:shape id="文本框 1025" o:spid="_x0000_s1026" o:spt="202" type="#_x0000_t202" style="position:absolute;left:0pt;margin-top:0pt;height:12.05pt;width:47.3pt;mso-position-horizontal:center;mso-position-horizontal-relative:margin;mso-wrap-style:none;z-index:251659264;mso-width-relative:page;mso-height-relative:page;" filled="f" stroked="f" coordsize="21600,21600" o:gfxdata="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GaPu3SAAAAAwEAAA8AAAAAAAAAAQAg&#10;AAAAIgAAAGRycy9kb3ducmV2LnhtbFBLAQIUABQAAAAIAIdO4kBx7Cs1FAIAAA4EAAAOAAAAAAAA&#10;AAEAIAAAACEBAABkcnMvZTJvRG9jLnhtbFBLBQYAAAAABgAGAFkBAACnBQAAAAA=&#10;">
              <v:fill on="f" focussize="0,0"/>
              <v:stroke on="f"/>
              <v:imagedata o:title=""/>
              <o:lock v:ext="edit" aspectratio="f"/>
              <v:textbox inset="0mm,0mm,0mm,0mm" style="mso-fit-shape-to-text:t;">
                <w:txbxContent>
                  <w:p w14:paraId="09C92DD3">
                    <w:pPr>
                      <w:pStyle w:val="21"/>
                      <w:rPr>
                        <w:rStyle w:val="32"/>
                        <w:sz w:val="21"/>
                        <w:szCs w:val="21"/>
                      </w:rPr>
                    </w:pPr>
                    <w:r>
                      <w:rPr>
                        <w:rStyle w:val="32"/>
                        <w:sz w:val="21"/>
                        <w:szCs w:val="21"/>
                      </w:rPr>
                      <w:t xml:space="preserve">—  </w:t>
                    </w:r>
                    <w:r>
                      <w:rPr>
                        <w:sz w:val="21"/>
                        <w:szCs w:val="21"/>
                      </w:rPr>
                      <w:fldChar w:fldCharType="begin"/>
                    </w:r>
                    <w:r>
                      <w:rPr>
                        <w:rStyle w:val="32"/>
                        <w:sz w:val="21"/>
                        <w:szCs w:val="21"/>
                      </w:rPr>
                      <w:instrText xml:space="preserve">PAGE  </w:instrText>
                    </w:r>
                    <w:r>
                      <w:rPr>
                        <w:sz w:val="21"/>
                        <w:szCs w:val="21"/>
                      </w:rPr>
                      <w:fldChar w:fldCharType="separate"/>
                    </w:r>
                    <w:r>
                      <w:rPr>
                        <w:rStyle w:val="32"/>
                        <w:sz w:val="21"/>
                        <w:szCs w:val="21"/>
                      </w:rPr>
                      <w:t>9</w:t>
                    </w:r>
                    <w:r>
                      <w:rPr>
                        <w:sz w:val="21"/>
                        <w:szCs w:val="21"/>
                      </w:rPr>
                      <w:fldChar w:fldCharType="end"/>
                    </w:r>
                    <w:r>
                      <w:rPr>
                        <w:rStyle w:val="32"/>
                        <w:sz w:val="21"/>
                        <w:szCs w:val="21"/>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A968F">
    <w:pPr>
      <w:pStyle w:val="21"/>
      <w:ind w:right="360"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75335" cy="230505"/>
              <wp:effectExtent l="0" t="2540" r="0" b="0"/>
              <wp:wrapNone/>
              <wp:docPr id="1211614041" name="文本框 1026"/>
              <wp:cNvGraphicFramePr/>
              <a:graphic xmlns:a="http://schemas.openxmlformats.org/drawingml/2006/main">
                <a:graphicData uri="http://schemas.microsoft.com/office/word/2010/wordprocessingShape">
                  <wps:wsp>
                    <wps:cNvSpPr txBox="1">
                      <a:spLocks noChangeArrowheads="1"/>
                    </wps:cNvSpPr>
                    <wps:spPr bwMode="auto">
                      <a:xfrm>
                        <a:off x="0" y="0"/>
                        <a:ext cx="775335" cy="230505"/>
                      </a:xfrm>
                      <a:prstGeom prst="rect">
                        <a:avLst/>
                      </a:prstGeom>
                      <a:noFill/>
                      <a:ln>
                        <a:noFill/>
                      </a:ln>
                    </wps:spPr>
                    <wps:txbx>
                      <w:txbxContent>
                        <w:p w14:paraId="2C0CC93B">
                          <w:pPr>
                            <w:pStyle w:val="21"/>
                            <w:rPr>
                              <w:rStyle w:val="32"/>
                              <w:rFonts w:ascii="宋体" w:hAnsi="宋体"/>
                              <w:sz w:val="28"/>
                              <w:szCs w:val="28"/>
                            </w:rPr>
                          </w:pPr>
                          <w:r>
                            <w:rPr>
                              <w:rStyle w:val="32"/>
                              <w:rFonts w:hint="eastAsia" w:ascii="宋体" w:hAnsi="宋体"/>
                              <w:sz w:val="28"/>
                              <w:szCs w:val="28"/>
                            </w:rPr>
                            <w:t>—</w:t>
                          </w:r>
                          <w:r>
                            <w:rPr>
                              <w:rStyle w:val="32"/>
                              <w:rFonts w:hint="eastAsia" w:ascii="宋体" w:hAnsi="宋体"/>
                              <w:sz w:val="20"/>
                            </w:rPr>
                            <w:t xml:space="preserve">  </w:t>
                          </w:r>
                          <w:r>
                            <w:rPr>
                              <w:rFonts w:ascii="宋体" w:hAnsi="宋体"/>
                              <w:sz w:val="26"/>
                              <w:szCs w:val="26"/>
                            </w:rPr>
                            <w:fldChar w:fldCharType="begin"/>
                          </w:r>
                          <w:r>
                            <w:rPr>
                              <w:rStyle w:val="32"/>
                              <w:rFonts w:ascii="宋体" w:hAnsi="宋体"/>
                              <w:sz w:val="26"/>
                              <w:szCs w:val="26"/>
                            </w:rPr>
                            <w:instrText xml:space="preserve">PAGE  </w:instrText>
                          </w:r>
                          <w:r>
                            <w:rPr>
                              <w:rFonts w:ascii="宋体" w:hAnsi="宋体"/>
                              <w:sz w:val="26"/>
                              <w:szCs w:val="26"/>
                            </w:rPr>
                            <w:fldChar w:fldCharType="separate"/>
                          </w:r>
                          <w:r>
                            <w:rPr>
                              <w:rStyle w:val="32"/>
                              <w:rFonts w:ascii="宋体" w:hAnsi="宋体"/>
                              <w:sz w:val="26"/>
                              <w:szCs w:val="26"/>
                            </w:rPr>
                            <w:t>11</w:t>
                          </w:r>
                          <w:r>
                            <w:rPr>
                              <w:rFonts w:ascii="宋体" w:hAnsi="宋体"/>
                              <w:sz w:val="26"/>
                              <w:szCs w:val="26"/>
                            </w:rPr>
                            <w:fldChar w:fldCharType="end"/>
                          </w:r>
                          <w:r>
                            <w:rPr>
                              <w:rStyle w:val="32"/>
                              <w:rFonts w:hint="eastAsia" w:ascii="宋体" w:hAnsi="宋体"/>
                              <w:sz w:val="20"/>
                            </w:rPr>
                            <w:t xml:space="preserve">  </w:t>
                          </w:r>
                          <w:r>
                            <w:rPr>
                              <w:rStyle w:val="32"/>
                              <w:rFonts w:hint="eastAsia" w:ascii="宋体" w:hAnsi="宋体"/>
                              <w:sz w:val="28"/>
                              <w:szCs w:val="28"/>
                            </w:rPr>
                            <w:t>—</w:t>
                          </w:r>
                        </w:p>
                      </w:txbxContent>
                    </wps:txbx>
                    <wps:bodyPr rot="0" vert="horz" wrap="none" lIns="0" tIns="0" rIns="0" bIns="0" anchor="t" anchorCtr="0" upright="1">
                      <a:spAutoFit/>
                    </wps:bodyPr>
                  </wps:wsp>
                </a:graphicData>
              </a:graphic>
            </wp:anchor>
          </w:drawing>
        </mc:Choice>
        <mc:Fallback>
          <w:pict>
            <v:shape id="文本框 1026" o:spid="_x0000_s1026" o:spt="202" type="#_x0000_t202" style="position:absolute;left:0pt;margin-top:0pt;height:18.15pt;width:61.05pt;mso-position-horizontal:center;mso-position-horizontal-relative:margin;mso-wrap-style:none;z-index:251660288;mso-width-relative:page;mso-height-relative:page;" filled="f" stroked="f" coordsize="21600,21600" o:gfxdata="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FTonl9EAAAAEAQAADwAAAAAAAAABACAA&#10;AAAiAAAAZHJzL2Rvd25yZXYueG1sUEsBAhQAFAAAAAgAh07iQCc6oyAUAgAADgQAAA4AAAAAAAAA&#10;AQAgAAAAIAEAAGRycy9lMm9Eb2MueG1sUEsFBgAAAAAGAAYAWQEAAKYFAAAAAA==&#10;">
              <v:fill on="f" focussize="0,0"/>
              <v:stroke on="f"/>
              <v:imagedata o:title=""/>
              <o:lock v:ext="edit" aspectratio="f"/>
              <v:textbox inset="0mm,0mm,0mm,0mm" style="mso-fit-shape-to-text:t;">
                <w:txbxContent>
                  <w:p w14:paraId="2C0CC93B">
                    <w:pPr>
                      <w:pStyle w:val="21"/>
                      <w:rPr>
                        <w:rStyle w:val="32"/>
                        <w:rFonts w:ascii="宋体" w:hAnsi="宋体"/>
                        <w:sz w:val="28"/>
                        <w:szCs w:val="28"/>
                      </w:rPr>
                    </w:pPr>
                    <w:r>
                      <w:rPr>
                        <w:rStyle w:val="32"/>
                        <w:rFonts w:hint="eastAsia" w:ascii="宋体" w:hAnsi="宋体"/>
                        <w:sz w:val="28"/>
                        <w:szCs w:val="28"/>
                      </w:rPr>
                      <w:t>—</w:t>
                    </w:r>
                    <w:r>
                      <w:rPr>
                        <w:rStyle w:val="32"/>
                        <w:rFonts w:hint="eastAsia" w:ascii="宋体" w:hAnsi="宋体"/>
                        <w:sz w:val="20"/>
                      </w:rPr>
                      <w:t xml:space="preserve">  </w:t>
                    </w:r>
                    <w:r>
                      <w:rPr>
                        <w:rFonts w:ascii="宋体" w:hAnsi="宋体"/>
                        <w:sz w:val="26"/>
                        <w:szCs w:val="26"/>
                      </w:rPr>
                      <w:fldChar w:fldCharType="begin"/>
                    </w:r>
                    <w:r>
                      <w:rPr>
                        <w:rStyle w:val="32"/>
                        <w:rFonts w:ascii="宋体" w:hAnsi="宋体"/>
                        <w:sz w:val="26"/>
                        <w:szCs w:val="26"/>
                      </w:rPr>
                      <w:instrText xml:space="preserve">PAGE  </w:instrText>
                    </w:r>
                    <w:r>
                      <w:rPr>
                        <w:rFonts w:ascii="宋体" w:hAnsi="宋体"/>
                        <w:sz w:val="26"/>
                        <w:szCs w:val="26"/>
                      </w:rPr>
                      <w:fldChar w:fldCharType="separate"/>
                    </w:r>
                    <w:r>
                      <w:rPr>
                        <w:rStyle w:val="32"/>
                        <w:rFonts w:ascii="宋体" w:hAnsi="宋体"/>
                        <w:sz w:val="26"/>
                        <w:szCs w:val="26"/>
                      </w:rPr>
                      <w:t>11</w:t>
                    </w:r>
                    <w:r>
                      <w:rPr>
                        <w:rFonts w:ascii="宋体" w:hAnsi="宋体"/>
                        <w:sz w:val="26"/>
                        <w:szCs w:val="26"/>
                      </w:rPr>
                      <w:fldChar w:fldCharType="end"/>
                    </w:r>
                    <w:r>
                      <w:rPr>
                        <w:rStyle w:val="32"/>
                        <w:rFonts w:hint="eastAsia" w:ascii="宋体" w:hAnsi="宋体"/>
                        <w:sz w:val="20"/>
                      </w:rPr>
                      <w:t xml:space="preserve">  </w:t>
                    </w:r>
                    <w:r>
                      <w:rPr>
                        <w:rStyle w:val="32"/>
                        <w:rFonts w:hint="eastAsia" w:ascii="宋体" w:hAnsi="宋体"/>
                        <w:sz w:val="28"/>
                        <w:szCs w:val="28"/>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4E4AB9"/>
    <w:multiLevelType w:val="singleLevel"/>
    <w:tmpl w:val="904E4AB9"/>
    <w:lvl w:ilvl="0" w:tentative="0">
      <w:start w:val="1"/>
      <w:numFmt w:val="decimal"/>
      <w:suff w:val="nothing"/>
      <w:lvlText w:val="%1、"/>
      <w:lvlJc w:val="left"/>
    </w:lvl>
  </w:abstractNum>
  <w:abstractNum w:abstractNumId="1">
    <w:nsid w:val="936E3AB0"/>
    <w:multiLevelType w:val="singleLevel"/>
    <w:tmpl w:val="936E3AB0"/>
    <w:lvl w:ilvl="0" w:tentative="0">
      <w:start w:val="6"/>
      <w:numFmt w:val="chineseCounting"/>
      <w:suff w:val="nothing"/>
      <w:lvlText w:val="%1、"/>
      <w:lvlJc w:val="left"/>
      <w:rPr>
        <w:rFonts w:hint="eastAsia"/>
      </w:rPr>
    </w:lvl>
  </w:abstractNum>
  <w:abstractNum w:abstractNumId="2">
    <w:nsid w:val="B9A1AAB9"/>
    <w:multiLevelType w:val="singleLevel"/>
    <w:tmpl w:val="B9A1AAB9"/>
    <w:lvl w:ilvl="0" w:tentative="0">
      <w:start w:val="1"/>
      <w:numFmt w:val="decimal"/>
      <w:pStyle w:val="113"/>
      <w:lvlText w:val="图2-%1."/>
      <w:lvlJc w:val="center"/>
      <w:pPr>
        <w:tabs>
          <w:tab w:val="left" w:pos="0"/>
        </w:tabs>
        <w:ind w:left="0" w:leftChars="0" w:firstLine="0" w:firstLineChars="0"/>
      </w:pPr>
      <w:rPr>
        <w:rFonts w:hint="default" w:ascii="Times New Roman" w:hAnsi="Times New Roman" w:eastAsia="宋体" w:cs="Times New Roman"/>
        <w:b/>
        <w:bCs/>
        <w:sz w:val="21"/>
        <w:szCs w:val="21"/>
      </w:rPr>
    </w:lvl>
  </w:abstractNum>
  <w:abstractNum w:abstractNumId="3">
    <w:nsid w:val="ED43D400"/>
    <w:multiLevelType w:val="multilevel"/>
    <w:tmpl w:val="ED43D400"/>
    <w:lvl w:ilvl="0" w:tentative="0">
      <w:start w:val="1"/>
      <w:numFmt w:val="decimal"/>
      <w:lvlText w:val="%1"/>
      <w:lvlJc w:val="center"/>
      <w:pPr>
        <w:tabs>
          <w:tab w:val="left" w:pos="0"/>
        </w:tabs>
        <w:ind w:left="0" w:firstLine="0"/>
      </w:pPr>
      <w:rPr>
        <w:rFonts w:hint="eastAsia"/>
      </w:rPr>
    </w:lvl>
    <w:lvl w:ilvl="1" w:tentative="0">
      <w:start w:val="1"/>
      <w:numFmt w:val="decimal"/>
      <w:lvlText w:val="%1.%2"/>
      <w:lvlJc w:val="left"/>
      <w:pPr>
        <w:tabs>
          <w:tab w:val="left" w:pos="567"/>
        </w:tabs>
        <w:ind w:left="567" w:hanging="567"/>
      </w:pPr>
      <w:rPr>
        <w:rFonts w:hint="default"/>
      </w:rPr>
    </w:lvl>
    <w:lvl w:ilvl="2" w:tentative="0">
      <w:start w:val="1"/>
      <w:numFmt w:val="decimal"/>
      <w:lvlText w:val="%1.%2.%3"/>
      <w:lvlJc w:val="left"/>
      <w:pPr>
        <w:tabs>
          <w:tab w:val="left" w:pos="0"/>
        </w:tabs>
        <w:ind w:left="0" w:firstLine="0"/>
      </w:pPr>
      <w:rPr>
        <w:rFonts w:hint="default" w:ascii="Times New Roman" w:hAnsi="Times New Roman" w:eastAsia="仿宋" w:cs="Times New Roman"/>
        <w:sz w:val="24"/>
        <w:szCs w:val="24"/>
      </w:rPr>
    </w:lvl>
    <w:lvl w:ilvl="3" w:tentative="0">
      <w:start w:val="1"/>
      <w:numFmt w:val="decimal"/>
      <w:pStyle w:val="8"/>
      <w:lvlText w:val="%1.%2.%3.%4"/>
      <w:lvlJc w:val="left"/>
      <w:pPr>
        <w:tabs>
          <w:tab w:val="left" w:pos="851"/>
        </w:tabs>
        <w:ind w:left="1481" w:hanging="567"/>
      </w:pPr>
      <w:rPr>
        <w:rFonts w:hint="default" w:eastAsia="仿宋"/>
        <w:sz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EF1AAE54"/>
    <w:multiLevelType w:val="singleLevel"/>
    <w:tmpl w:val="EF1AAE54"/>
    <w:lvl w:ilvl="0" w:tentative="0">
      <w:start w:val="1"/>
      <w:numFmt w:val="decimal"/>
      <w:pStyle w:val="114"/>
      <w:lvlText w:val="表1-%1."/>
      <w:lvlJc w:val="center"/>
      <w:pPr>
        <w:tabs>
          <w:tab w:val="left" w:pos="0"/>
        </w:tabs>
        <w:ind w:left="0" w:leftChars="0" w:firstLine="0" w:firstLineChars="0"/>
      </w:pPr>
      <w:rPr>
        <w:rFonts w:hint="default" w:ascii="Times New Roman" w:hAnsi="Times New Roman" w:eastAsia="宋体" w:cs="Times New Roman"/>
        <w:b/>
        <w:bCs/>
        <w:sz w:val="21"/>
        <w:szCs w:val="21"/>
      </w:rPr>
    </w:lvl>
  </w:abstractNum>
  <w:abstractNum w:abstractNumId="5">
    <w:nsid w:val="00000003"/>
    <w:multiLevelType w:val="multilevel"/>
    <w:tmpl w:val="00000003"/>
    <w:lvl w:ilvl="0" w:tentative="0">
      <w:start w:val="1"/>
      <w:numFmt w:val="decimal"/>
      <w:lvlText w:val="%1、"/>
      <w:lvlJc w:val="left"/>
      <w:pPr>
        <w:ind w:left="375" w:hanging="37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527551C7"/>
    <w:multiLevelType w:val="multilevel"/>
    <w:tmpl w:val="527551C7"/>
    <w:lvl w:ilvl="0" w:tentative="0">
      <w:start w:val="1"/>
      <w:numFmt w:val="decimal"/>
      <w:suff w:val="nothing"/>
      <w:lvlText w:val="%1."/>
      <w:lvlJc w:val="left"/>
      <w:pPr>
        <w:tabs>
          <w:tab w:val="left" w:pos="420"/>
        </w:tabs>
        <w:ind w:left="420" w:hanging="420"/>
      </w:pPr>
      <w:rPr>
        <w:rFonts w:hint="default" w:ascii="宋体" w:hAnsi="宋体" w:eastAsia="宋体" w:cs="宋体"/>
      </w:rPr>
    </w:lvl>
    <w:lvl w:ilvl="1" w:tentative="0">
      <w:start w:val="1"/>
      <w:numFmt w:val="decimal"/>
      <w:suff w:val="nothing"/>
      <w:lvlText w:val="%1.%2"/>
      <w:lvlJc w:val="left"/>
      <w:pPr>
        <w:tabs>
          <w:tab w:val="left" w:pos="0"/>
        </w:tabs>
        <w:ind w:left="420" w:hanging="420"/>
      </w:pPr>
      <w:rPr>
        <w:rFonts w:hint="default" w:ascii="宋体" w:hAnsi="宋体" w:eastAsia="宋体" w:cs="宋体"/>
      </w:rPr>
    </w:lvl>
    <w:lvl w:ilvl="2" w:tentative="0">
      <w:start w:val="1"/>
      <w:numFmt w:val="decimal"/>
      <w:suff w:val="nothing"/>
      <w:lvlText w:val="%1.%2.%3"/>
      <w:lvlJc w:val="left"/>
      <w:pPr>
        <w:tabs>
          <w:tab w:val="left" w:pos="0"/>
        </w:tabs>
        <w:ind w:left="420" w:hanging="420"/>
      </w:pPr>
      <w:rPr>
        <w:rFonts w:hint="default" w:ascii="宋体" w:hAnsi="宋体" w:eastAsia="宋体" w:cs="宋体"/>
        <w:b/>
        <w:bCs/>
        <w:sz w:val="24"/>
        <w:szCs w:val="24"/>
      </w:rPr>
    </w:lvl>
    <w:lvl w:ilvl="3" w:tentative="0">
      <w:start w:val="1"/>
      <w:numFmt w:val="decimal"/>
      <w:suff w:val="nothing"/>
      <w:lvlText w:val="%1.%2.%3.%4"/>
      <w:lvlJc w:val="left"/>
      <w:pPr>
        <w:tabs>
          <w:tab w:val="left" w:pos="0"/>
        </w:tabs>
        <w:ind w:left="420" w:hanging="420"/>
      </w:pPr>
      <w:rPr>
        <w:rFonts w:hint="default" w:ascii="宋体" w:hAnsi="宋体" w:eastAsia="宋体" w:cs="宋体"/>
        <w:b/>
      </w:rPr>
    </w:lvl>
    <w:lvl w:ilvl="4" w:tentative="0">
      <w:start w:val="1"/>
      <w:numFmt w:val="decimal"/>
      <w:suff w:val="nothing"/>
      <w:lvlText w:val="%5、"/>
      <w:lvlJc w:val="left"/>
      <w:pPr>
        <w:tabs>
          <w:tab w:val="left" w:pos="0"/>
        </w:tabs>
        <w:ind w:left="420" w:hanging="420"/>
      </w:pPr>
      <w:rPr>
        <w:rFonts w:hint="default" w:ascii="宋体" w:hAnsi="宋体" w:eastAsia="宋体" w:cs="宋体"/>
        <w:sz w:val="24"/>
        <w:szCs w:val="24"/>
      </w:rPr>
    </w:lvl>
    <w:lvl w:ilvl="5" w:tentative="0">
      <w:start w:val="1"/>
      <w:numFmt w:val="decimal"/>
      <w:lvlRestart w:val="3"/>
      <w:suff w:val="nothing"/>
      <w:lvlText w:val="（%6）"/>
      <w:lvlJc w:val="left"/>
      <w:pPr>
        <w:tabs>
          <w:tab w:val="left" w:pos="0"/>
        </w:tabs>
        <w:ind w:left="420" w:hanging="420"/>
      </w:pPr>
      <w:rPr>
        <w:rFonts w:hint="default" w:ascii="宋体" w:hAnsi="宋体" w:eastAsia="宋体" w:cs="宋体"/>
        <w:sz w:val="24"/>
        <w:szCs w:val="24"/>
      </w:rPr>
    </w:lvl>
    <w:lvl w:ilvl="6" w:tentative="0">
      <w:start w:val="1"/>
      <w:numFmt w:val="decimal"/>
      <w:lvlRestart w:val="2"/>
      <w:pStyle w:val="9"/>
      <w:suff w:val="nothing"/>
      <w:lvlText w:val="表%1.%2-%7 "/>
      <w:lvlJc w:val="left"/>
      <w:pPr>
        <w:tabs>
          <w:tab w:val="left" w:pos="0"/>
        </w:tabs>
        <w:ind w:left="420" w:hanging="420"/>
      </w:pPr>
      <w:rPr>
        <w:rFonts w:hint="default" w:ascii="宋体" w:hAnsi="宋体" w:eastAsia="宋体" w:cs="宋体"/>
      </w:rPr>
    </w:lvl>
    <w:lvl w:ilvl="7" w:tentative="0">
      <w:start w:val="1"/>
      <w:numFmt w:val="decimal"/>
      <w:lvlRestart w:val="2"/>
      <w:suff w:val="nothing"/>
      <w:lvlText w:val="图%1.%2-%8 "/>
      <w:lvlJc w:val="left"/>
      <w:pPr>
        <w:tabs>
          <w:tab w:val="left" w:pos="420"/>
        </w:tabs>
        <w:ind w:left="420" w:hanging="420"/>
      </w:pPr>
      <w:rPr>
        <w:rFonts w:hint="default" w:ascii="宋体" w:hAnsi="宋体" w:eastAsia="宋体" w:cs="宋体"/>
        <w:b/>
        <w:bCs/>
        <w:sz w:val="24"/>
        <w:szCs w:val="24"/>
      </w:rPr>
    </w:lvl>
    <w:lvl w:ilvl="8" w:tentative="0">
      <w:start w:val="1"/>
      <w:numFmt w:val="upperLetter"/>
      <w:lvlRestart w:val="6"/>
      <w:lvlText w:val="%9."/>
      <w:lvlJc w:val="left"/>
      <w:pPr>
        <w:tabs>
          <w:tab w:val="left" w:pos="420"/>
        </w:tabs>
        <w:ind w:left="420" w:hanging="420"/>
      </w:pPr>
      <w:rPr>
        <w:rFonts w:hint="default" w:ascii="宋体" w:hAnsi="宋体" w:eastAsia="宋体" w:cs="宋体"/>
        <w:sz w:val="24"/>
        <w:szCs w:val="24"/>
      </w:rPr>
    </w:lvl>
  </w:abstractNum>
  <w:num w:numId="1">
    <w:abstractNumId w:val="3"/>
  </w:num>
  <w:num w:numId="2">
    <w:abstractNumId w:val="6"/>
  </w:num>
  <w:num w:numId="3">
    <w:abstractNumId w:val="2"/>
  </w:num>
  <w:num w:numId="4">
    <w:abstractNumId w:val="4"/>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doNotHyphenateCaps/>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FkZDgzYmI2NDZmMzBiZGNhMDAzYmNiZmI4NzUzN2YifQ=="/>
    <w:docVar w:name="KSO_WPS_MARK_KEY" w:val="96ffc719-5551-4eec-b649-96e7c8d8477f"/>
  </w:docVars>
  <w:rsids>
    <w:rsidRoot w:val="00172A27"/>
    <w:rsid w:val="000060B3"/>
    <w:rsid w:val="000216D8"/>
    <w:rsid w:val="0004364B"/>
    <w:rsid w:val="00061B1F"/>
    <w:rsid w:val="000733C4"/>
    <w:rsid w:val="00074783"/>
    <w:rsid w:val="0008070B"/>
    <w:rsid w:val="000810AC"/>
    <w:rsid w:val="00081A02"/>
    <w:rsid w:val="00082231"/>
    <w:rsid w:val="00092D38"/>
    <w:rsid w:val="0009377B"/>
    <w:rsid w:val="000A20C9"/>
    <w:rsid w:val="000B058F"/>
    <w:rsid w:val="000B4467"/>
    <w:rsid w:val="000B4DB9"/>
    <w:rsid w:val="000C09AC"/>
    <w:rsid w:val="000C767F"/>
    <w:rsid w:val="000D5A44"/>
    <w:rsid w:val="000E3ED2"/>
    <w:rsid w:val="00131F42"/>
    <w:rsid w:val="001357F1"/>
    <w:rsid w:val="00140FA8"/>
    <w:rsid w:val="00142FEB"/>
    <w:rsid w:val="00143A2D"/>
    <w:rsid w:val="00145A41"/>
    <w:rsid w:val="00151675"/>
    <w:rsid w:val="00157435"/>
    <w:rsid w:val="0017504D"/>
    <w:rsid w:val="0017671A"/>
    <w:rsid w:val="00177422"/>
    <w:rsid w:val="00184590"/>
    <w:rsid w:val="001870D1"/>
    <w:rsid w:val="0018781E"/>
    <w:rsid w:val="0019262D"/>
    <w:rsid w:val="0019583D"/>
    <w:rsid w:val="001A1B35"/>
    <w:rsid w:val="001A48A2"/>
    <w:rsid w:val="001A6F61"/>
    <w:rsid w:val="001B72B8"/>
    <w:rsid w:val="001C69B3"/>
    <w:rsid w:val="001D5595"/>
    <w:rsid w:val="001D7874"/>
    <w:rsid w:val="001D7F22"/>
    <w:rsid w:val="001F0F17"/>
    <w:rsid w:val="001F3347"/>
    <w:rsid w:val="001F69E4"/>
    <w:rsid w:val="002125B4"/>
    <w:rsid w:val="002155B8"/>
    <w:rsid w:val="00224839"/>
    <w:rsid w:val="002249B2"/>
    <w:rsid w:val="00226574"/>
    <w:rsid w:val="002278EC"/>
    <w:rsid w:val="0023280E"/>
    <w:rsid w:val="002362F1"/>
    <w:rsid w:val="002364E1"/>
    <w:rsid w:val="002377D1"/>
    <w:rsid w:val="002506BC"/>
    <w:rsid w:val="00254345"/>
    <w:rsid w:val="00264557"/>
    <w:rsid w:val="002805AB"/>
    <w:rsid w:val="00284204"/>
    <w:rsid w:val="00291773"/>
    <w:rsid w:val="002A168C"/>
    <w:rsid w:val="002A3DC7"/>
    <w:rsid w:val="002B49E2"/>
    <w:rsid w:val="002B7B00"/>
    <w:rsid w:val="002B7C44"/>
    <w:rsid w:val="002C2B17"/>
    <w:rsid w:val="002D3DD0"/>
    <w:rsid w:val="002E1F3A"/>
    <w:rsid w:val="002E298A"/>
    <w:rsid w:val="002F2482"/>
    <w:rsid w:val="00301978"/>
    <w:rsid w:val="0030332C"/>
    <w:rsid w:val="003051C2"/>
    <w:rsid w:val="00312296"/>
    <w:rsid w:val="00314F0E"/>
    <w:rsid w:val="00321D8E"/>
    <w:rsid w:val="00325928"/>
    <w:rsid w:val="00332863"/>
    <w:rsid w:val="0033684D"/>
    <w:rsid w:val="00337B42"/>
    <w:rsid w:val="00341B42"/>
    <w:rsid w:val="0034348F"/>
    <w:rsid w:val="00356653"/>
    <w:rsid w:val="0035743F"/>
    <w:rsid w:val="00357BE2"/>
    <w:rsid w:val="0036170C"/>
    <w:rsid w:val="00366E0F"/>
    <w:rsid w:val="00381A72"/>
    <w:rsid w:val="00384676"/>
    <w:rsid w:val="00390857"/>
    <w:rsid w:val="003A4BF3"/>
    <w:rsid w:val="003B420D"/>
    <w:rsid w:val="003C6C16"/>
    <w:rsid w:val="003D794D"/>
    <w:rsid w:val="003E3058"/>
    <w:rsid w:val="003E76A9"/>
    <w:rsid w:val="003F0809"/>
    <w:rsid w:val="003F6A8C"/>
    <w:rsid w:val="003F755C"/>
    <w:rsid w:val="00406F01"/>
    <w:rsid w:val="00416D50"/>
    <w:rsid w:val="00416FD5"/>
    <w:rsid w:val="00417772"/>
    <w:rsid w:val="00420E6A"/>
    <w:rsid w:val="00425A9E"/>
    <w:rsid w:val="00426D6B"/>
    <w:rsid w:val="00431E6C"/>
    <w:rsid w:val="00433CE7"/>
    <w:rsid w:val="00452738"/>
    <w:rsid w:val="00456091"/>
    <w:rsid w:val="00466321"/>
    <w:rsid w:val="00484B9B"/>
    <w:rsid w:val="004855F6"/>
    <w:rsid w:val="0048661E"/>
    <w:rsid w:val="00494670"/>
    <w:rsid w:val="004A3823"/>
    <w:rsid w:val="004E6946"/>
    <w:rsid w:val="004F1AD8"/>
    <w:rsid w:val="005039CB"/>
    <w:rsid w:val="0050558F"/>
    <w:rsid w:val="00506286"/>
    <w:rsid w:val="00510813"/>
    <w:rsid w:val="00511990"/>
    <w:rsid w:val="00511DE0"/>
    <w:rsid w:val="00514870"/>
    <w:rsid w:val="00514B9B"/>
    <w:rsid w:val="00517F02"/>
    <w:rsid w:val="00524303"/>
    <w:rsid w:val="005258A2"/>
    <w:rsid w:val="005401AE"/>
    <w:rsid w:val="00542E07"/>
    <w:rsid w:val="00545424"/>
    <w:rsid w:val="00554A7B"/>
    <w:rsid w:val="0055572C"/>
    <w:rsid w:val="0056106A"/>
    <w:rsid w:val="005720AE"/>
    <w:rsid w:val="00594D77"/>
    <w:rsid w:val="005969E4"/>
    <w:rsid w:val="005A06B7"/>
    <w:rsid w:val="005A1759"/>
    <w:rsid w:val="005A68A7"/>
    <w:rsid w:val="005D36AB"/>
    <w:rsid w:val="00617CC3"/>
    <w:rsid w:val="00621E19"/>
    <w:rsid w:val="006377A6"/>
    <w:rsid w:val="00637A3D"/>
    <w:rsid w:val="006411EF"/>
    <w:rsid w:val="00642B6A"/>
    <w:rsid w:val="006748B8"/>
    <w:rsid w:val="006775C3"/>
    <w:rsid w:val="0069290A"/>
    <w:rsid w:val="0069775A"/>
    <w:rsid w:val="00697813"/>
    <w:rsid w:val="006A3EE8"/>
    <w:rsid w:val="006A72BF"/>
    <w:rsid w:val="006B03F2"/>
    <w:rsid w:val="006B37DC"/>
    <w:rsid w:val="006B4F68"/>
    <w:rsid w:val="006C0592"/>
    <w:rsid w:val="006C272E"/>
    <w:rsid w:val="006C5479"/>
    <w:rsid w:val="006D13B5"/>
    <w:rsid w:val="006E12FF"/>
    <w:rsid w:val="006E607E"/>
    <w:rsid w:val="00706C5D"/>
    <w:rsid w:val="00732922"/>
    <w:rsid w:val="0075162E"/>
    <w:rsid w:val="00754034"/>
    <w:rsid w:val="00756556"/>
    <w:rsid w:val="007618C4"/>
    <w:rsid w:val="00767980"/>
    <w:rsid w:val="00770B19"/>
    <w:rsid w:val="00771674"/>
    <w:rsid w:val="0077463F"/>
    <w:rsid w:val="007756C4"/>
    <w:rsid w:val="007836EA"/>
    <w:rsid w:val="00784CDA"/>
    <w:rsid w:val="007906C4"/>
    <w:rsid w:val="007940EA"/>
    <w:rsid w:val="007967E8"/>
    <w:rsid w:val="007A2170"/>
    <w:rsid w:val="007A22BF"/>
    <w:rsid w:val="007A3323"/>
    <w:rsid w:val="007B72B8"/>
    <w:rsid w:val="007B7A58"/>
    <w:rsid w:val="007C21B5"/>
    <w:rsid w:val="007E4BD2"/>
    <w:rsid w:val="00801393"/>
    <w:rsid w:val="00802F88"/>
    <w:rsid w:val="0081293E"/>
    <w:rsid w:val="00815465"/>
    <w:rsid w:val="00817E9A"/>
    <w:rsid w:val="008306BD"/>
    <w:rsid w:val="00831A80"/>
    <w:rsid w:val="00833743"/>
    <w:rsid w:val="008340A4"/>
    <w:rsid w:val="0087135F"/>
    <w:rsid w:val="00872D94"/>
    <w:rsid w:val="0087613F"/>
    <w:rsid w:val="00880364"/>
    <w:rsid w:val="00891592"/>
    <w:rsid w:val="00891E9E"/>
    <w:rsid w:val="008A2F68"/>
    <w:rsid w:val="008B4FA6"/>
    <w:rsid w:val="008B5282"/>
    <w:rsid w:val="008B7C17"/>
    <w:rsid w:val="008C2D01"/>
    <w:rsid w:val="008C40E6"/>
    <w:rsid w:val="008D0F7A"/>
    <w:rsid w:val="008D68E4"/>
    <w:rsid w:val="008E0506"/>
    <w:rsid w:val="008E0CFF"/>
    <w:rsid w:val="008E5D6B"/>
    <w:rsid w:val="008E76F0"/>
    <w:rsid w:val="008F0095"/>
    <w:rsid w:val="008F15FE"/>
    <w:rsid w:val="008F2D29"/>
    <w:rsid w:val="008F5187"/>
    <w:rsid w:val="008F60D8"/>
    <w:rsid w:val="00902727"/>
    <w:rsid w:val="0090312B"/>
    <w:rsid w:val="0091736D"/>
    <w:rsid w:val="0093037A"/>
    <w:rsid w:val="0094154D"/>
    <w:rsid w:val="0095155F"/>
    <w:rsid w:val="00954429"/>
    <w:rsid w:val="009563CE"/>
    <w:rsid w:val="00976328"/>
    <w:rsid w:val="0097680D"/>
    <w:rsid w:val="00982438"/>
    <w:rsid w:val="0098404C"/>
    <w:rsid w:val="00985283"/>
    <w:rsid w:val="00995992"/>
    <w:rsid w:val="009A03E5"/>
    <w:rsid w:val="009A0F3B"/>
    <w:rsid w:val="009A1BB4"/>
    <w:rsid w:val="009A2628"/>
    <w:rsid w:val="009A3200"/>
    <w:rsid w:val="009B0897"/>
    <w:rsid w:val="009B7BD9"/>
    <w:rsid w:val="009C7DD5"/>
    <w:rsid w:val="009E227D"/>
    <w:rsid w:val="009E5019"/>
    <w:rsid w:val="00A04F1B"/>
    <w:rsid w:val="00A0501B"/>
    <w:rsid w:val="00A14947"/>
    <w:rsid w:val="00A32A83"/>
    <w:rsid w:val="00A368DB"/>
    <w:rsid w:val="00A423AA"/>
    <w:rsid w:val="00A53EC6"/>
    <w:rsid w:val="00A55C0F"/>
    <w:rsid w:val="00A8713F"/>
    <w:rsid w:val="00A90BA1"/>
    <w:rsid w:val="00A97A9A"/>
    <w:rsid w:val="00AA0671"/>
    <w:rsid w:val="00AA2531"/>
    <w:rsid w:val="00AB1E09"/>
    <w:rsid w:val="00AB5330"/>
    <w:rsid w:val="00AB7747"/>
    <w:rsid w:val="00AC14CE"/>
    <w:rsid w:val="00AC2A56"/>
    <w:rsid w:val="00AD055E"/>
    <w:rsid w:val="00AD47A7"/>
    <w:rsid w:val="00AF0CBF"/>
    <w:rsid w:val="00AF257F"/>
    <w:rsid w:val="00AF33CF"/>
    <w:rsid w:val="00AF4D50"/>
    <w:rsid w:val="00AF6179"/>
    <w:rsid w:val="00B1295A"/>
    <w:rsid w:val="00B20A45"/>
    <w:rsid w:val="00B22C5C"/>
    <w:rsid w:val="00B24F30"/>
    <w:rsid w:val="00B31ABF"/>
    <w:rsid w:val="00B33BE3"/>
    <w:rsid w:val="00B53B5D"/>
    <w:rsid w:val="00B6055E"/>
    <w:rsid w:val="00B62B4D"/>
    <w:rsid w:val="00B6317D"/>
    <w:rsid w:val="00B7723F"/>
    <w:rsid w:val="00B80534"/>
    <w:rsid w:val="00B8433C"/>
    <w:rsid w:val="00B87491"/>
    <w:rsid w:val="00BA29E9"/>
    <w:rsid w:val="00BA7142"/>
    <w:rsid w:val="00BB237C"/>
    <w:rsid w:val="00BB41A3"/>
    <w:rsid w:val="00BC32DC"/>
    <w:rsid w:val="00BC35B6"/>
    <w:rsid w:val="00BD1B51"/>
    <w:rsid w:val="00BD4596"/>
    <w:rsid w:val="00BE1405"/>
    <w:rsid w:val="00BE312D"/>
    <w:rsid w:val="00BF1C20"/>
    <w:rsid w:val="00C10578"/>
    <w:rsid w:val="00C135BC"/>
    <w:rsid w:val="00C15C95"/>
    <w:rsid w:val="00C2596A"/>
    <w:rsid w:val="00C27537"/>
    <w:rsid w:val="00C328FE"/>
    <w:rsid w:val="00C33507"/>
    <w:rsid w:val="00C4409D"/>
    <w:rsid w:val="00C44E72"/>
    <w:rsid w:val="00C45A06"/>
    <w:rsid w:val="00C47E5B"/>
    <w:rsid w:val="00C61E4B"/>
    <w:rsid w:val="00C64BFF"/>
    <w:rsid w:val="00C704E9"/>
    <w:rsid w:val="00C763C9"/>
    <w:rsid w:val="00C80057"/>
    <w:rsid w:val="00C82232"/>
    <w:rsid w:val="00C82913"/>
    <w:rsid w:val="00C87FB7"/>
    <w:rsid w:val="00C972B1"/>
    <w:rsid w:val="00CA2CCE"/>
    <w:rsid w:val="00CA43FD"/>
    <w:rsid w:val="00CA7EF8"/>
    <w:rsid w:val="00CC489B"/>
    <w:rsid w:val="00CD2BCD"/>
    <w:rsid w:val="00CD2C9C"/>
    <w:rsid w:val="00CD3A4C"/>
    <w:rsid w:val="00CE10E9"/>
    <w:rsid w:val="00CE2910"/>
    <w:rsid w:val="00CE5393"/>
    <w:rsid w:val="00CF36BE"/>
    <w:rsid w:val="00CF6000"/>
    <w:rsid w:val="00D003F3"/>
    <w:rsid w:val="00D0364F"/>
    <w:rsid w:val="00D06834"/>
    <w:rsid w:val="00D308ED"/>
    <w:rsid w:val="00D36D86"/>
    <w:rsid w:val="00D428AA"/>
    <w:rsid w:val="00D50A34"/>
    <w:rsid w:val="00D53EFA"/>
    <w:rsid w:val="00D70859"/>
    <w:rsid w:val="00D94A7C"/>
    <w:rsid w:val="00D95896"/>
    <w:rsid w:val="00DA20C9"/>
    <w:rsid w:val="00DB2983"/>
    <w:rsid w:val="00DC1257"/>
    <w:rsid w:val="00DC183E"/>
    <w:rsid w:val="00DC3DC0"/>
    <w:rsid w:val="00DC5B2B"/>
    <w:rsid w:val="00DD318D"/>
    <w:rsid w:val="00DF2E12"/>
    <w:rsid w:val="00DF514A"/>
    <w:rsid w:val="00DF6690"/>
    <w:rsid w:val="00DF6804"/>
    <w:rsid w:val="00E0358D"/>
    <w:rsid w:val="00E04323"/>
    <w:rsid w:val="00E070A2"/>
    <w:rsid w:val="00E2656A"/>
    <w:rsid w:val="00E412D0"/>
    <w:rsid w:val="00E56322"/>
    <w:rsid w:val="00E60982"/>
    <w:rsid w:val="00E62C62"/>
    <w:rsid w:val="00E654C1"/>
    <w:rsid w:val="00E65D97"/>
    <w:rsid w:val="00E72A5A"/>
    <w:rsid w:val="00E73354"/>
    <w:rsid w:val="00E9242D"/>
    <w:rsid w:val="00EA6552"/>
    <w:rsid w:val="00EB5255"/>
    <w:rsid w:val="00EB5C47"/>
    <w:rsid w:val="00ED0639"/>
    <w:rsid w:val="00EF4755"/>
    <w:rsid w:val="00EF7135"/>
    <w:rsid w:val="00F027DB"/>
    <w:rsid w:val="00F14A7A"/>
    <w:rsid w:val="00F22985"/>
    <w:rsid w:val="00F3383E"/>
    <w:rsid w:val="00F3424C"/>
    <w:rsid w:val="00F465A7"/>
    <w:rsid w:val="00F50B7C"/>
    <w:rsid w:val="00F550E6"/>
    <w:rsid w:val="00F74345"/>
    <w:rsid w:val="00F80A0A"/>
    <w:rsid w:val="00F82B19"/>
    <w:rsid w:val="00F9212D"/>
    <w:rsid w:val="00F965DA"/>
    <w:rsid w:val="00FA406A"/>
    <w:rsid w:val="00FB503A"/>
    <w:rsid w:val="00FB516C"/>
    <w:rsid w:val="00FC2170"/>
    <w:rsid w:val="00FD0236"/>
    <w:rsid w:val="00FD18F4"/>
    <w:rsid w:val="00FD54DB"/>
    <w:rsid w:val="00FD619F"/>
    <w:rsid w:val="01026563"/>
    <w:rsid w:val="011C6E64"/>
    <w:rsid w:val="01227F46"/>
    <w:rsid w:val="01290F7E"/>
    <w:rsid w:val="015D1E09"/>
    <w:rsid w:val="01682EEF"/>
    <w:rsid w:val="018D7F76"/>
    <w:rsid w:val="01956A4E"/>
    <w:rsid w:val="01AA1E94"/>
    <w:rsid w:val="01B13F71"/>
    <w:rsid w:val="01BF0E4C"/>
    <w:rsid w:val="01C1261A"/>
    <w:rsid w:val="01C17664"/>
    <w:rsid w:val="01D80C77"/>
    <w:rsid w:val="01DA660E"/>
    <w:rsid w:val="01F176F8"/>
    <w:rsid w:val="02025129"/>
    <w:rsid w:val="020B627C"/>
    <w:rsid w:val="023925B8"/>
    <w:rsid w:val="02402F26"/>
    <w:rsid w:val="024503F6"/>
    <w:rsid w:val="02697903"/>
    <w:rsid w:val="026D05BF"/>
    <w:rsid w:val="027C592B"/>
    <w:rsid w:val="028479EC"/>
    <w:rsid w:val="02851BCA"/>
    <w:rsid w:val="0292610E"/>
    <w:rsid w:val="02A0427A"/>
    <w:rsid w:val="02A15516"/>
    <w:rsid w:val="02B75909"/>
    <w:rsid w:val="02D17202"/>
    <w:rsid w:val="02E42C14"/>
    <w:rsid w:val="02F96569"/>
    <w:rsid w:val="02FE0FA5"/>
    <w:rsid w:val="03290F7C"/>
    <w:rsid w:val="03555A65"/>
    <w:rsid w:val="035C5C1E"/>
    <w:rsid w:val="0370464D"/>
    <w:rsid w:val="03727D4E"/>
    <w:rsid w:val="038C2295"/>
    <w:rsid w:val="039361FE"/>
    <w:rsid w:val="03995CC5"/>
    <w:rsid w:val="03A32C74"/>
    <w:rsid w:val="03C10B63"/>
    <w:rsid w:val="03CB5B51"/>
    <w:rsid w:val="03EA7B21"/>
    <w:rsid w:val="03EE1887"/>
    <w:rsid w:val="04165260"/>
    <w:rsid w:val="04167A6D"/>
    <w:rsid w:val="045934F9"/>
    <w:rsid w:val="046836D8"/>
    <w:rsid w:val="04770F00"/>
    <w:rsid w:val="04791C36"/>
    <w:rsid w:val="047E27E7"/>
    <w:rsid w:val="048605CC"/>
    <w:rsid w:val="04997F4A"/>
    <w:rsid w:val="04B23AC4"/>
    <w:rsid w:val="04B53EE0"/>
    <w:rsid w:val="04FC1861"/>
    <w:rsid w:val="050A35C0"/>
    <w:rsid w:val="055B7357"/>
    <w:rsid w:val="057271A5"/>
    <w:rsid w:val="05AB180C"/>
    <w:rsid w:val="05C612F0"/>
    <w:rsid w:val="05C76E63"/>
    <w:rsid w:val="05D167F7"/>
    <w:rsid w:val="05F72083"/>
    <w:rsid w:val="05F83EAE"/>
    <w:rsid w:val="05FB570D"/>
    <w:rsid w:val="06052782"/>
    <w:rsid w:val="06245C07"/>
    <w:rsid w:val="063E7D85"/>
    <w:rsid w:val="06677F89"/>
    <w:rsid w:val="068B5B48"/>
    <w:rsid w:val="069B62C8"/>
    <w:rsid w:val="06B0480E"/>
    <w:rsid w:val="06E2324F"/>
    <w:rsid w:val="06E85327"/>
    <w:rsid w:val="06EF7070"/>
    <w:rsid w:val="06F5592A"/>
    <w:rsid w:val="070C2D7D"/>
    <w:rsid w:val="0727452F"/>
    <w:rsid w:val="07293586"/>
    <w:rsid w:val="07295285"/>
    <w:rsid w:val="073323CB"/>
    <w:rsid w:val="075E376E"/>
    <w:rsid w:val="0760110E"/>
    <w:rsid w:val="07636392"/>
    <w:rsid w:val="0766373B"/>
    <w:rsid w:val="07770C56"/>
    <w:rsid w:val="0787642A"/>
    <w:rsid w:val="07907F8B"/>
    <w:rsid w:val="079B170E"/>
    <w:rsid w:val="079C1D08"/>
    <w:rsid w:val="079C7757"/>
    <w:rsid w:val="07B20BE3"/>
    <w:rsid w:val="07D0719F"/>
    <w:rsid w:val="07D43A8A"/>
    <w:rsid w:val="07DB0FF4"/>
    <w:rsid w:val="07E21834"/>
    <w:rsid w:val="07E5241D"/>
    <w:rsid w:val="07E639A6"/>
    <w:rsid w:val="07F7082A"/>
    <w:rsid w:val="07F94BF6"/>
    <w:rsid w:val="080B6257"/>
    <w:rsid w:val="08143DCD"/>
    <w:rsid w:val="082C7B96"/>
    <w:rsid w:val="08435C4C"/>
    <w:rsid w:val="08493425"/>
    <w:rsid w:val="085D7896"/>
    <w:rsid w:val="08770377"/>
    <w:rsid w:val="0882554E"/>
    <w:rsid w:val="08862F71"/>
    <w:rsid w:val="08957749"/>
    <w:rsid w:val="089719E6"/>
    <w:rsid w:val="08B06D86"/>
    <w:rsid w:val="08D631A4"/>
    <w:rsid w:val="08FB18B8"/>
    <w:rsid w:val="09037186"/>
    <w:rsid w:val="091E1C0A"/>
    <w:rsid w:val="09217610"/>
    <w:rsid w:val="092217DD"/>
    <w:rsid w:val="09286575"/>
    <w:rsid w:val="09307765"/>
    <w:rsid w:val="093A7294"/>
    <w:rsid w:val="095F3750"/>
    <w:rsid w:val="09631646"/>
    <w:rsid w:val="09867413"/>
    <w:rsid w:val="09900ABF"/>
    <w:rsid w:val="099735A4"/>
    <w:rsid w:val="09981D2E"/>
    <w:rsid w:val="09AF70F9"/>
    <w:rsid w:val="09B276C0"/>
    <w:rsid w:val="09B55B26"/>
    <w:rsid w:val="09B963C8"/>
    <w:rsid w:val="09E5607F"/>
    <w:rsid w:val="09F8343A"/>
    <w:rsid w:val="09FC1665"/>
    <w:rsid w:val="0A263993"/>
    <w:rsid w:val="0A2D3AC2"/>
    <w:rsid w:val="0A334D52"/>
    <w:rsid w:val="0A3E66B8"/>
    <w:rsid w:val="0A476F99"/>
    <w:rsid w:val="0A486F79"/>
    <w:rsid w:val="0A7D64AA"/>
    <w:rsid w:val="0A8F7211"/>
    <w:rsid w:val="0AA755DF"/>
    <w:rsid w:val="0ABE34CE"/>
    <w:rsid w:val="0AC87359"/>
    <w:rsid w:val="0AD669AB"/>
    <w:rsid w:val="0AF53EF4"/>
    <w:rsid w:val="0AF75FDC"/>
    <w:rsid w:val="0B085332"/>
    <w:rsid w:val="0B107217"/>
    <w:rsid w:val="0B120D44"/>
    <w:rsid w:val="0B260413"/>
    <w:rsid w:val="0B382B23"/>
    <w:rsid w:val="0B6751E5"/>
    <w:rsid w:val="0B883378"/>
    <w:rsid w:val="0B9734C2"/>
    <w:rsid w:val="0BA63302"/>
    <w:rsid w:val="0BD27BF6"/>
    <w:rsid w:val="0BF027B4"/>
    <w:rsid w:val="0C0B2554"/>
    <w:rsid w:val="0C29416E"/>
    <w:rsid w:val="0C2B4911"/>
    <w:rsid w:val="0C340F82"/>
    <w:rsid w:val="0C3B3C7D"/>
    <w:rsid w:val="0C4764E6"/>
    <w:rsid w:val="0C5A0AB3"/>
    <w:rsid w:val="0C630276"/>
    <w:rsid w:val="0C807EE9"/>
    <w:rsid w:val="0C91768A"/>
    <w:rsid w:val="0CA14565"/>
    <w:rsid w:val="0CAB2EAE"/>
    <w:rsid w:val="0CAD3863"/>
    <w:rsid w:val="0CB8482C"/>
    <w:rsid w:val="0CCD48BE"/>
    <w:rsid w:val="0CD345CA"/>
    <w:rsid w:val="0CE64EB5"/>
    <w:rsid w:val="0CEE2BDC"/>
    <w:rsid w:val="0CF22516"/>
    <w:rsid w:val="0CF67653"/>
    <w:rsid w:val="0D1E225D"/>
    <w:rsid w:val="0D362884"/>
    <w:rsid w:val="0D4930A8"/>
    <w:rsid w:val="0D507F33"/>
    <w:rsid w:val="0D527E50"/>
    <w:rsid w:val="0D5A4F71"/>
    <w:rsid w:val="0D621C7D"/>
    <w:rsid w:val="0D6822D3"/>
    <w:rsid w:val="0D7130C2"/>
    <w:rsid w:val="0D7A2008"/>
    <w:rsid w:val="0D8E4130"/>
    <w:rsid w:val="0D972A18"/>
    <w:rsid w:val="0D9845D6"/>
    <w:rsid w:val="0DAC5F22"/>
    <w:rsid w:val="0DC13BAD"/>
    <w:rsid w:val="0DE51A0E"/>
    <w:rsid w:val="0DE9285E"/>
    <w:rsid w:val="0DF024A6"/>
    <w:rsid w:val="0E127CD8"/>
    <w:rsid w:val="0E394B85"/>
    <w:rsid w:val="0E3B5539"/>
    <w:rsid w:val="0E4E436D"/>
    <w:rsid w:val="0E5D3BF7"/>
    <w:rsid w:val="0E73034D"/>
    <w:rsid w:val="0E7530A0"/>
    <w:rsid w:val="0EA54F75"/>
    <w:rsid w:val="0EBA4ABC"/>
    <w:rsid w:val="0EBA4EF1"/>
    <w:rsid w:val="0ECF1D06"/>
    <w:rsid w:val="0EDA690C"/>
    <w:rsid w:val="0EDB1BD5"/>
    <w:rsid w:val="0EE65C3C"/>
    <w:rsid w:val="0EEF5A0F"/>
    <w:rsid w:val="0EF63287"/>
    <w:rsid w:val="0EFF23F4"/>
    <w:rsid w:val="0F13775A"/>
    <w:rsid w:val="0F15397B"/>
    <w:rsid w:val="0F281C95"/>
    <w:rsid w:val="0F395FE0"/>
    <w:rsid w:val="0F3F06B4"/>
    <w:rsid w:val="0F4D0B0E"/>
    <w:rsid w:val="0F551BE0"/>
    <w:rsid w:val="0F5C11BB"/>
    <w:rsid w:val="0F5F45FE"/>
    <w:rsid w:val="0F617775"/>
    <w:rsid w:val="0F6A2095"/>
    <w:rsid w:val="0F6F1280"/>
    <w:rsid w:val="0F9869F1"/>
    <w:rsid w:val="0F991F1D"/>
    <w:rsid w:val="0F9A112B"/>
    <w:rsid w:val="0FA00118"/>
    <w:rsid w:val="0FAF4C20"/>
    <w:rsid w:val="0FB052DC"/>
    <w:rsid w:val="0FB5341C"/>
    <w:rsid w:val="0FB669CF"/>
    <w:rsid w:val="0FE253EC"/>
    <w:rsid w:val="0FFA294B"/>
    <w:rsid w:val="0FFA6644"/>
    <w:rsid w:val="0FFD2352"/>
    <w:rsid w:val="10463919"/>
    <w:rsid w:val="106D2F64"/>
    <w:rsid w:val="107A39CA"/>
    <w:rsid w:val="10912372"/>
    <w:rsid w:val="10A44F58"/>
    <w:rsid w:val="10A83678"/>
    <w:rsid w:val="10AF2FCC"/>
    <w:rsid w:val="10B63710"/>
    <w:rsid w:val="10F10820"/>
    <w:rsid w:val="11065E72"/>
    <w:rsid w:val="111C2F7A"/>
    <w:rsid w:val="113E5D8A"/>
    <w:rsid w:val="114256E4"/>
    <w:rsid w:val="1159243F"/>
    <w:rsid w:val="11665CA1"/>
    <w:rsid w:val="117B04AB"/>
    <w:rsid w:val="11847103"/>
    <w:rsid w:val="11A31273"/>
    <w:rsid w:val="11B7128C"/>
    <w:rsid w:val="11D6597B"/>
    <w:rsid w:val="11DB7B83"/>
    <w:rsid w:val="11FB295F"/>
    <w:rsid w:val="11FB32C5"/>
    <w:rsid w:val="120174E4"/>
    <w:rsid w:val="12122DCA"/>
    <w:rsid w:val="12426CD3"/>
    <w:rsid w:val="128A7DFE"/>
    <w:rsid w:val="12961004"/>
    <w:rsid w:val="12B045AA"/>
    <w:rsid w:val="12B448E9"/>
    <w:rsid w:val="12C50511"/>
    <w:rsid w:val="12CB627E"/>
    <w:rsid w:val="12E775C2"/>
    <w:rsid w:val="12FB522B"/>
    <w:rsid w:val="1305584C"/>
    <w:rsid w:val="130E597E"/>
    <w:rsid w:val="13116CCB"/>
    <w:rsid w:val="1320729F"/>
    <w:rsid w:val="13421B62"/>
    <w:rsid w:val="13484F11"/>
    <w:rsid w:val="135906C0"/>
    <w:rsid w:val="13647065"/>
    <w:rsid w:val="13652A02"/>
    <w:rsid w:val="136C7B5E"/>
    <w:rsid w:val="136C7B89"/>
    <w:rsid w:val="13712887"/>
    <w:rsid w:val="13876697"/>
    <w:rsid w:val="13951726"/>
    <w:rsid w:val="13C57EF6"/>
    <w:rsid w:val="14190A8D"/>
    <w:rsid w:val="141D069C"/>
    <w:rsid w:val="14256764"/>
    <w:rsid w:val="14342843"/>
    <w:rsid w:val="143867C0"/>
    <w:rsid w:val="14396509"/>
    <w:rsid w:val="14684678"/>
    <w:rsid w:val="14DD2C3C"/>
    <w:rsid w:val="14E626FA"/>
    <w:rsid w:val="150D619F"/>
    <w:rsid w:val="151636E7"/>
    <w:rsid w:val="15171024"/>
    <w:rsid w:val="151D7326"/>
    <w:rsid w:val="152B5190"/>
    <w:rsid w:val="15663828"/>
    <w:rsid w:val="159F5A87"/>
    <w:rsid w:val="15B7706A"/>
    <w:rsid w:val="15C07144"/>
    <w:rsid w:val="15E32A0D"/>
    <w:rsid w:val="15F50000"/>
    <w:rsid w:val="15FD6946"/>
    <w:rsid w:val="16087E1D"/>
    <w:rsid w:val="161676CB"/>
    <w:rsid w:val="166C3AAE"/>
    <w:rsid w:val="16962CD8"/>
    <w:rsid w:val="16CF7DC2"/>
    <w:rsid w:val="16E24258"/>
    <w:rsid w:val="16E2649F"/>
    <w:rsid w:val="17321712"/>
    <w:rsid w:val="17461375"/>
    <w:rsid w:val="1760362D"/>
    <w:rsid w:val="17610A71"/>
    <w:rsid w:val="176307A8"/>
    <w:rsid w:val="17701D14"/>
    <w:rsid w:val="17735226"/>
    <w:rsid w:val="178018E5"/>
    <w:rsid w:val="178930BF"/>
    <w:rsid w:val="17B27224"/>
    <w:rsid w:val="17B626F1"/>
    <w:rsid w:val="17BF3095"/>
    <w:rsid w:val="17CF732B"/>
    <w:rsid w:val="18154D6D"/>
    <w:rsid w:val="18272BE6"/>
    <w:rsid w:val="183B7471"/>
    <w:rsid w:val="186B356A"/>
    <w:rsid w:val="186F3E2E"/>
    <w:rsid w:val="189907E7"/>
    <w:rsid w:val="189F624C"/>
    <w:rsid w:val="18B64561"/>
    <w:rsid w:val="18C113E0"/>
    <w:rsid w:val="18D96459"/>
    <w:rsid w:val="18DC6052"/>
    <w:rsid w:val="18F91A97"/>
    <w:rsid w:val="18F954DF"/>
    <w:rsid w:val="191C6763"/>
    <w:rsid w:val="192D0A72"/>
    <w:rsid w:val="194019A1"/>
    <w:rsid w:val="195A0080"/>
    <w:rsid w:val="19726709"/>
    <w:rsid w:val="197968DE"/>
    <w:rsid w:val="198276A4"/>
    <w:rsid w:val="199D645A"/>
    <w:rsid w:val="19C4033B"/>
    <w:rsid w:val="19E34FE2"/>
    <w:rsid w:val="19E3664D"/>
    <w:rsid w:val="19EC6B5B"/>
    <w:rsid w:val="19F27C01"/>
    <w:rsid w:val="1A0512E6"/>
    <w:rsid w:val="1A1C66C0"/>
    <w:rsid w:val="1A252456"/>
    <w:rsid w:val="1A42393B"/>
    <w:rsid w:val="1A456DFB"/>
    <w:rsid w:val="1A465410"/>
    <w:rsid w:val="1A4E6105"/>
    <w:rsid w:val="1A567856"/>
    <w:rsid w:val="1A6234AD"/>
    <w:rsid w:val="1A78057A"/>
    <w:rsid w:val="1A7A2809"/>
    <w:rsid w:val="1A7E5276"/>
    <w:rsid w:val="1AAD45DE"/>
    <w:rsid w:val="1AE40779"/>
    <w:rsid w:val="1AE80668"/>
    <w:rsid w:val="1B046F80"/>
    <w:rsid w:val="1B14752F"/>
    <w:rsid w:val="1B324215"/>
    <w:rsid w:val="1B3267B5"/>
    <w:rsid w:val="1B40161D"/>
    <w:rsid w:val="1B43291B"/>
    <w:rsid w:val="1B441859"/>
    <w:rsid w:val="1B4A3CA9"/>
    <w:rsid w:val="1B4B64D7"/>
    <w:rsid w:val="1B4F0E99"/>
    <w:rsid w:val="1B5C3338"/>
    <w:rsid w:val="1B5F41E3"/>
    <w:rsid w:val="1B6606B1"/>
    <w:rsid w:val="1B7900C4"/>
    <w:rsid w:val="1B844E2E"/>
    <w:rsid w:val="1B9425F2"/>
    <w:rsid w:val="1B9A4E50"/>
    <w:rsid w:val="1BA466E9"/>
    <w:rsid w:val="1BB81FA2"/>
    <w:rsid w:val="1BC41AAB"/>
    <w:rsid w:val="1C21681B"/>
    <w:rsid w:val="1C2F7CCA"/>
    <w:rsid w:val="1C5E7925"/>
    <w:rsid w:val="1C694EE6"/>
    <w:rsid w:val="1CA52083"/>
    <w:rsid w:val="1CA82AF5"/>
    <w:rsid w:val="1CAB5440"/>
    <w:rsid w:val="1CC706DD"/>
    <w:rsid w:val="1CFD070F"/>
    <w:rsid w:val="1D0051A9"/>
    <w:rsid w:val="1D035828"/>
    <w:rsid w:val="1D0360C5"/>
    <w:rsid w:val="1D3B1838"/>
    <w:rsid w:val="1D5F6196"/>
    <w:rsid w:val="1D6132A5"/>
    <w:rsid w:val="1D764AD4"/>
    <w:rsid w:val="1D765755"/>
    <w:rsid w:val="1D865B0F"/>
    <w:rsid w:val="1D8E56D5"/>
    <w:rsid w:val="1DA17DCD"/>
    <w:rsid w:val="1DB5241C"/>
    <w:rsid w:val="1DE83CD1"/>
    <w:rsid w:val="1DE9363F"/>
    <w:rsid w:val="1DF15136"/>
    <w:rsid w:val="1DF37E9A"/>
    <w:rsid w:val="1E124827"/>
    <w:rsid w:val="1E161B82"/>
    <w:rsid w:val="1E200CF1"/>
    <w:rsid w:val="1E3A54C2"/>
    <w:rsid w:val="1E3F6C6A"/>
    <w:rsid w:val="1E6D0059"/>
    <w:rsid w:val="1E7A43DA"/>
    <w:rsid w:val="1E815BDA"/>
    <w:rsid w:val="1E8C2D85"/>
    <w:rsid w:val="1E9149AF"/>
    <w:rsid w:val="1EBA0F6D"/>
    <w:rsid w:val="1EC4327E"/>
    <w:rsid w:val="1EF33ABA"/>
    <w:rsid w:val="1EF91079"/>
    <w:rsid w:val="1EF972B8"/>
    <w:rsid w:val="1F0B1BE0"/>
    <w:rsid w:val="1F4D1A31"/>
    <w:rsid w:val="1F4E4275"/>
    <w:rsid w:val="1F5C4311"/>
    <w:rsid w:val="1F7131F3"/>
    <w:rsid w:val="1F863F67"/>
    <w:rsid w:val="1F880185"/>
    <w:rsid w:val="1F937A06"/>
    <w:rsid w:val="1FBB02C9"/>
    <w:rsid w:val="1FC402DC"/>
    <w:rsid w:val="1FCF1D67"/>
    <w:rsid w:val="1FE21BB2"/>
    <w:rsid w:val="1FE7539E"/>
    <w:rsid w:val="1FF2591C"/>
    <w:rsid w:val="1FF501BF"/>
    <w:rsid w:val="1FF61B1C"/>
    <w:rsid w:val="200E7862"/>
    <w:rsid w:val="20156B08"/>
    <w:rsid w:val="20190FC5"/>
    <w:rsid w:val="20253105"/>
    <w:rsid w:val="20333A71"/>
    <w:rsid w:val="203A3D7D"/>
    <w:rsid w:val="203F778F"/>
    <w:rsid w:val="20507E86"/>
    <w:rsid w:val="20671BE0"/>
    <w:rsid w:val="2070164C"/>
    <w:rsid w:val="209156B6"/>
    <w:rsid w:val="20963CB8"/>
    <w:rsid w:val="20975F41"/>
    <w:rsid w:val="20A00E45"/>
    <w:rsid w:val="20A81A1B"/>
    <w:rsid w:val="20A93200"/>
    <w:rsid w:val="20AE38E1"/>
    <w:rsid w:val="20B07FB6"/>
    <w:rsid w:val="20B56069"/>
    <w:rsid w:val="20B646FB"/>
    <w:rsid w:val="20CE561E"/>
    <w:rsid w:val="20E56FEA"/>
    <w:rsid w:val="20E8731C"/>
    <w:rsid w:val="211238AE"/>
    <w:rsid w:val="212E4AD1"/>
    <w:rsid w:val="213B74B1"/>
    <w:rsid w:val="21406C3C"/>
    <w:rsid w:val="21494A03"/>
    <w:rsid w:val="215A2310"/>
    <w:rsid w:val="217B1E56"/>
    <w:rsid w:val="217C2D66"/>
    <w:rsid w:val="219A7C30"/>
    <w:rsid w:val="21A24B00"/>
    <w:rsid w:val="21AE48E7"/>
    <w:rsid w:val="21AF1AE1"/>
    <w:rsid w:val="21AF66EB"/>
    <w:rsid w:val="21BF2833"/>
    <w:rsid w:val="21DE318A"/>
    <w:rsid w:val="21E717C4"/>
    <w:rsid w:val="21EF5B80"/>
    <w:rsid w:val="21F26E49"/>
    <w:rsid w:val="21F31B7F"/>
    <w:rsid w:val="22114FBF"/>
    <w:rsid w:val="2213454C"/>
    <w:rsid w:val="22190571"/>
    <w:rsid w:val="22270151"/>
    <w:rsid w:val="223015DC"/>
    <w:rsid w:val="22316207"/>
    <w:rsid w:val="22335004"/>
    <w:rsid w:val="22576990"/>
    <w:rsid w:val="2260071B"/>
    <w:rsid w:val="22871675"/>
    <w:rsid w:val="22A36D77"/>
    <w:rsid w:val="22A5462F"/>
    <w:rsid w:val="22C503C4"/>
    <w:rsid w:val="22D749B8"/>
    <w:rsid w:val="22E117C7"/>
    <w:rsid w:val="22E67422"/>
    <w:rsid w:val="22ED00DE"/>
    <w:rsid w:val="22F47480"/>
    <w:rsid w:val="23025D2C"/>
    <w:rsid w:val="23291DBE"/>
    <w:rsid w:val="23472163"/>
    <w:rsid w:val="236E2EB7"/>
    <w:rsid w:val="23862BCD"/>
    <w:rsid w:val="23D244B7"/>
    <w:rsid w:val="23DE1C48"/>
    <w:rsid w:val="23EC636F"/>
    <w:rsid w:val="23EC6CBB"/>
    <w:rsid w:val="240210CD"/>
    <w:rsid w:val="240D37BF"/>
    <w:rsid w:val="2412119B"/>
    <w:rsid w:val="24131121"/>
    <w:rsid w:val="241D36B6"/>
    <w:rsid w:val="242D370F"/>
    <w:rsid w:val="24654CCF"/>
    <w:rsid w:val="247D1854"/>
    <w:rsid w:val="249924F6"/>
    <w:rsid w:val="24BF09F7"/>
    <w:rsid w:val="24C917E9"/>
    <w:rsid w:val="24F74046"/>
    <w:rsid w:val="25221498"/>
    <w:rsid w:val="252D53FE"/>
    <w:rsid w:val="25326FA1"/>
    <w:rsid w:val="253E37A4"/>
    <w:rsid w:val="255060B4"/>
    <w:rsid w:val="25506A36"/>
    <w:rsid w:val="255E22F3"/>
    <w:rsid w:val="256A4C08"/>
    <w:rsid w:val="258F5E2F"/>
    <w:rsid w:val="259F0334"/>
    <w:rsid w:val="25A02159"/>
    <w:rsid w:val="25A23A44"/>
    <w:rsid w:val="25A3454D"/>
    <w:rsid w:val="25BF7069"/>
    <w:rsid w:val="25C27C97"/>
    <w:rsid w:val="25CE6CF7"/>
    <w:rsid w:val="25CF01B4"/>
    <w:rsid w:val="25EC2D81"/>
    <w:rsid w:val="25F216C6"/>
    <w:rsid w:val="25F67769"/>
    <w:rsid w:val="25F92E42"/>
    <w:rsid w:val="260D2EB0"/>
    <w:rsid w:val="26274A16"/>
    <w:rsid w:val="264568D7"/>
    <w:rsid w:val="26631B86"/>
    <w:rsid w:val="266F5218"/>
    <w:rsid w:val="267756B1"/>
    <w:rsid w:val="267F7975"/>
    <w:rsid w:val="26914D5A"/>
    <w:rsid w:val="26916258"/>
    <w:rsid w:val="26A5680D"/>
    <w:rsid w:val="26CF2F14"/>
    <w:rsid w:val="26E54CE4"/>
    <w:rsid w:val="26F278B9"/>
    <w:rsid w:val="27073417"/>
    <w:rsid w:val="271000E2"/>
    <w:rsid w:val="273427D2"/>
    <w:rsid w:val="273B7651"/>
    <w:rsid w:val="274E2D73"/>
    <w:rsid w:val="276415E7"/>
    <w:rsid w:val="277057A2"/>
    <w:rsid w:val="27773D69"/>
    <w:rsid w:val="278172CC"/>
    <w:rsid w:val="279063D9"/>
    <w:rsid w:val="27A56EAF"/>
    <w:rsid w:val="27C95242"/>
    <w:rsid w:val="27E90C00"/>
    <w:rsid w:val="27F21693"/>
    <w:rsid w:val="27F570B1"/>
    <w:rsid w:val="2800563E"/>
    <w:rsid w:val="280F3563"/>
    <w:rsid w:val="282F6147"/>
    <w:rsid w:val="28312F54"/>
    <w:rsid w:val="28363F6A"/>
    <w:rsid w:val="28496FAF"/>
    <w:rsid w:val="285B7126"/>
    <w:rsid w:val="288A3CBF"/>
    <w:rsid w:val="288E640E"/>
    <w:rsid w:val="28921CF7"/>
    <w:rsid w:val="289456CC"/>
    <w:rsid w:val="289B10B9"/>
    <w:rsid w:val="28A932BE"/>
    <w:rsid w:val="28CA0C19"/>
    <w:rsid w:val="28EC39A2"/>
    <w:rsid w:val="28EE7233"/>
    <w:rsid w:val="28F31570"/>
    <w:rsid w:val="28FD6C0F"/>
    <w:rsid w:val="290152E9"/>
    <w:rsid w:val="29206EB8"/>
    <w:rsid w:val="29287F20"/>
    <w:rsid w:val="29462F35"/>
    <w:rsid w:val="294B48BC"/>
    <w:rsid w:val="29504D91"/>
    <w:rsid w:val="29595666"/>
    <w:rsid w:val="296B5F2B"/>
    <w:rsid w:val="29722EE8"/>
    <w:rsid w:val="29874881"/>
    <w:rsid w:val="29927D26"/>
    <w:rsid w:val="299C0504"/>
    <w:rsid w:val="29B80971"/>
    <w:rsid w:val="29C87971"/>
    <w:rsid w:val="29E325E0"/>
    <w:rsid w:val="2A062286"/>
    <w:rsid w:val="2A0A6651"/>
    <w:rsid w:val="2A0F0DD9"/>
    <w:rsid w:val="2A175B57"/>
    <w:rsid w:val="2A3616EE"/>
    <w:rsid w:val="2A452503"/>
    <w:rsid w:val="2A5046DE"/>
    <w:rsid w:val="2A5A1250"/>
    <w:rsid w:val="2A5E0819"/>
    <w:rsid w:val="2A7476AD"/>
    <w:rsid w:val="2AB92391"/>
    <w:rsid w:val="2AC648CF"/>
    <w:rsid w:val="2AC77606"/>
    <w:rsid w:val="2AD4611F"/>
    <w:rsid w:val="2ADE3A69"/>
    <w:rsid w:val="2AEB7023"/>
    <w:rsid w:val="2AEE03E1"/>
    <w:rsid w:val="2AEF402C"/>
    <w:rsid w:val="2B225799"/>
    <w:rsid w:val="2B243639"/>
    <w:rsid w:val="2B2439E1"/>
    <w:rsid w:val="2B2B2C32"/>
    <w:rsid w:val="2B4B467B"/>
    <w:rsid w:val="2B694288"/>
    <w:rsid w:val="2B834E7A"/>
    <w:rsid w:val="2B95313A"/>
    <w:rsid w:val="2B9F34CC"/>
    <w:rsid w:val="2BA936A8"/>
    <w:rsid w:val="2BC01D66"/>
    <w:rsid w:val="2BC204E3"/>
    <w:rsid w:val="2BD70D9F"/>
    <w:rsid w:val="2BFE3F41"/>
    <w:rsid w:val="2C003900"/>
    <w:rsid w:val="2C136339"/>
    <w:rsid w:val="2C1F70CC"/>
    <w:rsid w:val="2C2A3696"/>
    <w:rsid w:val="2C2B3683"/>
    <w:rsid w:val="2C315A5A"/>
    <w:rsid w:val="2C3C145B"/>
    <w:rsid w:val="2C482CB4"/>
    <w:rsid w:val="2C4B1C25"/>
    <w:rsid w:val="2C6072A7"/>
    <w:rsid w:val="2C6C0B30"/>
    <w:rsid w:val="2C776759"/>
    <w:rsid w:val="2C8452B2"/>
    <w:rsid w:val="2C95687C"/>
    <w:rsid w:val="2C971174"/>
    <w:rsid w:val="2CA45084"/>
    <w:rsid w:val="2CAC5231"/>
    <w:rsid w:val="2CB97A84"/>
    <w:rsid w:val="2CC2188C"/>
    <w:rsid w:val="2CC47634"/>
    <w:rsid w:val="2CC84088"/>
    <w:rsid w:val="2CFE1CA2"/>
    <w:rsid w:val="2D182E86"/>
    <w:rsid w:val="2D39777D"/>
    <w:rsid w:val="2D4F32AC"/>
    <w:rsid w:val="2D7352E2"/>
    <w:rsid w:val="2D9C7338"/>
    <w:rsid w:val="2D9E56F5"/>
    <w:rsid w:val="2DE0224B"/>
    <w:rsid w:val="2DE24C5F"/>
    <w:rsid w:val="2DEC6482"/>
    <w:rsid w:val="2DF353CB"/>
    <w:rsid w:val="2DFE1A8B"/>
    <w:rsid w:val="2E044550"/>
    <w:rsid w:val="2E1400D1"/>
    <w:rsid w:val="2E281965"/>
    <w:rsid w:val="2E2A34C6"/>
    <w:rsid w:val="2E432785"/>
    <w:rsid w:val="2E4517E4"/>
    <w:rsid w:val="2E4E47C7"/>
    <w:rsid w:val="2E4E5407"/>
    <w:rsid w:val="2E5B0BFF"/>
    <w:rsid w:val="2E667F96"/>
    <w:rsid w:val="2E8226AB"/>
    <w:rsid w:val="2E8B3466"/>
    <w:rsid w:val="2E946896"/>
    <w:rsid w:val="2EBA0349"/>
    <w:rsid w:val="2EC3296D"/>
    <w:rsid w:val="2EC66A80"/>
    <w:rsid w:val="2ED82369"/>
    <w:rsid w:val="2EE35E3E"/>
    <w:rsid w:val="2F0D4DBD"/>
    <w:rsid w:val="2F162D1A"/>
    <w:rsid w:val="2F255AA4"/>
    <w:rsid w:val="2F3C0F0B"/>
    <w:rsid w:val="2F4E3057"/>
    <w:rsid w:val="2F5E6A52"/>
    <w:rsid w:val="2F6B2B9A"/>
    <w:rsid w:val="2FD065E6"/>
    <w:rsid w:val="2FD96870"/>
    <w:rsid w:val="2FDF0DC2"/>
    <w:rsid w:val="2FFD48B7"/>
    <w:rsid w:val="301372E5"/>
    <w:rsid w:val="30377DEA"/>
    <w:rsid w:val="30401A9A"/>
    <w:rsid w:val="30580BC9"/>
    <w:rsid w:val="3079430C"/>
    <w:rsid w:val="30934411"/>
    <w:rsid w:val="30A209A9"/>
    <w:rsid w:val="30A45AD9"/>
    <w:rsid w:val="30AE3217"/>
    <w:rsid w:val="30BA6D84"/>
    <w:rsid w:val="310158B2"/>
    <w:rsid w:val="3103493B"/>
    <w:rsid w:val="310F7045"/>
    <w:rsid w:val="311E2ED7"/>
    <w:rsid w:val="31471A94"/>
    <w:rsid w:val="315619EE"/>
    <w:rsid w:val="315C449C"/>
    <w:rsid w:val="317B4449"/>
    <w:rsid w:val="317D08AE"/>
    <w:rsid w:val="317D1C6F"/>
    <w:rsid w:val="31822185"/>
    <w:rsid w:val="31B82709"/>
    <w:rsid w:val="31C66900"/>
    <w:rsid w:val="31D05482"/>
    <w:rsid w:val="31E67075"/>
    <w:rsid w:val="31FA32AE"/>
    <w:rsid w:val="3211410D"/>
    <w:rsid w:val="3224677E"/>
    <w:rsid w:val="32285F4B"/>
    <w:rsid w:val="3230372C"/>
    <w:rsid w:val="32400B34"/>
    <w:rsid w:val="324C79CC"/>
    <w:rsid w:val="32594B92"/>
    <w:rsid w:val="32607DFF"/>
    <w:rsid w:val="327A1D85"/>
    <w:rsid w:val="32850F45"/>
    <w:rsid w:val="328D3A1C"/>
    <w:rsid w:val="329E6876"/>
    <w:rsid w:val="32A44F78"/>
    <w:rsid w:val="32D16E1F"/>
    <w:rsid w:val="32EA14CE"/>
    <w:rsid w:val="332C459A"/>
    <w:rsid w:val="333015F2"/>
    <w:rsid w:val="333C5345"/>
    <w:rsid w:val="334B6320"/>
    <w:rsid w:val="336A4CCD"/>
    <w:rsid w:val="33AC306A"/>
    <w:rsid w:val="33C31353"/>
    <w:rsid w:val="33D934D4"/>
    <w:rsid w:val="33F04A13"/>
    <w:rsid w:val="33FE2F6A"/>
    <w:rsid w:val="33FF7F86"/>
    <w:rsid w:val="340E07E5"/>
    <w:rsid w:val="34235BF7"/>
    <w:rsid w:val="34397939"/>
    <w:rsid w:val="3478510A"/>
    <w:rsid w:val="347D25A2"/>
    <w:rsid w:val="34827818"/>
    <w:rsid w:val="34844A86"/>
    <w:rsid w:val="34865262"/>
    <w:rsid w:val="34A70315"/>
    <w:rsid w:val="34AB3D89"/>
    <w:rsid w:val="34B35AF7"/>
    <w:rsid w:val="34C97848"/>
    <w:rsid w:val="34E22876"/>
    <w:rsid w:val="34F82570"/>
    <w:rsid w:val="350D2ED5"/>
    <w:rsid w:val="35195387"/>
    <w:rsid w:val="352344CE"/>
    <w:rsid w:val="3523550D"/>
    <w:rsid w:val="35643DE4"/>
    <w:rsid w:val="358C596F"/>
    <w:rsid w:val="358C5FA8"/>
    <w:rsid w:val="359D6B91"/>
    <w:rsid w:val="35C15DF1"/>
    <w:rsid w:val="35DC32B7"/>
    <w:rsid w:val="35DF5558"/>
    <w:rsid w:val="360218D3"/>
    <w:rsid w:val="36074A7F"/>
    <w:rsid w:val="36563752"/>
    <w:rsid w:val="365B5AC1"/>
    <w:rsid w:val="368C7195"/>
    <w:rsid w:val="368F480F"/>
    <w:rsid w:val="36923549"/>
    <w:rsid w:val="36A94779"/>
    <w:rsid w:val="36B139E7"/>
    <w:rsid w:val="36B75FBF"/>
    <w:rsid w:val="36BD0C45"/>
    <w:rsid w:val="36DD4C6F"/>
    <w:rsid w:val="36E17049"/>
    <w:rsid w:val="36EC42ED"/>
    <w:rsid w:val="36FB7D0A"/>
    <w:rsid w:val="37236549"/>
    <w:rsid w:val="37337890"/>
    <w:rsid w:val="37372126"/>
    <w:rsid w:val="37501E57"/>
    <w:rsid w:val="37660DC4"/>
    <w:rsid w:val="37750A87"/>
    <w:rsid w:val="378A11EF"/>
    <w:rsid w:val="378B233A"/>
    <w:rsid w:val="379E084F"/>
    <w:rsid w:val="37A46BB6"/>
    <w:rsid w:val="37B019D2"/>
    <w:rsid w:val="37C3114A"/>
    <w:rsid w:val="37D04C1A"/>
    <w:rsid w:val="37E00298"/>
    <w:rsid w:val="37E64610"/>
    <w:rsid w:val="37F45D05"/>
    <w:rsid w:val="37F9231C"/>
    <w:rsid w:val="38060C14"/>
    <w:rsid w:val="38076AB9"/>
    <w:rsid w:val="38110F5E"/>
    <w:rsid w:val="381C5A40"/>
    <w:rsid w:val="3856605D"/>
    <w:rsid w:val="385C0C16"/>
    <w:rsid w:val="38615646"/>
    <w:rsid w:val="3864647B"/>
    <w:rsid w:val="38736B9E"/>
    <w:rsid w:val="38880D7C"/>
    <w:rsid w:val="38A90B08"/>
    <w:rsid w:val="38B10ECC"/>
    <w:rsid w:val="38B302F9"/>
    <w:rsid w:val="38B83089"/>
    <w:rsid w:val="38EC7DA7"/>
    <w:rsid w:val="38F12CD3"/>
    <w:rsid w:val="38F42B4D"/>
    <w:rsid w:val="38F94775"/>
    <w:rsid w:val="39160612"/>
    <w:rsid w:val="392971ED"/>
    <w:rsid w:val="3931255F"/>
    <w:rsid w:val="39325651"/>
    <w:rsid w:val="393E223C"/>
    <w:rsid w:val="394938BF"/>
    <w:rsid w:val="39557526"/>
    <w:rsid w:val="395648C6"/>
    <w:rsid w:val="39884144"/>
    <w:rsid w:val="39A769EB"/>
    <w:rsid w:val="39B12670"/>
    <w:rsid w:val="39B12CEE"/>
    <w:rsid w:val="39BA671B"/>
    <w:rsid w:val="39CD0222"/>
    <w:rsid w:val="39DE1F09"/>
    <w:rsid w:val="39E1030A"/>
    <w:rsid w:val="39E46202"/>
    <w:rsid w:val="39E510D4"/>
    <w:rsid w:val="39F8094E"/>
    <w:rsid w:val="39F94792"/>
    <w:rsid w:val="3A053765"/>
    <w:rsid w:val="3A127637"/>
    <w:rsid w:val="3A2322A9"/>
    <w:rsid w:val="3A280AB1"/>
    <w:rsid w:val="3A6F3549"/>
    <w:rsid w:val="3A8312FC"/>
    <w:rsid w:val="3A8353B7"/>
    <w:rsid w:val="3A872856"/>
    <w:rsid w:val="3A891CD8"/>
    <w:rsid w:val="3A9A218E"/>
    <w:rsid w:val="3AA6002D"/>
    <w:rsid w:val="3AD365A4"/>
    <w:rsid w:val="3AD41B02"/>
    <w:rsid w:val="3ADA3505"/>
    <w:rsid w:val="3ADA510C"/>
    <w:rsid w:val="3B057795"/>
    <w:rsid w:val="3B076873"/>
    <w:rsid w:val="3B0A582C"/>
    <w:rsid w:val="3B1C0AE9"/>
    <w:rsid w:val="3B286FE0"/>
    <w:rsid w:val="3B3763D1"/>
    <w:rsid w:val="3B5B4F0B"/>
    <w:rsid w:val="3B712735"/>
    <w:rsid w:val="3B870B28"/>
    <w:rsid w:val="3B897146"/>
    <w:rsid w:val="3BA44CB1"/>
    <w:rsid w:val="3BD86E7C"/>
    <w:rsid w:val="3C160BF2"/>
    <w:rsid w:val="3C2B3CB2"/>
    <w:rsid w:val="3C2F6E1E"/>
    <w:rsid w:val="3C3860DE"/>
    <w:rsid w:val="3C4F64BA"/>
    <w:rsid w:val="3C5C6FC8"/>
    <w:rsid w:val="3C5F1505"/>
    <w:rsid w:val="3C64555F"/>
    <w:rsid w:val="3C8F5A57"/>
    <w:rsid w:val="3CCB6E06"/>
    <w:rsid w:val="3CCB79FF"/>
    <w:rsid w:val="3CDA245A"/>
    <w:rsid w:val="3D1E06B7"/>
    <w:rsid w:val="3D386043"/>
    <w:rsid w:val="3D5A0812"/>
    <w:rsid w:val="3D5F77C7"/>
    <w:rsid w:val="3D633F78"/>
    <w:rsid w:val="3D69018D"/>
    <w:rsid w:val="3D6D3F93"/>
    <w:rsid w:val="3D732848"/>
    <w:rsid w:val="3DAC214A"/>
    <w:rsid w:val="3DB06EB4"/>
    <w:rsid w:val="3DC5128B"/>
    <w:rsid w:val="3DDF42CD"/>
    <w:rsid w:val="3DE437A0"/>
    <w:rsid w:val="3DE97F49"/>
    <w:rsid w:val="3DF3569F"/>
    <w:rsid w:val="3E4E0038"/>
    <w:rsid w:val="3E5720B6"/>
    <w:rsid w:val="3E5B3F99"/>
    <w:rsid w:val="3E61077C"/>
    <w:rsid w:val="3E796289"/>
    <w:rsid w:val="3E835EF9"/>
    <w:rsid w:val="3E9F075B"/>
    <w:rsid w:val="3EA971A1"/>
    <w:rsid w:val="3EB55A83"/>
    <w:rsid w:val="3EBA3601"/>
    <w:rsid w:val="3EC155F8"/>
    <w:rsid w:val="3EDA0523"/>
    <w:rsid w:val="3EDB7894"/>
    <w:rsid w:val="3EE944AB"/>
    <w:rsid w:val="3EEA06B5"/>
    <w:rsid w:val="3EEA1734"/>
    <w:rsid w:val="3EF01136"/>
    <w:rsid w:val="3F0967B5"/>
    <w:rsid w:val="3F19380F"/>
    <w:rsid w:val="3F2265A3"/>
    <w:rsid w:val="3F3A04E8"/>
    <w:rsid w:val="3F5020E3"/>
    <w:rsid w:val="3F641061"/>
    <w:rsid w:val="3F6B300C"/>
    <w:rsid w:val="3F6B557B"/>
    <w:rsid w:val="3F6C4DFB"/>
    <w:rsid w:val="3F7D66B7"/>
    <w:rsid w:val="3F9152A9"/>
    <w:rsid w:val="3F985E92"/>
    <w:rsid w:val="3FC65745"/>
    <w:rsid w:val="3FD207BA"/>
    <w:rsid w:val="3FDE4172"/>
    <w:rsid w:val="3FDF1565"/>
    <w:rsid w:val="3FE7675C"/>
    <w:rsid w:val="3FEA7DC9"/>
    <w:rsid w:val="3FF4428C"/>
    <w:rsid w:val="40047CA1"/>
    <w:rsid w:val="400B2B45"/>
    <w:rsid w:val="4023454E"/>
    <w:rsid w:val="403D50C1"/>
    <w:rsid w:val="40460FF4"/>
    <w:rsid w:val="407A6407"/>
    <w:rsid w:val="40A0241C"/>
    <w:rsid w:val="40AE7F87"/>
    <w:rsid w:val="40DB255E"/>
    <w:rsid w:val="40F97488"/>
    <w:rsid w:val="412A2F63"/>
    <w:rsid w:val="413116D0"/>
    <w:rsid w:val="41532072"/>
    <w:rsid w:val="415D7A5C"/>
    <w:rsid w:val="41710369"/>
    <w:rsid w:val="4200449D"/>
    <w:rsid w:val="42164036"/>
    <w:rsid w:val="421E7B1C"/>
    <w:rsid w:val="42322D45"/>
    <w:rsid w:val="423A3BCC"/>
    <w:rsid w:val="423F3886"/>
    <w:rsid w:val="42471491"/>
    <w:rsid w:val="424E57D2"/>
    <w:rsid w:val="424F006C"/>
    <w:rsid w:val="4254772B"/>
    <w:rsid w:val="42731634"/>
    <w:rsid w:val="42862170"/>
    <w:rsid w:val="428F2458"/>
    <w:rsid w:val="429A783B"/>
    <w:rsid w:val="429B051F"/>
    <w:rsid w:val="429F6980"/>
    <w:rsid w:val="42A95D5C"/>
    <w:rsid w:val="42B26C49"/>
    <w:rsid w:val="42C13A57"/>
    <w:rsid w:val="42C23C33"/>
    <w:rsid w:val="430076D5"/>
    <w:rsid w:val="43054970"/>
    <w:rsid w:val="432E2A4C"/>
    <w:rsid w:val="433A6FE6"/>
    <w:rsid w:val="43480868"/>
    <w:rsid w:val="4350713C"/>
    <w:rsid w:val="4358733A"/>
    <w:rsid w:val="435A1C2B"/>
    <w:rsid w:val="435D6B68"/>
    <w:rsid w:val="436653E0"/>
    <w:rsid w:val="436D1551"/>
    <w:rsid w:val="437B50A2"/>
    <w:rsid w:val="43C4431A"/>
    <w:rsid w:val="43FB02BB"/>
    <w:rsid w:val="440A40AD"/>
    <w:rsid w:val="440E10EE"/>
    <w:rsid w:val="442517E5"/>
    <w:rsid w:val="44456A3A"/>
    <w:rsid w:val="44482219"/>
    <w:rsid w:val="44621013"/>
    <w:rsid w:val="44741441"/>
    <w:rsid w:val="44820F81"/>
    <w:rsid w:val="44852DE3"/>
    <w:rsid w:val="448A60FB"/>
    <w:rsid w:val="44A5311C"/>
    <w:rsid w:val="44B32010"/>
    <w:rsid w:val="44B951CC"/>
    <w:rsid w:val="44CD14E0"/>
    <w:rsid w:val="44F20B0B"/>
    <w:rsid w:val="45067A2F"/>
    <w:rsid w:val="450D5C79"/>
    <w:rsid w:val="451900CC"/>
    <w:rsid w:val="451A268B"/>
    <w:rsid w:val="452E5F4C"/>
    <w:rsid w:val="452E5F85"/>
    <w:rsid w:val="45612018"/>
    <w:rsid w:val="458946E9"/>
    <w:rsid w:val="458C5C70"/>
    <w:rsid w:val="458D35C1"/>
    <w:rsid w:val="45942F8D"/>
    <w:rsid w:val="45A47C0E"/>
    <w:rsid w:val="45AB5A01"/>
    <w:rsid w:val="45B44292"/>
    <w:rsid w:val="461B406D"/>
    <w:rsid w:val="46376E77"/>
    <w:rsid w:val="464B3C59"/>
    <w:rsid w:val="46563714"/>
    <w:rsid w:val="46577FD6"/>
    <w:rsid w:val="466F036D"/>
    <w:rsid w:val="46932F21"/>
    <w:rsid w:val="46956F0B"/>
    <w:rsid w:val="46957FA5"/>
    <w:rsid w:val="46A253E8"/>
    <w:rsid w:val="46A52574"/>
    <w:rsid w:val="46A90495"/>
    <w:rsid w:val="46B464B1"/>
    <w:rsid w:val="46BD0102"/>
    <w:rsid w:val="46D955A7"/>
    <w:rsid w:val="46E21AD8"/>
    <w:rsid w:val="46ED5B1C"/>
    <w:rsid w:val="46FE60AA"/>
    <w:rsid w:val="47043F11"/>
    <w:rsid w:val="47133957"/>
    <w:rsid w:val="47172657"/>
    <w:rsid w:val="472F0426"/>
    <w:rsid w:val="473D3203"/>
    <w:rsid w:val="474846EE"/>
    <w:rsid w:val="4753261B"/>
    <w:rsid w:val="475E44B5"/>
    <w:rsid w:val="477273B3"/>
    <w:rsid w:val="477C0DDF"/>
    <w:rsid w:val="479726C2"/>
    <w:rsid w:val="47A0709F"/>
    <w:rsid w:val="47A07E0C"/>
    <w:rsid w:val="47AC2DA9"/>
    <w:rsid w:val="47B0305F"/>
    <w:rsid w:val="47CB278C"/>
    <w:rsid w:val="47FD70BB"/>
    <w:rsid w:val="47FF452E"/>
    <w:rsid w:val="481334F1"/>
    <w:rsid w:val="48230AF3"/>
    <w:rsid w:val="48337734"/>
    <w:rsid w:val="4837295C"/>
    <w:rsid w:val="484E4F45"/>
    <w:rsid w:val="486C3A87"/>
    <w:rsid w:val="4870272E"/>
    <w:rsid w:val="4873429A"/>
    <w:rsid w:val="487576D2"/>
    <w:rsid w:val="487810D8"/>
    <w:rsid w:val="488F68F0"/>
    <w:rsid w:val="48985D93"/>
    <w:rsid w:val="48AF72DE"/>
    <w:rsid w:val="48B47702"/>
    <w:rsid w:val="48CE4EF9"/>
    <w:rsid w:val="48D16DF4"/>
    <w:rsid w:val="48F36F68"/>
    <w:rsid w:val="48F81134"/>
    <w:rsid w:val="48FB3E75"/>
    <w:rsid w:val="49036622"/>
    <w:rsid w:val="49120835"/>
    <w:rsid w:val="49482C91"/>
    <w:rsid w:val="49670DBD"/>
    <w:rsid w:val="49B703E4"/>
    <w:rsid w:val="49DC7715"/>
    <w:rsid w:val="49E05427"/>
    <w:rsid w:val="4A023139"/>
    <w:rsid w:val="4A054036"/>
    <w:rsid w:val="4A071C82"/>
    <w:rsid w:val="4A2E487F"/>
    <w:rsid w:val="4A505766"/>
    <w:rsid w:val="4A632CA4"/>
    <w:rsid w:val="4A7264C9"/>
    <w:rsid w:val="4A755175"/>
    <w:rsid w:val="4A7B576F"/>
    <w:rsid w:val="4A7C3C6E"/>
    <w:rsid w:val="4A8C3900"/>
    <w:rsid w:val="4A921F9C"/>
    <w:rsid w:val="4AA415AA"/>
    <w:rsid w:val="4AE26B4C"/>
    <w:rsid w:val="4AF561A9"/>
    <w:rsid w:val="4AF72842"/>
    <w:rsid w:val="4B080DB9"/>
    <w:rsid w:val="4B08477A"/>
    <w:rsid w:val="4B28237D"/>
    <w:rsid w:val="4B367A12"/>
    <w:rsid w:val="4B573A7D"/>
    <w:rsid w:val="4B5F0E86"/>
    <w:rsid w:val="4B6C7260"/>
    <w:rsid w:val="4B707994"/>
    <w:rsid w:val="4B8A3A68"/>
    <w:rsid w:val="4B9E6007"/>
    <w:rsid w:val="4BA24E3D"/>
    <w:rsid w:val="4BB05180"/>
    <w:rsid w:val="4BCA5EE9"/>
    <w:rsid w:val="4BDB213A"/>
    <w:rsid w:val="4BE949E7"/>
    <w:rsid w:val="4BED0F40"/>
    <w:rsid w:val="4BFF2AB8"/>
    <w:rsid w:val="4C03495F"/>
    <w:rsid w:val="4C137EB3"/>
    <w:rsid w:val="4C167233"/>
    <w:rsid w:val="4C3F6050"/>
    <w:rsid w:val="4C4A0649"/>
    <w:rsid w:val="4C5F2E23"/>
    <w:rsid w:val="4C681932"/>
    <w:rsid w:val="4C6B4D35"/>
    <w:rsid w:val="4C6D4BC4"/>
    <w:rsid w:val="4C7644F0"/>
    <w:rsid w:val="4C783575"/>
    <w:rsid w:val="4C7A38FC"/>
    <w:rsid w:val="4C7E5ECA"/>
    <w:rsid w:val="4C876AA5"/>
    <w:rsid w:val="4C932197"/>
    <w:rsid w:val="4C997981"/>
    <w:rsid w:val="4C9F3FC0"/>
    <w:rsid w:val="4C9F4C4F"/>
    <w:rsid w:val="4CA00D78"/>
    <w:rsid w:val="4CA071DE"/>
    <w:rsid w:val="4CAB3CEE"/>
    <w:rsid w:val="4CB511B8"/>
    <w:rsid w:val="4CEC53EF"/>
    <w:rsid w:val="4CF338F1"/>
    <w:rsid w:val="4CFB456A"/>
    <w:rsid w:val="4D0E00FB"/>
    <w:rsid w:val="4D176606"/>
    <w:rsid w:val="4D2F6834"/>
    <w:rsid w:val="4D456AAD"/>
    <w:rsid w:val="4D5827B1"/>
    <w:rsid w:val="4D7B451D"/>
    <w:rsid w:val="4D831D86"/>
    <w:rsid w:val="4DCA6525"/>
    <w:rsid w:val="4DEC4FB0"/>
    <w:rsid w:val="4DF93283"/>
    <w:rsid w:val="4E075D8A"/>
    <w:rsid w:val="4E4418AE"/>
    <w:rsid w:val="4E616AD6"/>
    <w:rsid w:val="4EA80F7F"/>
    <w:rsid w:val="4EAA0FD8"/>
    <w:rsid w:val="4EAA39D6"/>
    <w:rsid w:val="4EAB4966"/>
    <w:rsid w:val="4EAD5DAC"/>
    <w:rsid w:val="4EC00FAD"/>
    <w:rsid w:val="4EFD16EA"/>
    <w:rsid w:val="4F07383D"/>
    <w:rsid w:val="4F0D0351"/>
    <w:rsid w:val="4F2017B8"/>
    <w:rsid w:val="4F2D2343"/>
    <w:rsid w:val="4F377967"/>
    <w:rsid w:val="4F3E41C6"/>
    <w:rsid w:val="4F4866EC"/>
    <w:rsid w:val="4F601D93"/>
    <w:rsid w:val="4F766114"/>
    <w:rsid w:val="4F9843DC"/>
    <w:rsid w:val="4FC62A8C"/>
    <w:rsid w:val="4FDA13A4"/>
    <w:rsid w:val="4FDF4930"/>
    <w:rsid w:val="4FE20F0D"/>
    <w:rsid w:val="4FE51552"/>
    <w:rsid w:val="500B0FD8"/>
    <w:rsid w:val="500D22B0"/>
    <w:rsid w:val="50185B0A"/>
    <w:rsid w:val="502E7494"/>
    <w:rsid w:val="50311AD0"/>
    <w:rsid w:val="50325B67"/>
    <w:rsid w:val="504A493F"/>
    <w:rsid w:val="50504C4B"/>
    <w:rsid w:val="50647454"/>
    <w:rsid w:val="50661B91"/>
    <w:rsid w:val="506706EC"/>
    <w:rsid w:val="506B716D"/>
    <w:rsid w:val="509A22A4"/>
    <w:rsid w:val="509C6E7C"/>
    <w:rsid w:val="50C35CAB"/>
    <w:rsid w:val="50CB4939"/>
    <w:rsid w:val="50CC0D42"/>
    <w:rsid w:val="50ED3AD1"/>
    <w:rsid w:val="50F5514F"/>
    <w:rsid w:val="510B36EA"/>
    <w:rsid w:val="5122023C"/>
    <w:rsid w:val="512E33F9"/>
    <w:rsid w:val="514477BB"/>
    <w:rsid w:val="515E7B28"/>
    <w:rsid w:val="5162104E"/>
    <w:rsid w:val="518B7D24"/>
    <w:rsid w:val="5199258F"/>
    <w:rsid w:val="519B6254"/>
    <w:rsid w:val="519F55C2"/>
    <w:rsid w:val="51F32106"/>
    <w:rsid w:val="51FA578E"/>
    <w:rsid w:val="52086C2E"/>
    <w:rsid w:val="521511CD"/>
    <w:rsid w:val="5218252B"/>
    <w:rsid w:val="521B6162"/>
    <w:rsid w:val="523E038D"/>
    <w:rsid w:val="524244DF"/>
    <w:rsid w:val="5270708F"/>
    <w:rsid w:val="52840BEF"/>
    <w:rsid w:val="52A50DBB"/>
    <w:rsid w:val="52B129B7"/>
    <w:rsid w:val="52C703DE"/>
    <w:rsid w:val="52CD57D5"/>
    <w:rsid w:val="530359BA"/>
    <w:rsid w:val="534B0C4C"/>
    <w:rsid w:val="53534FE1"/>
    <w:rsid w:val="53682217"/>
    <w:rsid w:val="539C7402"/>
    <w:rsid w:val="539E6A01"/>
    <w:rsid w:val="53A039CC"/>
    <w:rsid w:val="53A1505A"/>
    <w:rsid w:val="53A27DF7"/>
    <w:rsid w:val="53C355DC"/>
    <w:rsid w:val="53C71C48"/>
    <w:rsid w:val="53C800A4"/>
    <w:rsid w:val="53ED5731"/>
    <w:rsid w:val="54063E08"/>
    <w:rsid w:val="54076686"/>
    <w:rsid w:val="542B2BD2"/>
    <w:rsid w:val="543437E8"/>
    <w:rsid w:val="545B7DA1"/>
    <w:rsid w:val="548910DF"/>
    <w:rsid w:val="549B7616"/>
    <w:rsid w:val="54C53851"/>
    <w:rsid w:val="54F14B25"/>
    <w:rsid w:val="54F51BF7"/>
    <w:rsid w:val="54F73313"/>
    <w:rsid w:val="54F80955"/>
    <w:rsid w:val="54FB6637"/>
    <w:rsid w:val="55234247"/>
    <w:rsid w:val="55270C2A"/>
    <w:rsid w:val="555170A7"/>
    <w:rsid w:val="55811391"/>
    <w:rsid w:val="5587536D"/>
    <w:rsid w:val="559B174B"/>
    <w:rsid w:val="55A955FC"/>
    <w:rsid w:val="55BE2AF1"/>
    <w:rsid w:val="55C1477D"/>
    <w:rsid w:val="55CE0CF4"/>
    <w:rsid w:val="55E73AE5"/>
    <w:rsid w:val="561848E6"/>
    <w:rsid w:val="562D75E4"/>
    <w:rsid w:val="564225ED"/>
    <w:rsid w:val="564C78B1"/>
    <w:rsid w:val="56714CE1"/>
    <w:rsid w:val="568C34B4"/>
    <w:rsid w:val="56B22A9C"/>
    <w:rsid w:val="56BD287A"/>
    <w:rsid w:val="56E96FC6"/>
    <w:rsid w:val="56EE061A"/>
    <w:rsid w:val="57046EB7"/>
    <w:rsid w:val="571B5B9F"/>
    <w:rsid w:val="571D7918"/>
    <w:rsid w:val="572F0BEF"/>
    <w:rsid w:val="573114E4"/>
    <w:rsid w:val="573133E6"/>
    <w:rsid w:val="57400B14"/>
    <w:rsid w:val="5743438A"/>
    <w:rsid w:val="57445C3B"/>
    <w:rsid w:val="5746457C"/>
    <w:rsid w:val="57771DDF"/>
    <w:rsid w:val="57931A76"/>
    <w:rsid w:val="57A4144E"/>
    <w:rsid w:val="57A77B94"/>
    <w:rsid w:val="57AC5541"/>
    <w:rsid w:val="57B51BF3"/>
    <w:rsid w:val="57B668CB"/>
    <w:rsid w:val="57B679F5"/>
    <w:rsid w:val="57B72A76"/>
    <w:rsid w:val="57BD0D84"/>
    <w:rsid w:val="57C3426C"/>
    <w:rsid w:val="57CE1F93"/>
    <w:rsid w:val="57F02882"/>
    <w:rsid w:val="57F705AE"/>
    <w:rsid w:val="57FB4279"/>
    <w:rsid w:val="584B23BC"/>
    <w:rsid w:val="58533F06"/>
    <w:rsid w:val="587A224E"/>
    <w:rsid w:val="588743D1"/>
    <w:rsid w:val="5887701A"/>
    <w:rsid w:val="589F03D6"/>
    <w:rsid w:val="58B13505"/>
    <w:rsid w:val="58B62E84"/>
    <w:rsid w:val="58E24C63"/>
    <w:rsid w:val="58EE1664"/>
    <w:rsid w:val="58FD20DC"/>
    <w:rsid w:val="59031CCA"/>
    <w:rsid w:val="592020A5"/>
    <w:rsid w:val="594F3CD6"/>
    <w:rsid w:val="59540079"/>
    <w:rsid w:val="59643ED4"/>
    <w:rsid w:val="59784775"/>
    <w:rsid w:val="59883B79"/>
    <w:rsid w:val="599C7C2F"/>
    <w:rsid w:val="59A707E6"/>
    <w:rsid w:val="59C0439F"/>
    <w:rsid w:val="59E62C07"/>
    <w:rsid w:val="5A584D94"/>
    <w:rsid w:val="5A5A7FAA"/>
    <w:rsid w:val="5A845CAD"/>
    <w:rsid w:val="5AB6250F"/>
    <w:rsid w:val="5ABE2233"/>
    <w:rsid w:val="5AC97794"/>
    <w:rsid w:val="5ACD642A"/>
    <w:rsid w:val="5AF14244"/>
    <w:rsid w:val="5AF57A90"/>
    <w:rsid w:val="5B027041"/>
    <w:rsid w:val="5B17250E"/>
    <w:rsid w:val="5B2E6AA5"/>
    <w:rsid w:val="5B433C96"/>
    <w:rsid w:val="5B4A0A0C"/>
    <w:rsid w:val="5B5666C6"/>
    <w:rsid w:val="5B641437"/>
    <w:rsid w:val="5B913E61"/>
    <w:rsid w:val="5B9E7798"/>
    <w:rsid w:val="5BA37D18"/>
    <w:rsid w:val="5BAB410D"/>
    <w:rsid w:val="5BBD027D"/>
    <w:rsid w:val="5BBF7B4F"/>
    <w:rsid w:val="5BC554B8"/>
    <w:rsid w:val="5BDF5D95"/>
    <w:rsid w:val="5BFE266E"/>
    <w:rsid w:val="5BFE7528"/>
    <w:rsid w:val="5C0C356E"/>
    <w:rsid w:val="5C2D2D7C"/>
    <w:rsid w:val="5C514CC2"/>
    <w:rsid w:val="5C5958C8"/>
    <w:rsid w:val="5C642319"/>
    <w:rsid w:val="5C855BE8"/>
    <w:rsid w:val="5C955663"/>
    <w:rsid w:val="5CBA75F1"/>
    <w:rsid w:val="5CBC5FB1"/>
    <w:rsid w:val="5CC80650"/>
    <w:rsid w:val="5CCA082F"/>
    <w:rsid w:val="5CED08EB"/>
    <w:rsid w:val="5D097CDB"/>
    <w:rsid w:val="5D0A359C"/>
    <w:rsid w:val="5D1B7BCC"/>
    <w:rsid w:val="5D21210B"/>
    <w:rsid w:val="5D3E52C4"/>
    <w:rsid w:val="5D415875"/>
    <w:rsid w:val="5D6E42D6"/>
    <w:rsid w:val="5D846236"/>
    <w:rsid w:val="5DA5032E"/>
    <w:rsid w:val="5DB034E5"/>
    <w:rsid w:val="5DCA5FA9"/>
    <w:rsid w:val="5DE62F24"/>
    <w:rsid w:val="5DE66C69"/>
    <w:rsid w:val="5E032D36"/>
    <w:rsid w:val="5E0D0156"/>
    <w:rsid w:val="5E1E4B46"/>
    <w:rsid w:val="5E2467F1"/>
    <w:rsid w:val="5E3A7034"/>
    <w:rsid w:val="5E3D1AD1"/>
    <w:rsid w:val="5E4B08C8"/>
    <w:rsid w:val="5E6D41EB"/>
    <w:rsid w:val="5E713338"/>
    <w:rsid w:val="5E87717D"/>
    <w:rsid w:val="5E8C41C2"/>
    <w:rsid w:val="5E9E158C"/>
    <w:rsid w:val="5EA205FA"/>
    <w:rsid w:val="5EB91014"/>
    <w:rsid w:val="5EC17D68"/>
    <w:rsid w:val="5EC31655"/>
    <w:rsid w:val="5EC66511"/>
    <w:rsid w:val="5ECC188E"/>
    <w:rsid w:val="5ECF2E97"/>
    <w:rsid w:val="5EE159C8"/>
    <w:rsid w:val="5EFF1277"/>
    <w:rsid w:val="5F1A2B43"/>
    <w:rsid w:val="5F1C2834"/>
    <w:rsid w:val="5F213C02"/>
    <w:rsid w:val="5F223E7C"/>
    <w:rsid w:val="5F443129"/>
    <w:rsid w:val="5F64242D"/>
    <w:rsid w:val="5F7E5003"/>
    <w:rsid w:val="5F96760E"/>
    <w:rsid w:val="5FB61CBA"/>
    <w:rsid w:val="5FB837BB"/>
    <w:rsid w:val="5FC627A0"/>
    <w:rsid w:val="5FCD681C"/>
    <w:rsid w:val="5FDD68A7"/>
    <w:rsid w:val="5FF40EE5"/>
    <w:rsid w:val="601863F9"/>
    <w:rsid w:val="6036553E"/>
    <w:rsid w:val="603A1C7A"/>
    <w:rsid w:val="603F75AE"/>
    <w:rsid w:val="607F445D"/>
    <w:rsid w:val="60871166"/>
    <w:rsid w:val="60875B42"/>
    <w:rsid w:val="60AC0ECE"/>
    <w:rsid w:val="60C46F52"/>
    <w:rsid w:val="60CC405A"/>
    <w:rsid w:val="60F35816"/>
    <w:rsid w:val="60F76A08"/>
    <w:rsid w:val="611F5B4C"/>
    <w:rsid w:val="612A73FF"/>
    <w:rsid w:val="61380D0F"/>
    <w:rsid w:val="613B3D34"/>
    <w:rsid w:val="61567C51"/>
    <w:rsid w:val="615D17B5"/>
    <w:rsid w:val="615D182B"/>
    <w:rsid w:val="616952DC"/>
    <w:rsid w:val="61830553"/>
    <w:rsid w:val="619722F6"/>
    <w:rsid w:val="61972C22"/>
    <w:rsid w:val="61B149CA"/>
    <w:rsid w:val="61B826C3"/>
    <w:rsid w:val="61BB44DA"/>
    <w:rsid w:val="61CA7231"/>
    <w:rsid w:val="61E215D8"/>
    <w:rsid w:val="61E60B16"/>
    <w:rsid w:val="61EE3F71"/>
    <w:rsid w:val="621140D4"/>
    <w:rsid w:val="621B3775"/>
    <w:rsid w:val="621B3CC1"/>
    <w:rsid w:val="62255983"/>
    <w:rsid w:val="622B031C"/>
    <w:rsid w:val="62364782"/>
    <w:rsid w:val="62365274"/>
    <w:rsid w:val="62443A22"/>
    <w:rsid w:val="62790E76"/>
    <w:rsid w:val="628306FF"/>
    <w:rsid w:val="62D20388"/>
    <w:rsid w:val="62E669A6"/>
    <w:rsid w:val="62E93375"/>
    <w:rsid w:val="62F83FA7"/>
    <w:rsid w:val="62FB440C"/>
    <w:rsid w:val="630705CA"/>
    <w:rsid w:val="63106B51"/>
    <w:rsid w:val="631F500B"/>
    <w:rsid w:val="633729C7"/>
    <w:rsid w:val="63392A57"/>
    <w:rsid w:val="633C1A28"/>
    <w:rsid w:val="634F527A"/>
    <w:rsid w:val="63504C08"/>
    <w:rsid w:val="63561A21"/>
    <w:rsid w:val="6356690D"/>
    <w:rsid w:val="63605126"/>
    <w:rsid w:val="639125A6"/>
    <w:rsid w:val="6394356A"/>
    <w:rsid w:val="639E574D"/>
    <w:rsid w:val="63C61B2C"/>
    <w:rsid w:val="63CF54A1"/>
    <w:rsid w:val="63D40BE9"/>
    <w:rsid w:val="64102431"/>
    <w:rsid w:val="641724DD"/>
    <w:rsid w:val="64192071"/>
    <w:rsid w:val="6424085B"/>
    <w:rsid w:val="64256DCD"/>
    <w:rsid w:val="6426265F"/>
    <w:rsid w:val="643C0FE2"/>
    <w:rsid w:val="643C55D1"/>
    <w:rsid w:val="643E23A6"/>
    <w:rsid w:val="646B3CC3"/>
    <w:rsid w:val="64724F6B"/>
    <w:rsid w:val="64796689"/>
    <w:rsid w:val="64A5243A"/>
    <w:rsid w:val="64C32BE1"/>
    <w:rsid w:val="64D008F1"/>
    <w:rsid w:val="64DF4A2F"/>
    <w:rsid w:val="64F06305"/>
    <w:rsid w:val="64F531DE"/>
    <w:rsid w:val="64F943D1"/>
    <w:rsid w:val="64FF220E"/>
    <w:rsid w:val="65075A64"/>
    <w:rsid w:val="6509277E"/>
    <w:rsid w:val="65175064"/>
    <w:rsid w:val="65373578"/>
    <w:rsid w:val="653E7CA9"/>
    <w:rsid w:val="654407B7"/>
    <w:rsid w:val="65471819"/>
    <w:rsid w:val="65533C9A"/>
    <w:rsid w:val="657B1DC2"/>
    <w:rsid w:val="65860580"/>
    <w:rsid w:val="65876369"/>
    <w:rsid w:val="659247A3"/>
    <w:rsid w:val="659742FC"/>
    <w:rsid w:val="65981A0E"/>
    <w:rsid w:val="65B411A6"/>
    <w:rsid w:val="65C80678"/>
    <w:rsid w:val="65F36149"/>
    <w:rsid w:val="660E72EE"/>
    <w:rsid w:val="66107D11"/>
    <w:rsid w:val="66143C1C"/>
    <w:rsid w:val="66194A9F"/>
    <w:rsid w:val="6648210D"/>
    <w:rsid w:val="664872D8"/>
    <w:rsid w:val="66525B4A"/>
    <w:rsid w:val="66547A1A"/>
    <w:rsid w:val="6656367B"/>
    <w:rsid w:val="665B74B3"/>
    <w:rsid w:val="665F243D"/>
    <w:rsid w:val="668F3332"/>
    <w:rsid w:val="66A30220"/>
    <w:rsid w:val="66B322C8"/>
    <w:rsid w:val="66BA17AF"/>
    <w:rsid w:val="66CA6B70"/>
    <w:rsid w:val="66D5289C"/>
    <w:rsid w:val="66E017B7"/>
    <w:rsid w:val="66E43E64"/>
    <w:rsid w:val="66EC5274"/>
    <w:rsid w:val="66FA52E3"/>
    <w:rsid w:val="6702504E"/>
    <w:rsid w:val="67132676"/>
    <w:rsid w:val="671B7299"/>
    <w:rsid w:val="671F124A"/>
    <w:rsid w:val="672745B1"/>
    <w:rsid w:val="672F5004"/>
    <w:rsid w:val="674A1F08"/>
    <w:rsid w:val="675A189D"/>
    <w:rsid w:val="677A33C6"/>
    <w:rsid w:val="67851C40"/>
    <w:rsid w:val="67A3699A"/>
    <w:rsid w:val="67B85CE4"/>
    <w:rsid w:val="67C959B6"/>
    <w:rsid w:val="67CB6A8F"/>
    <w:rsid w:val="67D052DA"/>
    <w:rsid w:val="67E95EC3"/>
    <w:rsid w:val="67F865D2"/>
    <w:rsid w:val="680B6629"/>
    <w:rsid w:val="681F6961"/>
    <w:rsid w:val="68262975"/>
    <w:rsid w:val="682D38C6"/>
    <w:rsid w:val="68341477"/>
    <w:rsid w:val="68610A2F"/>
    <w:rsid w:val="68653980"/>
    <w:rsid w:val="687D53F2"/>
    <w:rsid w:val="68805514"/>
    <w:rsid w:val="68890D2F"/>
    <w:rsid w:val="689C5115"/>
    <w:rsid w:val="68B31C2C"/>
    <w:rsid w:val="68B55C59"/>
    <w:rsid w:val="68BA6D98"/>
    <w:rsid w:val="68EF101D"/>
    <w:rsid w:val="691E189E"/>
    <w:rsid w:val="6923263D"/>
    <w:rsid w:val="69316E2F"/>
    <w:rsid w:val="69375318"/>
    <w:rsid w:val="694E2071"/>
    <w:rsid w:val="69727625"/>
    <w:rsid w:val="697320B5"/>
    <w:rsid w:val="69766163"/>
    <w:rsid w:val="697A3B33"/>
    <w:rsid w:val="697D7799"/>
    <w:rsid w:val="697F6CE6"/>
    <w:rsid w:val="69857BDE"/>
    <w:rsid w:val="69B522AE"/>
    <w:rsid w:val="69C431FB"/>
    <w:rsid w:val="69C935B8"/>
    <w:rsid w:val="69CC30A8"/>
    <w:rsid w:val="69D44760"/>
    <w:rsid w:val="69F268C0"/>
    <w:rsid w:val="69FF6FFD"/>
    <w:rsid w:val="6A0119F3"/>
    <w:rsid w:val="6A0C2D0D"/>
    <w:rsid w:val="6A0D6949"/>
    <w:rsid w:val="6A2219C8"/>
    <w:rsid w:val="6A3D7B02"/>
    <w:rsid w:val="6A4305C1"/>
    <w:rsid w:val="6A520EC7"/>
    <w:rsid w:val="6A6D5225"/>
    <w:rsid w:val="6A7235E0"/>
    <w:rsid w:val="6A7A6548"/>
    <w:rsid w:val="6A985CE4"/>
    <w:rsid w:val="6AA9245C"/>
    <w:rsid w:val="6AB068A7"/>
    <w:rsid w:val="6ACE047F"/>
    <w:rsid w:val="6AF87E20"/>
    <w:rsid w:val="6B060CF3"/>
    <w:rsid w:val="6B0D4D7B"/>
    <w:rsid w:val="6B1E023A"/>
    <w:rsid w:val="6B2C09AC"/>
    <w:rsid w:val="6B322639"/>
    <w:rsid w:val="6B6C5A25"/>
    <w:rsid w:val="6B932F65"/>
    <w:rsid w:val="6B994944"/>
    <w:rsid w:val="6B9C29D3"/>
    <w:rsid w:val="6BAA7419"/>
    <w:rsid w:val="6BC8462F"/>
    <w:rsid w:val="6BD02925"/>
    <w:rsid w:val="6BDF730C"/>
    <w:rsid w:val="6BFA13F6"/>
    <w:rsid w:val="6C0D6635"/>
    <w:rsid w:val="6C301B01"/>
    <w:rsid w:val="6C3368DD"/>
    <w:rsid w:val="6C3514B8"/>
    <w:rsid w:val="6C3F1ED9"/>
    <w:rsid w:val="6C442C46"/>
    <w:rsid w:val="6C4B2BB9"/>
    <w:rsid w:val="6C615635"/>
    <w:rsid w:val="6C636C38"/>
    <w:rsid w:val="6C6441BB"/>
    <w:rsid w:val="6C687B0B"/>
    <w:rsid w:val="6C6F0C91"/>
    <w:rsid w:val="6C701862"/>
    <w:rsid w:val="6C845B6F"/>
    <w:rsid w:val="6C8C7222"/>
    <w:rsid w:val="6CBC7C13"/>
    <w:rsid w:val="6CC17794"/>
    <w:rsid w:val="6CE64CC0"/>
    <w:rsid w:val="6D25144D"/>
    <w:rsid w:val="6D361A37"/>
    <w:rsid w:val="6D392B09"/>
    <w:rsid w:val="6D3B3694"/>
    <w:rsid w:val="6D422BF1"/>
    <w:rsid w:val="6D5E17E1"/>
    <w:rsid w:val="6D7F5D0B"/>
    <w:rsid w:val="6DA20559"/>
    <w:rsid w:val="6DA81261"/>
    <w:rsid w:val="6DB22BF3"/>
    <w:rsid w:val="6DB34098"/>
    <w:rsid w:val="6DB545B6"/>
    <w:rsid w:val="6DB60801"/>
    <w:rsid w:val="6DBB7B67"/>
    <w:rsid w:val="6DE02FB4"/>
    <w:rsid w:val="6DE95102"/>
    <w:rsid w:val="6DF342FA"/>
    <w:rsid w:val="6DF66F0C"/>
    <w:rsid w:val="6E1D7ACF"/>
    <w:rsid w:val="6E207A67"/>
    <w:rsid w:val="6E3E08E3"/>
    <w:rsid w:val="6E514CED"/>
    <w:rsid w:val="6E5709B8"/>
    <w:rsid w:val="6E5E1384"/>
    <w:rsid w:val="6E7A1533"/>
    <w:rsid w:val="6E865E52"/>
    <w:rsid w:val="6E9564B4"/>
    <w:rsid w:val="6EA11AF1"/>
    <w:rsid w:val="6EAB6712"/>
    <w:rsid w:val="6EAD37A0"/>
    <w:rsid w:val="6EB563D5"/>
    <w:rsid w:val="6ED92677"/>
    <w:rsid w:val="6EE3336E"/>
    <w:rsid w:val="6EE67D66"/>
    <w:rsid w:val="6F056B60"/>
    <w:rsid w:val="6F142580"/>
    <w:rsid w:val="6F225983"/>
    <w:rsid w:val="6F3D51B9"/>
    <w:rsid w:val="6F5E5B4A"/>
    <w:rsid w:val="6F6D2F3E"/>
    <w:rsid w:val="6F7141A0"/>
    <w:rsid w:val="6F7A6DE4"/>
    <w:rsid w:val="6F861ECC"/>
    <w:rsid w:val="6FA77E40"/>
    <w:rsid w:val="6FAD7B0E"/>
    <w:rsid w:val="6FCF5A75"/>
    <w:rsid w:val="6FCF6EC5"/>
    <w:rsid w:val="6FE35033"/>
    <w:rsid w:val="6FE729EA"/>
    <w:rsid w:val="6FFC5590"/>
    <w:rsid w:val="6FFF7996"/>
    <w:rsid w:val="7002581A"/>
    <w:rsid w:val="70033339"/>
    <w:rsid w:val="70183B22"/>
    <w:rsid w:val="704F233D"/>
    <w:rsid w:val="705A0EA5"/>
    <w:rsid w:val="706D1DD0"/>
    <w:rsid w:val="70710DA1"/>
    <w:rsid w:val="70733B1E"/>
    <w:rsid w:val="70844A41"/>
    <w:rsid w:val="70856B87"/>
    <w:rsid w:val="70880E43"/>
    <w:rsid w:val="70972163"/>
    <w:rsid w:val="709D754D"/>
    <w:rsid w:val="70C85CF2"/>
    <w:rsid w:val="70D527EE"/>
    <w:rsid w:val="70E33447"/>
    <w:rsid w:val="70EE3C7B"/>
    <w:rsid w:val="70F1360D"/>
    <w:rsid w:val="71385720"/>
    <w:rsid w:val="714E3306"/>
    <w:rsid w:val="7150200F"/>
    <w:rsid w:val="715B5300"/>
    <w:rsid w:val="717532F0"/>
    <w:rsid w:val="717637C2"/>
    <w:rsid w:val="718F41F5"/>
    <w:rsid w:val="71B13530"/>
    <w:rsid w:val="71CC7543"/>
    <w:rsid w:val="71D27F8A"/>
    <w:rsid w:val="71E64320"/>
    <w:rsid w:val="72144930"/>
    <w:rsid w:val="7227548E"/>
    <w:rsid w:val="722812E8"/>
    <w:rsid w:val="7232620D"/>
    <w:rsid w:val="72553024"/>
    <w:rsid w:val="725559C9"/>
    <w:rsid w:val="725F3FBF"/>
    <w:rsid w:val="72604455"/>
    <w:rsid w:val="72673D60"/>
    <w:rsid w:val="727C774F"/>
    <w:rsid w:val="728B4320"/>
    <w:rsid w:val="729D7655"/>
    <w:rsid w:val="72A82EA5"/>
    <w:rsid w:val="72B73E6E"/>
    <w:rsid w:val="72BA5B12"/>
    <w:rsid w:val="72C74D55"/>
    <w:rsid w:val="72D56C9A"/>
    <w:rsid w:val="72EF312B"/>
    <w:rsid w:val="72EF7AA5"/>
    <w:rsid w:val="73122968"/>
    <w:rsid w:val="731B1CF7"/>
    <w:rsid w:val="731F5D5E"/>
    <w:rsid w:val="73294847"/>
    <w:rsid w:val="73491311"/>
    <w:rsid w:val="735D2FC3"/>
    <w:rsid w:val="735E187C"/>
    <w:rsid w:val="73B3501F"/>
    <w:rsid w:val="73C27EDA"/>
    <w:rsid w:val="73C51AD5"/>
    <w:rsid w:val="73C918CD"/>
    <w:rsid w:val="73C954FD"/>
    <w:rsid w:val="73D254CA"/>
    <w:rsid w:val="73DD11A1"/>
    <w:rsid w:val="73FF3F8C"/>
    <w:rsid w:val="7406233F"/>
    <w:rsid w:val="7408680B"/>
    <w:rsid w:val="740D2A68"/>
    <w:rsid w:val="741065E9"/>
    <w:rsid w:val="741C62A4"/>
    <w:rsid w:val="741E793C"/>
    <w:rsid w:val="74225E86"/>
    <w:rsid w:val="742927C6"/>
    <w:rsid w:val="743D3291"/>
    <w:rsid w:val="744A79EB"/>
    <w:rsid w:val="745E3944"/>
    <w:rsid w:val="745E799F"/>
    <w:rsid w:val="746048BB"/>
    <w:rsid w:val="746A6B62"/>
    <w:rsid w:val="748001BA"/>
    <w:rsid w:val="74A810B7"/>
    <w:rsid w:val="74AF32D0"/>
    <w:rsid w:val="74B1267C"/>
    <w:rsid w:val="74B76609"/>
    <w:rsid w:val="74BB537E"/>
    <w:rsid w:val="74DB68F8"/>
    <w:rsid w:val="752571CA"/>
    <w:rsid w:val="752E4C17"/>
    <w:rsid w:val="75361582"/>
    <w:rsid w:val="7543485E"/>
    <w:rsid w:val="7556234B"/>
    <w:rsid w:val="756A5DA7"/>
    <w:rsid w:val="759D4E9D"/>
    <w:rsid w:val="75A07D54"/>
    <w:rsid w:val="75ED30A2"/>
    <w:rsid w:val="76004E05"/>
    <w:rsid w:val="760D0CD1"/>
    <w:rsid w:val="761D5DC9"/>
    <w:rsid w:val="7635099D"/>
    <w:rsid w:val="763C5BB5"/>
    <w:rsid w:val="76475969"/>
    <w:rsid w:val="7650507C"/>
    <w:rsid w:val="76510551"/>
    <w:rsid w:val="765D028E"/>
    <w:rsid w:val="766D4500"/>
    <w:rsid w:val="76A77582"/>
    <w:rsid w:val="76B44B6E"/>
    <w:rsid w:val="76BB697E"/>
    <w:rsid w:val="76BD6089"/>
    <w:rsid w:val="76C53CA9"/>
    <w:rsid w:val="76E3387D"/>
    <w:rsid w:val="76F505BD"/>
    <w:rsid w:val="76F50AB6"/>
    <w:rsid w:val="770155D5"/>
    <w:rsid w:val="771C3781"/>
    <w:rsid w:val="7721020A"/>
    <w:rsid w:val="774D58B7"/>
    <w:rsid w:val="7769278D"/>
    <w:rsid w:val="776D6391"/>
    <w:rsid w:val="776D6E37"/>
    <w:rsid w:val="77733F8B"/>
    <w:rsid w:val="77762421"/>
    <w:rsid w:val="777A4144"/>
    <w:rsid w:val="779416A9"/>
    <w:rsid w:val="779C159F"/>
    <w:rsid w:val="77A64BDF"/>
    <w:rsid w:val="77B43AFA"/>
    <w:rsid w:val="77B56B1F"/>
    <w:rsid w:val="77B57871"/>
    <w:rsid w:val="77D605BE"/>
    <w:rsid w:val="77F876B0"/>
    <w:rsid w:val="77FB21C9"/>
    <w:rsid w:val="7801457D"/>
    <w:rsid w:val="780F006F"/>
    <w:rsid w:val="780F09F4"/>
    <w:rsid w:val="782F795D"/>
    <w:rsid w:val="784A5E78"/>
    <w:rsid w:val="784C0FBE"/>
    <w:rsid w:val="788E67D8"/>
    <w:rsid w:val="78A76A1A"/>
    <w:rsid w:val="78A90480"/>
    <w:rsid w:val="78CE1BC0"/>
    <w:rsid w:val="78D2239B"/>
    <w:rsid w:val="78FC443B"/>
    <w:rsid w:val="791438F6"/>
    <w:rsid w:val="791A06BE"/>
    <w:rsid w:val="792E66D0"/>
    <w:rsid w:val="793A5AFC"/>
    <w:rsid w:val="794F350E"/>
    <w:rsid w:val="79580304"/>
    <w:rsid w:val="79581A8E"/>
    <w:rsid w:val="79AD4AA3"/>
    <w:rsid w:val="79AE5F69"/>
    <w:rsid w:val="79C72686"/>
    <w:rsid w:val="79D11916"/>
    <w:rsid w:val="7A0741BD"/>
    <w:rsid w:val="7A212587"/>
    <w:rsid w:val="7A364017"/>
    <w:rsid w:val="7A6A2723"/>
    <w:rsid w:val="7A7C0B8A"/>
    <w:rsid w:val="7A7E60EF"/>
    <w:rsid w:val="7A8265E1"/>
    <w:rsid w:val="7A9767F2"/>
    <w:rsid w:val="7AA37E55"/>
    <w:rsid w:val="7AF86687"/>
    <w:rsid w:val="7B083A6D"/>
    <w:rsid w:val="7B0B6285"/>
    <w:rsid w:val="7B1517FF"/>
    <w:rsid w:val="7B491077"/>
    <w:rsid w:val="7B686D42"/>
    <w:rsid w:val="7B6965CF"/>
    <w:rsid w:val="7B7168B3"/>
    <w:rsid w:val="7B7A3D8E"/>
    <w:rsid w:val="7B841746"/>
    <w:rsid w:val="7B851876"/>
    <w:rsid w:val="7B9B0B2D"/>
    <w:rsid w:val="7B9C39D6"/>
    <w:rsid w:val="7B9C6804"/>
    <w:rsid w:val="7BA331CE"/>
    <w:rsid w:val="7BC16A3F"/>
    <w:rsid w:val="7BC205B9"/>
    <w:rsid w:val="7BEE23B1"/>
    <w:rsid w:val="7C197A26"/>
    <w:rsid w:val="7C282193"/>
    <w:rsid w:val="7C3738B1"/>
    <w:rsid w:val="7C4A4F9E"/>
    <w:rsid w:val="7C4D1ED3"/>
    <w:rsid w:val="7C4E12CA"/>
    <w:rsid w:val="7C6C5AC7"/>
    <w:rsid w:val="7CA334E1"/>
    <w:rsid w:val="7CC6544B"/>
    <w:rsid w:val="7CD07F2F"/>
    <w:rsid w:val="7CE94F53"/>
    <w:rsid w:val="7CFA1AFF"/>
    <w:rsid w:val="7D0239FF"/>
    <w:rsid w:val="7D092DE2"/>
    <w:rsid w:val="7D385594"/>
    <w:rsid w:val="7D4720FB"/>
    <w:rsid w:val="7D4D5E56"/>
    <w:rsid w:val="7D5E40CD"/>
    <w:rsid w:val="7D644F0E"/>
    <w:rsid w:val="7D6E4A68"/>
    <w:rsid w:val="7D7D2D16"/>
    <w:rsid w:val="7D8C2A63"/>
    <w:rsid w:val="7D8F457E"/>
    <w:rsid w:val="7D914A2B"/>
    <w:rsid w:val="7D94299B"/>
    <w:rsid w:val="7D9E47E1"/>
    <w:rsid w:val="7DAA599A"/>
    <w:rsid w:val="7DCD56F2"/>
    <w:rsid w:val="7DD32A7D"/>
    <w:rsid w:val="7DE33630"/>
    <w:rsid w:val="7DFC51BD"/>
    <w:rsid w:val="7DFD3B41"/>
    <w:rsid w:val="7E0348E7"/>
    <w:rsid w:val="7E156F46"/>
    <w:rsid w:val="7E230A06"/>
    <w:rsid w:val="7E5837E7"/>
    <w:rsid w:val="7E5E57BA"/>
    <w:rsid w:val="7E7503C2"/>
    <w:rsid w:val="7E8516FE"/>
    <w:rsid w:val="7E9C3D48"/>
    <w:rsid w:val="7E9D4F34"/>
    <w:rsid w:val="7EA060E7"/>
    <w:rsid w:val="7EA877E8"/>
    <w:rsid w:val="7EAC1285"/>
    <w:rsid w:val="7EC023D6"/>
    <w:rsid w:val="7EC74F5D"/>
    <w:rsid w:val="7EE14867"/>
    <w:rsid w:val="7EF74741"/>
    <w:rsid w:val="7EF938EB"/>
    <w:rsid w:val="7F001CE7"/>
    <w:rsid w:val="7F144445"/>
    <w:rsid w:val="7F2A28F3"/>
    <w:rsid w:val="7F340AA6"/>
    <w:rsid w:val="7F3A5AE7"/>
    <w:rsid w:val="7F5243ED"/>
    <w:rsid w:val="7F630181"/>
    <w:rsid w:val="7F715283"/>
    <w:rsid w:val="7F807E5D"/>
    <w:rsid w:val="7F896D83"/>
    <w:rsid w:val="7FA508C4"/>
    <w:rsid w:val="7FB2185C"/>
    <w:rsid w:val="7FBE47ED"/>
    <w:rsid w:val="7FC70C65"/>
    <w:rsid w:val="7FC911D2"/>
    <w:rsid w:val="7FCD6B9D"/>
    <w:rsid w:val="7FCF181A"/>
    <w:rsid w:val="7FD91C01"/>
    <w:rsid w:val="7FDA2E32"/>
    <w:rsid w:val="7FE47E50"/>
    <w:rsid w:val="7FF37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0"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iPriority="0" w:name="heading 6" w:locked="1"/>
    <w:lsdException w:qFormat="1" w:unhideWhenUsed="0" w:uiPriority="0" w:semiHidden="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qFormat="1" w:unhideWhenUsed="0" w:uiPriority="0" w:semiHidden="0" w:name="toc 9" w:locked="1"/>
    <w:lsdException w:qFormat="1" w:unhideWhenUsed="0" w:uiPriority="0" w:semiHidden="0" w:name="Normal Indent" w:locked="1"/>
    <w:lsdException w:unhideWhenUsed="0" w:uiPriority="0" w:semiHidden="0" w:name="footnote text" w:locked="1"/>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ocked="1"/>
    <w:lsdException w:qFormat="1"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name="annotation reference"/>
    <w:lsdException w:unhideWhenUsed="0" w:uiPriority="0" w:semiHidden="0" w:name="line number" w:locked="1"/>
    <w:lsdException w:qFormat="1"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qFormat="1"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qFormat="1" w:uiPriority="99" w:semiHidden="0" w:name="Salutation" w:locked="1"/>
    <w:lsdException w:qFormat="1" w:unhideWhenUsed="0" w:uiPriority="0" w:semiHidden="0" w:name="Date"/>
    <w:lsdException w:qFormat="1" w:unhideWhenUsed="0" w:uiPriority="0" w:semiHidden="0" w:name="Body Text First Indent" w:locked="1"/>
    <w:lsdException w:qFormat="1"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qFormat="1" w:uiPriority="0" w:semiHidden="0" w:name="Body Text Indent 2" w:locked="1"/>
    <w:lsdException w:unhideWhenUsed="0" w:uiPriority="0" w:semiHidden="0" w:name="Body Text Indent 3" w:locked="1"/>
    <w:lsdException w:qFormat="1" w:unhideWhenUsed="0" w:uiPriority="0" w:semiHidden="0" w:name="Block Text" w:locked="1"/>
    <w:lsdException w:qFormat="1" w:unhideWhenUsed="0" w:uiPriority="0" w:semiHidden="0" w:name="Hyperlink" w:locked="1"/>
    <w:lsdException w:unhideWhenUsed="0" w:uiPriority="0" w:semiHidden="0" w:name="FollowedHyperlink" w:locked="1"/>
    <w:lsdException w:qFormat="1" w:unhideWhenUsed="0" w:uiPriority="0" w:semiHidden="0" w:name="Strong" w:locked="1"/>
    <w:lsdException w:qFormat="1" w:unhideWhenUsed="0" w:uiPriority="0" w:semiHidden="0" w:name="Emphasis" w:locked="1"/>
    <w:lsdException w:unhideWhenUsed="0" w:uiPriority="0" w:semiHidden="0" w:name="Document Map" w:locked="1"/>
    <w:lsdException w:qFormat="1" w:unhideWhenUsed="0" w:uiPriority="0" w:semiHidden="0" w:name="Plain Text" w:locked="1"/>
    <w:lsdException w:unhideWhenUsed="0" w:uiPriority="0" w:semiHidden="0" w:name="E-mail Signature" w:locked="1"/>
    <w:lsdException w:qFormat="1" w:unhideWhenUsed="0" w:uiPriority="0" w:semiHidden="0" w:name="Normal (Web)"/>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name="Normal Table"/>
    <w:lsdException w:qFormat="1" w:unhideWhenUsed="0" w:uiPriority="0"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nhideWhenUsed="0" w:uiPriority="0" w:name="Balloon Text"/>
    <w:lsdException w:qFormat="1" w:unhideWhenUsed="0" w:uiPriority="0"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locked/>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6">
    <w:name w:val="heading 2"/>
    <w:basedOn w:val="1"/>
    <w:next w:val="1"/>
    <w:qFormat/>
    <w:locked/>
    <w:uiPriority w:val="0"/>
    <w:pPr>
      <w:keepNext/>
      <w:keepLines/>
      <w:spacing w:before="260" w:after="260" w:line="416" w:lineRule="auto"/>
      <w:outlineLvl w:val="1"/>
    </w:pPr>
    <w:rPr>
      <w:rFonts w:ascii="Arial" w:hAnsi="Arial" w:eastAsia="黑体"/>
      <w:b/>
      <w:bCs/>
      <w:sz w:val="32"/>
      <w:szCs w:val="32"/>
    </w:rPr>
  </w:style>
  <w:style w:type="paragraph" w:styleId="7">
    <w:name w:val="heading 3"/>
    <w:basedOn w:val="1"/>
    <w:next w:val="1"/>
    <w:qFormat/>
    <w:locked/>
    <w:uiPriority w:val="0"/>
    <w:pPr>
      <w:keepNext/>
      <w:keepLines/>
      <w:tabs>
        <w:tab w:val="left" w:pos="720"/>
      </w:tabs>
      <w:spacing w:before="260" w:after="260" w:line="416" w:lineRule="auto"/>
      <w:ind w:left="720" w:hanging="720"/>
      <w:outlineLvl w:val="2"/>
    </w:pPr>
    <w:rPr>
      <w:b/>
      <w:bCs/>
      <w:sz w:val="32"/>
      <w:szCs w:val="32"/>
    </w:rPr>
  </w:style>
  <w:style w:type="paragraph" w:styleId="8">
    <w:name w:val="heading 4"/>
    <w:basedOn w:val="1"/>
    <w:next w:val="1"/>
    <w:qFormat/>
    <w:locked/>
    <w:uiPriority w:val="0"/>
    <w:pPr>
      <w:keepNext/>
      <w:keepLines/>
      <w:numPr>
        <w:ilvl w:val="3"/>
        <w:numId w:val="1"/>
      </w:numPr>
      <w:spacing w:line="480" w:lineRule="exact"/>
      <w:ind w:left="0" w:firstLine="0"/>
      <w:jc w:val="left"/>
      <w:outlineLvl w:val="3"/>
    </w:pPr>
    <w:rPr>
      <w:rFonts w:eastAsia="黑体"/>
      <w:bCs/>
      <w:sz w:val="24"/>
    </w:rPr>
  </w:style>
  <w:style w:type="paragraph" w:styleId="9">
    <w:name w:val="heading 7"/>
    <w:basedOn w:val="1"/>
    <w:next w:val="1"/>
    <w:qFormat/>
    <w:locked/>
    <w:uiPriority w:val="0"/>
    <w:pPr>
      <w:keepNext/>
      <w:keepLines/>
      <w:numPr>
        <w:ilvl w:val="6"/>
        <w:numId w:val="2"/>
      </w:numPr>
      <w:spacing w:line="360" w:lineRule="auto"/>
      <w:jc w:val="center"/>
      <w:outlineLvl w:val="6"/>
    </w:pPr>
    <w:rPr>
      <w:b/>
      <w:bCs/>
      <w:sz w:val="24"/>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unhideWhenUsed/>
    <w:qFormat/>
    <w:locked/>
    <w:uiPriority w:val="0"/>
    <w:pPr>
      <w:ind w:firstLine="420" w:firstLineChars="200"/>
    </w:pPr>
  </w:style>
  <w:style w:type="paragraph" w:styleId="3">
    <w:name w:val="Body Text Indent"/>
    <w:basedOn w:val="1"/>
    <w:next w:val="4"/>
    <w:link w:val="48"/>
    <w:qFormat/>
    <w:uiPriority w:val="0"/>
    <w:pPr>
      <w:spacing w:after="120"/>
      <w:ind w:left="420" w:leftChars="200"/>
    </w:pPr>
    <w:rPr>
      <w:kern w:val="0"/>
      <w:sz w:val="24"/>
      <w:szCs w:val="20"/>
    </w:rPr>
  </w:style>
  <w:style w:type="paragraph" w:styleId="4">
    <w:name w:val="Body Text Indent 2"/>
    <w:basedOn w:val="1"/>
    <w:next w:val="2"/>
    <w:unhideWhenUsed/>
    <w:qFormat/>
    <w:locked/>
    <w:uiPriority w:val="0"/>
    <w:pPr>
      <w:spacing w:after="120" w:line="480" w:lineRule="auto"/>
      <w:ind w:left="420" w:leftChars="200" w:firstLine="200" w:firstLineChars="200"/>
    </w:pPr>
    <w:rPr>
      <w:bCs/>
      <w:kern w:val="0"/>
      <w:sz w:val="24"/>
      <w:szCs w:val="20"/>
    </w:rPr>
  </w:style>
  <w:style w:type="paragraph" w:styleId="10">
    <w:name w:val="Normal Indent"/>
    <w:basedOn w:val="1"/>
    <w:qFormat/>
    <w:locked/>
    <w:uiPriority w:val="0"/>
    <w:pPr>
      <w:ind w:firstLine="420" w:firstLineChars="200"/>
    </w:pPr>
    <w:rPr>
      <w:szCs w:val="20"/>
    </w:rPr>
  </w:style>
  <w:style w:type="paragraph" w:styleId="11">
    <w:name w:val="caption"/>
    <w:basedOn w:val="1"/>
    <w:next w:val="1"/>
    <w:qFormat/>
    <w:locked/>
    <w:uiPriority w:val="0"/>
    <w:rPr>
      <w:rFonts w:ascii="Arial" w:hAnsi="Arial" w:eastAsia="黑体" w:cs="Arial"/>
      <w:sz w:val="20"/>
      <w:szCs w:val="20"/>
    </w:rPr>
  </w:style>
  <w:style w:type="paragraph" w:styleId="12">
    <w:name w:val="annotation text"/>
    <w:basedOn w:val="1"/>
    <w:link w:val="46"/>
    <w:semiHidden/>
    <w:qFormat/>
    <w:uiPriority w:val="0"/>
    <w:pPr>
      <w:jc w:val="left"/>
    </w:pPr>
    <w:rPr>
      <w:kern w:val="0"/>
      <w:sz w:val="24"/>
      <w:szCs w:val="20"/>
    </w:rPr>
  </w:style>
  <w:style w:type="paragraph" w:styleId="13">
    <w:name w:val="Salutation"/>
    <w:basedOn w:val="1"/>
    <w:next w:val="1"/>
    <w:unhideWhenUsed/>
    <w:qFormat/>
    <w:locked/>
    <w:uiPriority w:val="99"/>
  </w:style>
  <w:style w:type="paragraph" w:styleId="14">
    <w:name w:val="Body Text"/>
    <w:basedOn w:val="1"/>
    <w:next w:val="15"/>
    <w:link w:val="47"/>
    <w:qFormat/>
    <w:uiPriority w:val="0"/>
    <w:pPr>
      <w:widowControl/>
      <w:snapToGrid w:val="0"/>
      <w:spacing w:before="60" w:after="160" w:line="259" w:lineRule="auto"/>
      <w:ind w:right="113"/>
    </w:pPr>
    <w:rPr>
      <w:kern w:val="0"/>
      <w:sz w:val="18"/>
      <w:szCs w:val="20"/>
    </w:rPr>
  </w:style>
  <w:style w:type="paragraph" w:customStyle="1" w:styleId="15">
    <w:name w:val="xl27"/>
    <w:basedOn w:val="1"/>
    <w:next w:val="16"/>
    <w:qFormat/>
    <w:uiPriority w:val="99"/>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18030" w:hAnsi="???-18030" w:cs="???-18030"/>
      <w:kern w:val="0"/>
    </w:rPr>
  </w:style>
  <w:style w:type="paragraph" w:customStyle="1" w:styleId="16">
    <w:name w:val="A正文"/>
    <w:basedOn w:val="1"/>
    <w:next w:val="14"/>
    <w:qFormat/>
    <w:uiPriority w:val="0"/>
    <w:pPr>
      <w:spacing w:line="360" w:lineRule="auto"/>
      <w:ind w:firstLine="480" w:firstLineChars="200"/>
    </w:pPr>
    <w:rPr>
      <w:kern w:val="0"/>
      <w:sz w:val="24"/>
    </w:rPr>
  </w:style>
  <w:style w:type="paragraph" w:styleId="17">
    <w:name w:val="Block Text"/>
    <w:basedOn w:val="1"/>
    <w:qFormat/>
    <w:locked/>
    <w:uiPriority w:val="0"/>
    <w:pPr>
      <w:spacing w:after="120"/>
      <w:ind w:left="1440" w:leftChars="700" w:right="1440" w:rightChars="700"/>
    </w:pPr>
    <w:rPr>
      <w:rFonts w:ascii="Times New Roman" w:hAnsi="Times New Roman" w:eastAsia="宋体"/>
      <w:sz w:val="21"/>
    </w:rPr>
  </w:style>
  <w:style w:type="paragraph" w:styleId="18">
    <w:name w:val="Plain Text"/>
    <w:basedOn w:val="1"/>
    <w:next w:val="13"/>
    <w:qFormat/>
    <w:locked/>
    <w:uiPriority w:val="0"/>
    <w:rPr>
      <w:rFonts w:ascii="宋体" w:hAnsi="Courier New" w:cs="Courier New"/>
      <w:szCs w:val="21"/>
    </w:rPr>
  </w:style>
  <w:style w:type="paragraph" w:styleId="19">
    <w:name w:val="Date"/>
    <w:basedOn w:val="1"/>
    <w:next w:val="1"/>
    <w:link w:val="49"/>
    <w:qFormat/>
    <w:uiPriority w:val="0"/>
    <w:pPr>
      <w:ind w:left="100" w:leftChars="2500"/>
    </w:pPr>
    <w:rPr>
      <w:kern w:val="0"/>
      <w:sz w:val="24"/>
      <w:szCs w:val="20"/>
    </w:rPr>
  </w:style>
  <w:style w:type="paragraph" w:styleId="20">
    <w:name w:val="Balloon Text"/>
    <w:basedOn w:val="1"/>
    <w:link w:val="50"/>
    <w:semiHidden/>
    <w:qFormat/>
    <w:uiPriority w:val="0"/>
    <w:rPr>
      <w:kern w:val="0"/>
      <w:sz w:val="18"/>
      <w:szCs w:val="20"/>
    </w:rPr>
  </w:style>
  <w:style w:type="paragraph" w:styleId="21">
    <w:name w:val="footer"/>
    <w:basedOn w:val="1"/>
    <w:link w:val="51"/>
    <w:qFormat/>
    <w:uiPriority w:val="99"/>
    <w:pPr>
      <w:tabs>
        <w:tab w:val="center" w:pos="4153"/>
        <w:tab w:val="right" w:pos="8306"/>
      </w:tabs>
      <w:snapToGrid w:val="0"/>
      <w:jc w:val="left"/>
    </w:pPr>
    <w:rPr>
      <w:kern w:val="0"/>
      <w:sz w:val="18"/>
      <w:szCs w:val="20"/>
    </w:rPr>
  </w:style>
  <w:style w:type="paragraph" w:styleId="22">
    <w:name w:val="header"/>
    <w:basedOn w:val="1"/>
    <w:link w:val="52"/>
    <w:qFormat/>
    <w:uiPriority w:val="0"/>
    <w:pPr>
      <w:pBdr>
        <w:bottom w:val="single" w:color="auto" w:sz="6" w:space="1"/>
      </w:pBdr>
      <w:tabs>
        <w:tab w:val="center" w:pos="4153"/>
        <w:tab w:val="right" w:pos="8306"/>
      </w:tabs>
      <w:snapToGrid w:val="0"/>
      <w:jc w:val="center"/>
    </w:pPr>
    <w:rPr>
      <w:kern w:val="0"/>
      <w:sz w:val="18"/>
      <w:szCs w:val="20"/>
    </w:rPr>
  </w:style>
  <w:style w:type="paragraph" w:styleId="23">
    <w:name w:val="List"/>
    <w:basedOn w:val="1"/>
    <w:qFormat/>
    <w:locked/>
    <w:uiPriority w:val="0"/>
    <w:pPr>
      <w:ind w:left="200" w:hanging="200" w:hangingChars="200"/>
    </w:pPr>
  </w:style>
  <w:style w:type="paragraph" w:styleId="24">
    <w:name w:val="toc 9"/>
    <w:basedOn w:val="1"/>
    <w:next w:val="1"/>
    <w:qFormat/>
    <w:locked/>
    <w:uiPriority w:val="0"/>
    <w:pPr>
      <w:widowControl/>
      <w:wordWrap w:val="0"/>
      <w:ind w:left="2975"/>
    </w:pPr>
    <w:rPr>
      <w:szCs w:val="22"/>
    </w:rPr>
  </w:style>
  <w:style w:type="paragraph" w:styleId="25">
    <w:name w:val="Normal (Web)"/>
    <w:basedOn w:val="1"/>
    <w:link w:val="53"/>
    <w:qFormat/>
    <w:uiPriority w:val="0"/>
    <w:pPr>
      <w:widowControl/>
      <w:spacing w:before="100" w:beforeAutospacing="1" w:after="100" w:afterAutospacing="1"/>
      <w:jc w:val="left"/>
    </w:pPr>
    <w:rPr>
      <w:rFonts w:ascii="宋体" w:hAnsi="宋体"/>
      <w:kern w:val="0"/>
      <w:sz w:val="24"/>
      <w:szCs w:val="20"/>
    </w:rPr>
  </w:style>
  <w:style w:type="paragraph" w:styleId="26">
    <w:name w:val="annotation subject"/>
    <w:basedOn w:val="12"/>
    <w:next w:val="12"/>
    <w:link w:val="54"/>
    <w:semiHidden/>
    <w:qFormat/>
    <w:uiPriority w:val="0"/>
    <w:rPr>
      <w:b/>
    </w:rPr>
  </w:style>
  <w:style w:type="paragraph" w:styleId="27">
    <w:name w:val="Body Text First Indent"/>
    <w:basedOn w:val="14"/>
    <w:qFormat/>
    <w:locked/>
    <w:uiPriority w:val="0"/>
    <w:pPr>
      <w:spacing w:after="120" w:line="240" w:lineRule="auto"/>
      <w:ind w:firstLine="420" w:firstLineChars="100"/>
    </w:pPr>
    <w:rPr>
      <w:sz w:val="21"/>
      <w:szCs w:val="24"/>
    </w:rPr>
  </w:style>
  <w:style w:type="table" w:styleId="29">
    <w:name w:val="Table Grid"/>
    <w:basedOn w:val="2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locked/>
    <w:uiPriority w:val="0"/>
    <w:rPr>
      <w:b/>
    </w:rPr>
  </w:style>
  <w:style w:type="character" w:styleId="32">
    <w:name w:val="page number"/>
    <w:basedOn w:val="30"/>
    <w:qFormat/>
    <w:locked/>
    <w:uiPriority w:val="0"/>
  </w:style>
  <w:style w:type="character" w:styleId="33">
    <w:name w:val="Emphasis"/>
    <w:basedOn w:val="30"/>
    <w:qFormat/>
    <w:locked/>
    <w:uiPriority w:val="0"/>
    <w:rPr>
      <w:i/>
    </w:rPr>
  </w:style>
  <w:style w:type="character" w:styleId="34">
    <w:name w:val="Hyperlink"/>
    <w:basedOn w:val="30"/>
    <w:qFormat/>
    <w:locked/>
    <w:uiPriority w:val="0"/>
    <w:rPr>
      <w:color w:val="3366CC"/>
      <w:u w:val="single"/>
    </w:rPr>
  </w:style>
  <w:style w:type="character" w:styleId="35">
    <w:name w:val="annotation reference"/>
    <w:semiHidden/>
    <w:qFormat/>
    <w:uiPriority w:val="0"/>
    <w:rPr>
      <w:sz w:val="21"/>
    </w:rPr>
  </w:style>
  <w:style w:type="paragraph" w:customStyle="1" w:styleId="36">
    <w:name w:val="样式 正文文本缩进 + 行距: 1.5 倍行距"/>
    <w:basedOn w:val="37"/>
    <w:qFormat/>
    <w:uiPriority w:val="0"/>
    <w:pPr>
      <w:spacing w:after="120" w:line="360" w:lineRule="auto"/>
      <w:ind w:left="90" w:leftChars="32" w:firstLine="560" w:firstLineChars="200"/>
    </w:pPr>
    <w:rPr>
      <w:rFonts w:cs="宋体"/>
      <w:sz w:val="24"/>
    </w:rPr>
  </w:style>
  <w:style w:type="paragraph" w:customStyle="1" w:styleId="37">
    <w:name w:val="Body Text Indent"/>
    <w:basedOn w:val="1"/>
    <w:next w:val="36"/>
    <w:qFormat/>
    <w:uiPriority w:val="0"/>
    <w:pPr>
      <w:spacing w:after="120" w:afterLines="0"/>
      <w:ind w:left="420" w:leftChars="200"/>
    </w:pPr>
    <w:rPr>
      <w:rFonts w:ascii="Times New Roman" w:hAnsi="Times New Roman" w:eastAsia="宋体"/>
      <w:sz w:val="24"/>
    </w:rPr>
  </w:style>
  <w:style w:type="paragraph" w:customStyle="1" w:styleId="38">
    <w:name w:val="Default"/>
    <w:basedOn w:val="39"/>
    <w:next w:val="40"/>
    <w:qFormat/>
    <w:uiPriority w:val="0"/>
    <w:pPr>
      <w:adjustRightInd w:val="0"/>
    </w:pPr>
    <w:rPr>
      <w:rFonts w:ascii="黑体" w:eastAsia="黑体" w:cs="黑体"/>
      <w:color w:val="000000"/>
      <w:sz w:val="24"/>
      <w:lang w:val="en-US"/>
    </w:rPr>
  </w:style>
  <w:style w:type="paragraph" w:customStyle="1" w:styleId="39">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40">
    <w:name w:val="1正文段落"/>
    <w:basedOn w:val="1"/>
    <w:qFormat/>
    <w:uiPriority w:val="0"/>
    <w:pPr>
      <w:spacing w:line="360" w:lineRule="auto"/>
      <w:ind w:firstLine="480" w:firstLineChars="200"/>
      <w:jc w:val="left"/>
    </w:pPr>
    <w:rPr>
      <w:snapToGrid w:val="0"/>
      <w:kern w:val="0"/>
      <w:sz w:val="24"/>
    </w:rPr>
  </w:style>
  <w:style w:type="paragraph" w:customStyle="1" w:styleId="41">
    <w:name w:val="标题2"/>
    <w:basedOn w:val="6"/>
    <w:qFormat/>
    <w:uiPriority w:val="0"/>
    <w:pPr>
      <w:keepLines w:val="0"/>
      <w:adjustRightInd w:val="0"/>
      <w:snapToGrid w:val="0"/>
      <w:spacing w:before="0" w:after="0" w:line="360" w:lineRule="auto"/>
    </w:pPr>
    <w:rPr>
      <w:rFonts w:ascii="黑体" w:hAnsi="Times New Roman"/>
      <w:snapToGrid w:val="0"/>
      <w:kern w:val="0"/>
      <w:sz w:val="24"/>
      <w:szCs w:val="20"/>
    </w:rPr>
  </w:style>
  <w:style w:type="paragraph" w:customStyle="1" w:styleId="42">
    <w:name w:val="样式3"/>
    <w:basedOn w:val="1"/>
    <w:next w:val="43"/>
    <w:qFormat/>
    <w:uiPriority w:val="0"/>
    <w:pPr>
      <w:autoSpaceDE w:val="0"/>
      <w:autoSpaceDN w:val="0"/>
      <w:snapToGrid w:val="0"/>
      <w:spacing w:before="120" w:line="460" w:lineRule="atLeast"/>
      <w:jc w:val="center"/>
    </w:pPr>
    <w:rPr>
      <w:rFonts w:eastAsia="黑体"/>
      <w:sz w:val="28"/>
    </w:rPr>
  </w:style>
  <w:style w:type="paragraph" w:customStyle="1" w:styleId="43">
    <w:name w:val="目录 53"/>
    <w:basedOn w:val="1"/>
    <w:next w:val="1"/>
    <w:qFormat/>
    <w:uiPriority w:val="0"/>
    <w:pPr>
      <w:ind w:left="840"/>
    </w:pPr>
    <w:rPr>
      <w:rFonts w:cs="宋体"/>
      <w:color w:val="000000"/>
    </w:rPr>
  </w:style>
  <w:style w:type="paragraph" w:customStyle="1" w:styleId="44">
    <w:name w:val="文本"/>
    <w:basedOn w:val="1"/>
    <w:next w:val="1"/>
    <w:qFormat/>
    <w:uiPriority w:val="0"/>
    <w:pPr>
      <w:autoSpaceDE w:val="0"/>
      <w:autoSpaceDN w:val="0"/>
      <w:ind w:firstLine="480"/>
    </w:pPr>
    <w:rPr>
      <w:lang w:val="zh-CN"/>
    </w:rPr>
  </w:style>
  <w:style w:type="paragraph" w:customStyle="1" w:styleId="45">
    <w:name w:val="标号正文"/>
    <w:basedOn w:val="1"/>
    <w:next w:val="1"/>
    <w:qFormat/>
    <w:uiPriority w:val="0"/>
    <w:pPr>
      <w:tabs>
        <w:tab w:val="left" w:pos="1540"/>
      </w:tabs>
      <w:overflowPunct w:val="0"/>
      <w:snapToGrid w:val="0"/>
      <w:spacing w:line="360" w:lineRule="auto"/>
      <w:ind w:firstLine="1040"/>
      <w:jc w:val="left"/>
    </w:pPr>
    <w:rPr>
      <w:rFonts w:ascii="Arial" w:hAnsi="Arial"/>
      <w:sz w:val="24"/>
      <w:szCs w:val="20"/>
    </w:rPr>
  </w:style>
  <w:style w:type="character" w:customStyle="1" w:styleId="46">
    <w:name w:val="批注文字 字符"/>
    <w:link w:val="12"/>
    <w:qFormat/>
    <w:locked/>
    <w:uiPriority w:val="0"/>
    <w:rPr>
      <w:rFonts w:ascii="Times New Roman" w:hAnsi="Times New Roman" w:eastAsia="宋体"/>
      <w:sz w:val="24"/>
    </w:rPr>
  </w:style>
  <w:style w:type="character" w:customStyle="1" w:styleId="47">
    <w:name w:val="正文文本 字符"/>
    <w:link w:val="14"/>
    <w:qFormat/>
    <w:locked/>
    <w:uiPriority w:val="0"/>
    <w:rPr>
      <w:sz w:val="18"/>
    </w:rPr>
  </w:style>
  <w:style w:type="character" w:customStyle="1" w:styleId="48">
    <w:name w:val="正文文本缩进 字符"/>
    <w:link w:val="3"/>
    <w:semiHidden/>
    <w:qFormat/>
    <w:locked/>
    <w:uiPriority w:val="0"/>
    <w:rPr>
      <w:rFonts w:ascii="Times New Roman" w:hAnsi="Times New Roman" w:eastAsia="宋体"/>
      <w:sz w:val="24"/>
    </w:rPr>
  </w:style>
  <w:style w:type="character" w:customStyle="1" w:styleId="49">
    <w:name w:val="日期 字符1"/>
    <w:link w:val="19"/>
    <w:qFormat/>
    <w:locked/>
    <w:uiPriority w:val="0"/>
    <w:rPr>
      <w:rFonts w:ascii="Times New Roman" w:hAnsi="Times New Roman" w:eastAsia="宋体"/>
      <w:sz w:val="24"/>
    </w:rPr>
  </w:style>
  <w:style w:type="character" w:customStyle="1" w:styleId="50">
    <w:name w:val="批注框文本 字符"/>
    <w:link w:val="20"/>
    <w:semiHidden/>
    <w:qFormat/>
    <w:locked/>
    <w:uiPriority w:val="0"/>
    <w:rPr>
      <w:rFonts w:ascii="Times New Roman" w:hAnsi="Times New Roman" w:eastAsia="宋体"/>
      <w:sz w:val="18"/>
    </w:rPr>
  </w:style>
  <w:style w:type="character" w:customStyle="1" w:styleId="51">
    <w:name w:val="页脚 字符1"/>
    <w:link w:val="21"/>
    <w:qFormat/>
    <w:locked/>
    <w:uiPriority w:val="99"/>
    <w:rPr>
      <w:sz w:val="18"/>
    </w:rPr>
  </w:style>
  <w:style w:type="character" w:customStyle="1" w:styleId="52">
    <w:name w:val="页眉 字符"/>
    <w:link w:val="22"/>
    <w:qFormat/>
    <w:locked/>
    <w:uiPriority w:val="0"/>
    <w:rPr>
      <w:sz w:val="18"/>
    </w:rPr>
  </w:style>
  <w:style w:type="character" w:customStyle="1" w:styleId="53">
    <w:name w:val="普通(网站) 字符"/>
    <w:link w:val="25"/>
    <w:qFormat/>
    <w:locked/>
    <w:uiPriority w:val="0"/>
    <w:rPr>
      <w:rFonts w:ascii="宋体" w:hAnsi="宋体" w:eastAsia="宋体"/>
      <w:sz w:val="24"/>
    </w:rPr>
  </w:style>
  <w:style w:type="character" w:customStyle="1" w:styleId="54">
    <w:name w:val="批注主题 字符"/>
    <w:link w:val="26"/>
    <w:semiHidden/>
    <w:qFormat/>
    <w:locked/>
    <w:uiPriority w:val="0"/>
    <w:rPr>
      <w:rFonts w:ascii="Times New Roman" w:hAnsi="Times New Roman" w:eastAsia="宋体"/>
      <w:b/>
      <w:kern w:val="2"/>
      <w:sz w:val="24"/>
    </w:rPr>
  </w:style>
  <w:style w:type="paragraph" w:customStyle="1" w:styleId="55">
    <w:name w:val="纯文本1"/>
    <w:basedOn w:val="1"/>
    <w:qFormat/>
    <w:uiPriority w:val="0"/>
    <w:pPr>
      <w:adjustRightInd w:val="0"/>
    </w:pPr>
    <w:rPr>
      <w:rFonts w:ascii="宋体" w:hAnsi="Courier New"/>
      <w:szCs w:val="20"/>
    </w:rPr>
  </w:style>
  <w:style w:type="character" w:customStyle="1" w:styleId="56">
    <w:name w:val="批注文字 字符1"/>
    <w:semiHidden/>
    <w:qFormat/>
    <w:uiPriority w:val="0"/>
    <w:rPr>
      <w:rFonts w:ascii="Times New Roman" w:hAnsi="Times New Roman" w:eastAsia="宋体"/>
      <w:sz w:val="24"/>
    </w:rPr>
  </w:style>
  <w:style w:type="character" w:customStyle="1" w:styleId="57">
    <w:name w:val="font01"/>
    <w:basedOn w:val="30"/>
    <w:qFormat/>
    <w:uiPriority w:val="0"/>
    <w:rPr>
      <w:rFonts w:hint="eastAsia" w:ascii="宋体" w:hAnsi="宋体" w:eastAsia="宋体" w:cs="宋体"/>
      <w:color w:val="000000"/>
      <w:sz w:val="21"/>
      <w:szCs w:val="21"/>
      <w:u w:val="none"/>
    </w:rPr>
  </w:style>
  <w:style w:type="character" w:customStyle="1" w:styleId="58">
    <w:name w:val="font11"/>
    <w:basedOn w:val="30"/>
    <w:qFormat/>
    <w:uiPriority w:val="0"/>
    <w:rPr>
      <w:rFonts w:hint="default" w:ascii="等线" w:hAnsi="等线" w:eastAsia="等线" w:cs="等线"/>
      <w:color w:val="000000"/>
      <w:sz w:val="20"/>
      <w:szCs w:val="20"/>
      <w:u w:val="none"/>
    </w:rPr>
  </w:style>
  <w:style w:type="character" w:customStyle="1" w:styleId="59">
    <w:name w:val="页脚 字符"/>
    <w:basedOn w:val="30"/>
    <w:qFormat/>
    <w:uiPriority w:val="99"/>
  </w:style>
  <w:style w:type="character" w:customStyle="1" w:styleId="60">
    <w:name w:val="font21"/>
    <w:basedOn w:val="30"/>
    <w:qFormat/>
    <w:uiPriority w:val="0"/>
    <w:rPr>
      <w:rFonts w:hint="default" w:ascii="Times New Roman" w:hAnsi="Times New Roman" w:cs="Times New Roman"/>
      <w:color w:val="000000"/>
      <w:sz w:val="21"/>
      <w:szCs w:val="21"/>
      <w:u w:val="none"/>
    </w:rPr>
  </w:style>
  <w:style w:type="character" w:customStyle="1" w:styleId="61">
    <w:name w:val="font31"/>
    <w:basedOn w:val="30"/>
    <w:qFormat/>
    <w:uiPriority w:val="0"/>
    <w:rPr>
      <w:rFonts w:ascii="楷体" w:hAnsi="楷体" w:eastAsia="楷体" w:cs="楷体"/>
      <w:color w:val="000000"/>
      <w:sz w:val="20"/>
      <w:szCs w:val="20"/>
      <w:u w:val="none"/>
    </w:rPr>
  </w:style>
  <w:style w:type="character" w:customStyle="1" w:styleId="62">
    <w:name w:val="font41"/>
    <w:basedOn w:val="30"/>
    <w:qFormat/>
    <w:uiPriority w:val="0"/>
    <w:rPr>
      <w:rFonts w:hint="eastAsia" w:ascii="微软雅黑" w:hAnsi="微软雅黑" w:eastAsia="微软雅黑" w:cs="微软雅黑"/>
      <w:color w:val="000000"/>
      <w:sz w:val="36"/>
      <w:szCs w:val="36"/>
      <w:u w:val="none"/>
    </w:rPr>
  </w:style>
  <w:style w:type="character" w:customStyle="1" w:styleId="63">
    <w:name w:val="表格 Char"/>
    <w:link w:val="64"/>
    <w:qFormat/>
    <w:locked/>
    <w:uiPriority w:val="0"/>
    <w:rPr>
      <w:rFonts w:ascii="宋体"/>
      <w:sz w:val="21"/>
    </w:rPr>
  </w:style>
  <w:style w:type="paragraph" w:customStyle="1" w:styleId="64">
    <w:name w:val="表格"/>
    <w:basedOn w:val="23"/>
    <w:next w:val="1"/>
    <w:link w:val="63"/>
    <w:qFormat/>
    <w:uiPriority w:val="0"/>
    <w:pPr>
      <w:adjustRightInd w:val="0"/>
      <w:snapToGrid w:val="0"/>
      <w:spacing w:beforeLines="10" w:afterLines="10" w:line="259" w:lineRule="auto"/>
      <w:jc w:val="center"/>
    </w:pPr>
    <w:rPr>
      <w:rFonts w:ascii="宋体"/>
      <w:kern w:val="0"/>
      <w:szCs w:val="20"/>
    </w:rPr>
  </w:style>
  <w:style w:type="paragraph" w:customStyle="1" w:styleId="65">
    <w:name w:val="表头"/>
    <w:next w:val="1"/>
    <w:qFormat/>
    <w:uiPriority w:val="0"/>
    <w:pPr>
      <w:jc w:val="center"/>
    </w:pPr>
    <w:rPr>
      <w:rFonts w:ascii="Times New Roman" w:hAnsi="Times New Roman" w:eastAsia="黑体" w:cs="Times New Roman"/>
      <w:sz w:val="21"/>
      <w:lang w:val="en-US" w:eastAsia="zh-CN" w:bidi="ar-SA"/>
    </w:rPr>
  </w:style>
  <w:style w:type="character" w:customStyle="1" w:styleId="66">
    <w:name w:val="正文文本 字符1"/>
    <w:semiHidden/>
    <w:qFormat/>
    <w:uiPriority w:val="0"/>
    <w:rPr>
      <w:rFonts w:ascii="Times New Roman" w:hAnsi="Times New Roman" w:eastAsia="宋体"/>
      <w:sz w:val="24"/>
    </w:rPr>
  </w:style>
  <w:style w:type="character" w:customStyle="1" w:styleId="67">
    <w:name w:val="日期 字符"/>
    <w:semiHidden/>
    <w:qFormat/>
    <w:uiPriority w:val="0"/>
    <w:rPr>
      <w:rFonts w:ascii="Times New Roman" w:hAnsi="Times New Roman" w:eastAsia="宋体"/>
      <w:sz w:val="24"/>
    </w:rPr>
  </w:style>
  <w:style w:type="character" w:customStyle="1" w:styleId="68">
    <w:name w:val="font81"/>
    <w:basedOn w:val="30"/>
    <w:qFormat/>
    <w:uiPriority w:val="0"/>
    <w:rPr>
      <w:rFonts w:hint="eastAsia" w:ascii="宋体" w:hAnsi="宋体" w:eastAsia="宋体" w:cs="宋体"/>
      <w:color w:val="000000"/>
      <w:sz w:val="20"/>
      <w:szCs w:val="20"/>
      <w:u w:val="none"/>
    </w:rPr>
  </w:style>
  <w:style w:type="paragraph" w:customStyle="1" w:styleId="69">
    <w:name w:val="列出段落1"/>
    <w:basedOn w:val="1"/>
    <w:qFormat/>
    <w:uiPriority w:val="0"/>
    <w:pPr>
      <w:ind w:firstLine="420" w:firstLineChars="200"/>
    </w:pPr>
  </w:style>
  <w:style w:type="paragraph" w:customStyle="1" w:styleId="70">
    <w:name w:val="报告正文"/>
    <w:basedOn w:val="1"/>
    <w:qFormat/>
    <w:uiPriority w:val="0"/>
    <w:pPr>
      <w:spacing w:line="440" w:lineRule="exact"/>
      <w:ind w:firstLine="480" w:firstLineChars="200"/>
    </w:pPr>
    <w:rPr>
      <w:color w:val="000000"/>
      <w:sz w:val="24"/>
    </w:rPr>
  </w:style>
  <w:style w:type="paragraph" w:customStyle="1" w:styleId="71">
    <w:name w:val="表内格式"/>
    <w:basedOn w:val="1"/>
    <w:qFormat/>
    <w:uiPriority w:val="0"/>
    <w:rPr>
      <w:rFonts w:ascii="宋体" w:hAnsi="宋体" w:cs="宋体"/>
      <w:bCs/>
      <w:spacing w:val="-1"/>
      <w:kern w:val="0"/>
      <w:sz w:val="20"/>
      <w:szCs w:val="21"/>
    </w:rPr>
  </w:style>
  <w:style w:type="paragraph" w:customStyle="1" w:styleId="72">
    <w:name w:val="p0"/>
    <w:basedOn w:val="1"/>
    <w:qFormat/>
    <w:uiPriority w:val="0"/>
    <w:pPr>
      <w:widowControl/>
    </w:pPr>
    <w:rPr>
      <w:kern w:val="0"/>
      <w:szCs w:val="21"/>
    </w:rPr>
  </w:style>
  <w:style w:type="paragraph" w:customStyle="1" w:styleId="73">
    <w:name w:val="普通(网站)2"/>
    <w:basedOn w:val="1"/>
    <w:qFormat/>
    <w:uiPriority w:val="0"/>
    <w:pPr>
      <w:widowControl/>
      <w:spacing w:before="100" w:beforeAutospacing="1" w:after="100" w:afterAutospacing="1"/>
      <w:jc w:val="left"/>
    </w:pPr>
    <w:rPr>
      <w:rFonts w:ascii="宋体" w:hAnsi="宋体"/>
      <w:sz w:val="24"/>
      <w:szCs w:val="20"/>
    </w:rPr>
  </w:style>
  <w:style w:type="paragraph" w:customStyle="1" w:styleId="74">
    <w:name w:val="[1]正文"/>
    <w:basedOn w:val="1"/>
    <w:qFormat/>
    <w:uiPriority w:val="0"/>
    <w:pPr>
      <w:snapToGrid w:val="0"/>
      <w:spacing w:line="520" w:lineRule="exact"/>
      <w:ind w:firstLine="200" w:firstLineChars="200"/>
    </w:pPr>
    <w:rPr>
      <w:sz w:val="28"/>
      <w:szCs w:val="28"/>
    </w:rPr>
  </w:style>
  <w:style w:type="paragraph" w:customStyle="1" w:styleId="75">
    <w:name w:val="默认段落字体 Para Char Char Char Char Char Char Char Char Char Char"/>
    <w:basedOn w:val="27"/>
    <w:next w:val="27"/>
    <w:qFormat/>
    <w:uiPriority w:val="0"/>
    <w:pPr>
      <w:tabs>
        <w:tab w:val="left" w:pos="360"/>
        <w:tab w:val="left" w:pos="900"/>
      </w:tabs>
      <w:spacing w:before="120"/>
      <w:ind w:left="542" w:leftChars="-12" w:firstLine="200" w:firstLineChars="200"/>
      <w:jc w:val="left"/>
    </w:pPr>
    <w:rPr>
      <w:rFonts w:ascii="Arial" w:hAnsi="Arial"/>
      <w:b/>
      <w:sz w:val="32"/>
      <w:szCs w:val="20"/>
    </w:rPr>
  </w:style>
  <w:style w:type="paragraph" w:customStyle="1" w:styleId="76">
    <w:name w:val="1"/>
    <w:basedOn w:val="1"/>
    <w:next w:val="10"/>
    <w:qFormat/>
    <w:uiPriority w:val="0"/>
    <w:pPr>
      <w:ind w:firstLine="420"/>
    </w:pPr>
    <w:rPr>
      <w:rFonts w:ascii="宋体"/>
      <w:sz w:val="26"/>
      <w:szCs w:val="20"/>
    </w:rPr>
  </w:style>
  <w:style w:type="paragraph" w:customStyle="1" w:styleId="77">
    <w:name w:val="正文_1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8">
    <w:name w:val="表格内容"/>
    <w:basedOn w:val="1"/>
    <w:next w:val="1"/>
    <w:qFormat/>
    <w:uiPriority w:val="0"/>
    <w:pPr>
      <w:overflowPunct w:val="0"/>
      <w:adjustRightInd w:val="0"/>
      <w:spacing w:before="40" w:after="60" w:line="200" w:lineRule="atLeast"/>
      <w:textAlignment w:val="baseline"/>
    </w:pPr>
    <w:rPr>
      <w:rFonts w:eastAsia="仿宋_GB2312"/>
      <w:kern w:val="0"/>
      <w:sz w:val="24"/>
    </w:rPr>
  </w:style>
  <w:style w:type="paragraph" w:customStyle="1" w:styleId="79">
    <w:name w:val="Table Paragraph"/>
    <w:basedOn w:val="1"/>
    <w:qFormat/>
    <w:uiPriority w:val="1"/>
    <w:pPr>
      <w:jc w:val="left"/>
    </w:pPr>
    <w:rPr>
      <w:rFonts w:ascii="Calibri" w:hAnsi="Calibri"/>
      <w:kern w:val="0"/>
      <w:sz w:val="22"/>
      <w:szCs w:val="22"/>
      <w:lang w:eastAsia="en-US"/>
    </w:rPr>
  </w:style>
  <w:style w:type="paragraph" w:customStyle="1" w:styleId="80">
    <w:name w:val="页末正文"/>
    <w:basedOn w:val="1"/>
    <w:qFormat/>
    <w:uiPriority w:val="0"/>
    <w:pPr>
      <w:spacing w:after="240" w:line="480" w:lineRule="exact"/>
      <w:ind w:firstLine="560" w:firstLineChars="200"/>
    </w:pPr>
    <w:rPr>
      <w:rFonts w:eastAsia="楷体_GB2312"/>
      <w:color w:val="000000"/>
      <w:sz w:val="28"/>
      <w:szCs w:val="20"/>
    </w:rPr>
  </w:style>
  <w:style w:type="paragraph" w:customStyle="1" w:styleId="81">
    <w:name w:val="表格标题标题"/>
    <w:basedOn w:val="82"/>
    <w:qFormat/>
    <w:uiPriority w:val="0"/>
    <w:pPr>
      <w:snapToGrid/>
      <w:spacing w:line="320" w:lineRule="exact"/>
      <w:ind w:firstLine="0" w:firstLineChars="0"/>
      <w:jc w:val="center"/>
    </w:pPr>
    <w:rPr>
      <w:spacing w:val="4"/>
      <w:sz w:val="20"/>
      <w:szCs w:val="21"/>
    </w:rPr>
  </w:style>
  <w:style w:type="paragraph" w:customStyle="1" w:styleId="82">
    <w:name w:val="正本文字"/>
    <w:basedOn w:val="1"/>
    <w:qFormat/>
    <w:uiPriority w:val="0"/>
    <w:pPr>
      <w:adjustRightInd w:val="0"/>
      <w:snapToGrid w:val="0"/>
      <w:spacing w:line="360" w:lineRule="auto"/>
      <w:ind w:firstLine="480" w:firstLineChars="200"/>
      <w:jc w:val="left"/>
    </w:pPr>
    <w:rPr>
      <w:kern w:val="18"/>
      <w:sz w:val="24"/>
      <w:szCs w:val="20"/>
    </w:rPr>
  </w:style>
  <w:style w:type="paragraph" w:customStyle="1" w:styleId="83">
    <w:name w:val="hhcwt正文"/>
    <w:basedOn w:val="1"/>
    <w:qFormat/>
    <w:uiPriority w:val="0"/>
    <w:pPr>
      <w:spacing w:line="360" w:lineRule="auto"/>
      <w:ind w:firstLine="480" w:firstLineChars="200"/>
    </w:pPr>
    <w:rPr>
      <w:rFonts w:cs="宋体"/>
      <w:sz w:val="24"/>
    </w:rPr>
  </w:style>
  <w:style w:type="paragraph" w:customStyle="1" w:styleId="84">
    <w:name w:val="文字"/>
    <w:basedOn w:val="1"/>
    <w:qFormat/>
    <w:uiPriority w:val="0"/>
    <w:pPr>
      <w:spacing w:line="360" w:lineRule="auto"/>
    </w:pPr>
  </w:style>
  <w:style w:type="paragraph" w:customStyle="1" w:styleId="85">
    <w:name w:val="Default2"/>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6">
    <w:name w:val="表内容"/>
    <w:basedOn w:val="1"/>
    <w:qFormat/>
    <w:uiPriority w:val="0"/>
    <w:pPr>
      <w:adjustRightInd w:val="0"/>
      <w:snapToGrid w:val="0"/>
      <w:spacing w:after="120"/>
      <w:jc w:val="left"/>
      <w:textAlignment w:val="bottom"/>
    </w:pPr>
    <w:rPr>
      <w:rFonts w:ascii="Arial" w:hAnsi="Arial" w:eastAsia="楷体_GB2312"/>
      <w:kern w:val="0"/>
      <w:sz w:val="24"/>
      <w:szCs w:val="20"/>
    </w:rPr>
  </w:style>
  <w:style w:type="paragraph" w:customStyle="1" w:styleId="87">
    <w:name w:val="博泵1"/>
    <w:basedOn w:val="1"/>
    <w:qFormat/>
    <w:uiPriority w:val="0"/>
    <w:pPr>
      <w:adjustRightInd w:val="0"/>
      <w:spacing w:line="480" w:lineRule="exact"/>
      <w:ind w:firstLine="200" w:firstLineChars="200"/>
      <w:jc w:val="left"/>
      <w:textAlignment w:val="baseline"/>
    </w:pPr>
    <w:rPr>
      <w:rFonts w:hAnsi="宋体"/>
      <w:color w:val="000000"/>
      <w:kern w:val="0"/>
      <w:sz w:val="24"/>
      <w:szCs w:val="20"/>
    </w:rPr>
  </w:style>
  <w:style w:type="paragraph" w:customStyle="1" w:styleId="88">
    <w:name w:val="正文_8"/>
    <w:qFormat/>
    <w:uiPriority w:val="0"/>
    <w:pPr>
      <w:widowControl w:val="0"/>
      <w:jc w:val="both"/>
    </w:pPr>
    <w:rPr>
      <w:rFonts w:ascii="Calibri" w:hAnsi="Calibri" w:eastAsia="宋体" w:cs="Times New Roman"/>
      <w:lang w:val="en-US" w:eastAsia="zh-CN" w:bidi="ar-SA"/>
    </w:rPr>
  </w:style>
  <w:style w:type="paragraph" w:customStyle="1" w:styleId="89">
    <w:name w:val="中文报告书样式"/>
    <w:basedOn w:val="1"/>
    <w:qFormat/>
    <w:uiPriority w:val="0"/>
    <w:pPr>
      <w:adjustRightInd w:val="0"/>
      <w:spacing w:line="480" w:lineRule="atLeast"/>
      <w:ind w:firstLine="482"/>
      <w:textAlignment w:val="baseline"/>
    </w:pPr>
    <w:rPr>
      <w:kern w:val="24"/>
      <w:sz w:val="24"/>
      <w:szCs w:val="20"/>
    </w:rPr>
  </w:style>
  <w:style w:type="paragraph" w:styleId="90">
    <w:name w:val="List Paragraph"/>
    <w:basedOn w:val="1"/>
    <w:qFormat/>
    <w:uiPriority w:val="34"/>
    <w:pPr>
      <w:ind w:firstLine="420" w:firstLineChars="200"/>
    </w:pPr>
  </w:style>
  <w:style w:type="table" w:customStyle="1" w:styleId="91">
    <w:name w:val="Table Normal"/>
    <w:unhideWhenUsed/>
    <w:qFormat/>
    <w:uiPriority w:val="0"/>
    <w:tblPr>
      <w:tblCellMar>
        <w:top w:w="0" w:type="dxa"/>
        <w:left w:w="0" w:type="dxa"/>
        <w:bottom w:w="0" w:type="dxa"/>
        <w:right w:w="0" w:type="dxa"/>
      </w:tblCellMar>
    </w:tblPr>
  </w:style>
  <w:style w:type="paragraph" w:customStyle="1" w:styleId="92">
    <w:name w:val="4正文文本"/>
    <w:basedOn w:val="1"/>
    <w:qFormat/>
    <w:uiPriority w:val="0"/>
    <w:pPr>
      <w:spacing w:line="360" w:lineRule="auto"/>
      <w:ind w:firstLine="840" w:firstLineChars="200"/>
      <w:jc w:val="left"/>
    </w:pPr>
    <w:rPr>
      <w:sz w:val="24"/>
    </w:rPr>
  </w:style>
  <w:style w:type="paragraph" w:customStyle="1" w:styleId="93">
    <w:name w:val="序号标题"/>
    <w:next w:val="70"/>
    <w:qFormat/>
    <w:uiPriority w:val="0"/>
    <w:pPr>
      <w:spacing w:line="360" w:lineRule="auto"/>
      <w:ind w:firstLine="723" w:firstLineChars="200"/>
    </w:pPr>
    <w:rPr>
      <w:rFonts w:ascii="Times New Roman" w:hAnsi="Times New Roman" w:eastAsia="宋体" w:cs="宋体"/>
      <w:b/>
      <w:sz w:val="24"/>
      <w:szCs w:val="24"/>
      <w:lang w:val="en-US" w:eastAsia="zh-CN" w:bidi="ar-SA"/>
    </w:rPr>
  </w:style>
  <w:style w:type="paragraph" w:customStyle="1" w:styleId="94">
    <w:name w:val="表标题"/>
    <w:basedOn w:val="27"/>
    <w:qFormat/>
    <w:uiPriority w:val="0"/>
    <w:pPr>
      <w:adjustRightInd w:val="0"/>
      <w:spacing w:after="60" w:line="500" w:lineRule="exact"/>
      <w:ind w:firstLine="0" w:firstLineChars="0"/>
      <w:jc w:val="center"/>
    </w:pPr>
    <w:rPr>
      <w:b/>
      <w:bCs/>
      <w:sz w:val="24"/>
      <w:szCs w:val="18"/>
    </w:rPr>
  </w:style>
  <w:style w:type="paragraph" w:customStyle="1" w:styleId="95">
    <w:name w:val="1 正文"/>
    <w:basedOn w:val="1"/>
    <w:qFormat/>
    <w:uiPriority w:val="0"/>
    <w:pPr>
      <w:adjustRightInd w:val="0"/>
      <w:snapToGrid w:val="0"/>
      <w:spacing w:line="360" w:lineRule="auto"/>
      <w:ind w:firstLine="200" w:firstLineChars="200"/>
    </w:pPr>
    <w:rPr>
      <w:kern w:val="0"/>
      <w:szCs w:val="20"/>
    </w:rPr>
  </w:style>
  <w:style w:type="paragraph" w:customStyle="1" w:styleId="96">
    <w:name w:val="Default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7">
    <w:name w:val="表格标题"/>
    <w:basedOn w:val="11"/>
    <w:next w:val="78"/>
    <w:qFormat/>
    <w:uiPriority w:val="0"/>
    <w:pPr>
      <w:jc w:val="center"/>
    </w:pPr>
    <w:rPr>
      <w:b/>
      <w:sz w:val="21"/>
    </w:rPr>
  </w:style>
  <w:style w:type="paragraph" w:customStyle="1" w:styleId="98">
    <w:name w:val="11111111111"/>
    <w:basedOn w:val="1"/>
    <w:qFormat/>
    <w:uiPriority w:val="0"/>
    <w:pPr>
      <w:spacing w:line="480" w:lineRule="exact"/>
      <w:jc w:val="center"/>
    </w:pPr>
    <w:rPr>
      <w:b/>
      <w:kern w:val="0"/>
      <w:sz w:val="20"/>
      <w:szCs w:val="20"/>
    </w:rPr>
  </w:style>
  <w:style w:type="paragraph" w:customStyle="1" w:styleId="99">
    <w:name w:val="正文_7"/>
    <w:qFormat/>
    <w:uiPriority w:val="0"/>
    <w:pPr>
      <w:widowControl w:val="0"/>
      <w:jc w:val="both"/>
    </w:pPr>
    <w:rPr>
      <w:rFonts w:ascii="Calibri" w:hAnsi="Calibri" w:eastAsia="宋体" w:cs="Times New Roman"/>
      <w:lang w:val="en-US" w:eastAsia="zh-CN" w:bidi="ar-SA"/>
    </w:rPr>
  </w:style>
  <w:style w:type="paragraph" w:customStyle="1" w:styleId="100">
    <w:name w:val="正文h"/>
    <w:qFormat/>
    <w:uiPriority w:val="0"/>
    <w:pPr>
      <w:widowControl w:val="0"/>
      <w:spacing w:line="360" w:lineRule="auto"/>
      <w:ind w:firstLine="200" w:firstLineChars="200"/>
    </w:pPr>
    <w:rPr>
      <w:rFonts w:ascii="Times New Roman" w:hAnsi="Times New Roman" w:eastAsia="宋体" w:cs="Times New Roman"/>
      <w:kern w:val="2"/>
      <w:sz w:val="24"/>
      <w:lang w:val="en-US" w:eastAsia="zh-CN" w:bidi="ar-SA"/>
    </w:rPr>
  </w:style>
  <w:style w:type="paragraph" w:customStyle="1" w:styleId="101">
    <w:name w:val="表格正文"/>
    <w:basedOn w:val="1"/>
    <w:qFormat/>
    <w:uiPriority w:val="0"/>
    <w:pPr>
      <w:spacing w:line="360" w:lineRule="exact"/>
      <w:jc w:val="center"/>
    </w:pPr>
    <w:rPr>
      <w:rFonts w:ascii="Calibri" w:hAnsi="Calibri"/>
      <w:szCs w:val="20"/>
    </w:rPr>
  </w:style>
  <w:style w:type="paragraph" w:customStyle="1" w:styleId="102">
    <w:name w:val="正文（首行缩进） Char"/>
    <w:basedOn w:val="1"/>
    <w:qFormat/>
    <w:uiPriority w:val="0"/>
    <w:pPr>
      <w:widowControl/>
      <w:overflowPunct w:val="0"/>
      <w:topLinePunct/>
      <w:autoSpaceDE w:val="0"/>
      <w:autoSpaceDN w:val="0"/>
      <w:adjustRightInd w:val="0"/>
      <w:snapToGrid w:val="0"/>
      <w:spacing w:line="360" w:lineRule="auto"/>
      <w:ind w:firstLine="480" w:firstLineChars="200"/>
      <w:textAlignment w:val="baseline"/>
    </w:pPr>
    <w:rPr>
      <w:kern w:val="0"/>
      <w:sz w:val="24"/>
    </w:rPr>
  </w:style>
  <w:style w:type="paragraph" w:customStyle="1" w:styleId="103">
    <w:name w:val="0正文"/>
    <w:basedOn w:val="1"/>
    <w:qFormat/>
    <w:uiPriority w:val="0"/>
    <w:pPr>
      <w:spacing w:line="360" w:lineRule="auto"/>
      <w:ind w:firstLine="200" w:firstLineChars="200"/>
    </w:pPr>
    <w:rPr>
      <w:szCs w:val="22"/>
    </w:rPr>
  </w:style>
  <w:style w:type="paragraph" w:customStyle="1" w:styleId="104">
    <w:name w:val="正文-zl"/>
    <w:basedOn w:val="1"/>
    <w:qFormat/>
    <w:uiPriority w:val="0"/>
    <w:pPr>
      <w:ind w:firstLine="480"/>
    </w:pPr>
  </w:style>
  <w:style w:type="paragraph" w:customStyle="1" w:styleId="105">
    <w:name w:val="表内文字"/>
    <w:basedOn w:val="1"/>
    <w:next w:val="1"/>
    <w:qFormat/>
    <w:uiPriority w:val="0"/>
    <w:pPr>
      <w:spacing w:line="400" w:lineRule="exact"/>
      <w:ind w:firstLine="624"/>
    </w:pPr>
    <w:rPr>
      <w:spacing w:val="20"/>
      <w:kern w:val="0"/>
      <w:sz w:val="24"/>
      <w:szCs w:val="20"/>
    </w:rPr>
  </w:style>
  <w:style w:type="character" w:customStyle="1" w:styleId="106">
    <w:name w:val="font51"/>
    <w:basedOn w:val="30"/>
    <w:qFormat/>
    <w:uiPriority w:val="0"/>
    <w:rPr>
      <w:rFonts w:hint="eastAsia" w:ascii="宋体" w:hAnsi="宋体" w:eastAsia="宋体" w:cs="宋体"/>
      <w:color w:val="000000"/>
      <w:sz w:val="22"/>
      <w:szCs w:val="22"/>
      <w:u w:val="none"/>
    </w:rPr>
  </w:style>
  <w:style w:type="character" w:customStyle="1" w:styleId="107">
    <w:name w:val="font61"/>
    <w:basedOn w:val="30"/>
    <w:qFormat/>
    <w:uiPriority w:val="0"/>
    <w:rPr>
      <w:rFonts w:hint="eastAsia" w:ascii="宋体" w:hAnsi="宋体" w:eastAsia="宋体" w:cs="宋体"/>
      <w:color w:val="000000"/>
      <w:sz w:val="21"/>
      <w:szCs w:val="21"/>
      <w:u w:val="none"/>
    </w:rPr>
  </w:style>
  <w:style w:type="character" w:customStyle="1" w:styleId="108">
    <w:name w:val="font71"/>
    <w:basedOn w:val="30"/>
    <w:qFormat/>
    <w:uiPriority w:val="0"/>
    <w:rPr>
      <w:rFonts w:hint="eastAsia" w:ascii="宋体" w:hAnsi="宋体" w:eastAsia="宋体" w:cs="宋体"/>
      <w:color w:val="000000"/>
      <w:sz w:val="22"/>
      <w:szCs w:val="22"/>
      <w:u w:val="none"/>
    </w:rPr>
  </w:style>
  <w:style w:type="paragraph" w:customStyle="1" w:styleId="109">
    <w:name w:val="样式 题注"/>
    <w:basedOn w:val="14"/>
    <w:qFormat/>
    <w:uiPriority w:val="0"/>
    <w:pPr>
      <w:tabs>
        <w:tab w:val="left" w:pos="10620"/>
      </w:tabs>
      <w:snapToGrid/>
      <w:spacing w:before="50" w:beforeLines="50" w:after="50" w:afterLines="50" w:line="240" w:lineRule="auto"/>
      <w:jc w:val="center"/>
    </w:pPr>
    <w:rPr>
      <w:b/>
      <w:sz w:val="24"/>
    </w:rPr>
  </w:style>
  <w:style w:type="paragraph" w:customStyle="1" w:styleId="110">
    <w:name w:val="H的表格内容"/>
    <w:basedOn w:val="1"/>
    <w:qFormat/>
    <w:uiPriority w:val="0"/>
    <w:pPr>
      <w:spacing w:line="240" w:lineRule="auto"/>
      <w:ind w:firstLine="0" w:firstLineChars="0"/>
      <w:jc w:val="center"/>
    </w:pPr>
    <w:rPr>
      <w:rFonts w:ascii="Times New Roman" w:hAnsi="Times New Roman" w:eastAsia="宋体" w:cs="Times New Roman"/>
      <w:color w:val="auto"/>
      <w:sz w:val="21"/>
      <w:szCs w:val="21"/>
      <w:lang w:eastAsia="zh-CN"/>
    </w:rPr>
  </w:style>
  <w:style w:type="paragraph" w:customStyle="1" w:styleId="111">
    <w:name w:val="H报告表正文"/>
    <w:basedOn w:val="1"/>
    <w:qFormat/>
    <w:uiPriority w:val="0"/>
    <w:pPr>
      <w:spacing w:line="360" w:lineRule="auto"/>
      <w:ind w:firstLine="720" w:firstLineChars="200"/>
      <w:jc w:val="both"/>
    </w:pPr>
    <w:rPr>
      <w:rFonts w:ascii="Times New Roman" w:hAnsi="Times New Roman" w:eastAsia="宋体" w:cstheme="minorBidi"/>
      <w:sz w:val="24"/>
      <w:szCs w:val="24"/>
      <w:lang w:eastAsia="en-US"/>
    </w:rPr>
  </w:style>
  <w:style w:type="paragraph" w:customStyle="1" w:styleId="112">
    <w:name w:val="H的报告正文"/>
    <w:basedOn w:val="1"/>
    <w:qFormat/>
    <w:uiPriority w:val="0"/>
    <w:pPr>
      <w:autoSpaceDE w:val="0"/>
      <w:autoSpaceDN w:val="0"/>
      <w:adjustRightInd w:val="0"/>
      <w:spacing w:line="360" w:lineRule="auto"/>
      <w:ind w:firstLine="480" w:firstLineChars="200"/>
    </w:pPr>
    <w:rPr>
      <w:rFonts w:ascii="Times New Roman" w:hAnsi="Times New Roman" w:eastAsia="宋体" w:cs="Times New Roman"/>
      <w:color w:val="auto"/>
      <w:szCs w:val="22"/>
    </w:rPr>
  </w:style>
  <w:style w:type="paragraph" w:customStyle="1" w:styleId="113">
    <w:name w:val="第二章图标题编号"/>
    <w:basedOn w:val="1"/>
    <w:qFormat/>
    <w:uiPriority w:val="0"/>
    <w:pPr>
      <w:numPr>
        <w:ilvl w:val="0"/>
        <w:numId w:val="3"/>
      </w:numPr>
      <w:jc w:val="center"/>
    </w:pPr>
    <w:rPr>
      <w:rFonts w:ascii="Times New Roman" w:hAnsi="Times New Roman" w:eastAsia="宋体" w:cs="Times New Roman"/>
      <w:b/>
      <w:bCs/>
      <w:color w:val="auto"/>
      <w:sz w:val="21"/>
      <w:szCs w:val="21"/>
      <w:lang w:bidi="ar"/>
    </w:rPr>
  </w:style>
  <w:style w:type="paragraph" w:customStyle="1" w:styleId="114">
    <w:name w:val="第一章表标题编号"/>
    <w:basedOn w:val="115"/>
    <w:qFormat/>
    <w:uiPriority w:val="0"/>
    <w:pPr>
      <w:numPr>
        <w:ilvl w:val="0"/>
        <w:numId w:val="4"/>
      </w:numPr>
    </w:pPr>
    <w:rPr>
      <w:rFonts w:ascii="Times New Roman" w:hAnsi="Times New Roman" w:eastAsia="宋体"/>
      <w:lang w:eastAsia="zh-CN"/>
    </w:rPr>
  </w:style>
  <w:style w:type="paragraph" w:customStyle="1" w:styleId="115">
    <w:name w:val="H的表头"/>
    <w:basedOn w:val="1"/>
    <w:qFormat/>
    <w:uiPriority w:val="0"/>
    <w:pPr>
      <w:widowControl/>
      <w:spacing w:line="360" w:lineRule="auto"/>
      <w:ind w:firstLine="0" w:firstLineChars="0"/>
      <w:jc w:val="center"/>
    </w:pPr>
    <w:rPr>
      <w:rFonts w:ascii="Times New Roman" w:hAnsi="Times New Roman" w:eastAsia="宋体" w:cs="Times New Roman"/>
      <w:b/>
      <w:bCs/>
      <w:color w:val="auto"/>
      <w:sz w:val="21"/>
      <w:szCs w:val="21"/>
      <w:lang w:bidi="ar"/>
    </w:rPr>
  </w:style>
  <w:style w:type="paragraph" w:customStyle="1" w:styleId="116">
    <w:name w:val="报告表正文"/>
    <w:basedOn w:val="1"/>
    <w:qFormat/>
    <w:uiPriority w:val="0"/>
    <w:pPr>
      <w:spacing w:line="360" w:lineRule="auto"/>
      <w:ind w:firstLine="720" w:firstLineChars="200"/>
      <w:jc w:val="left"/>
    </w:pPr>
    <w:rPr>
      <w:sz w:val="24"/>
    </w:rPr>
  </w:style>
  <w:style w:type="paragraph" w:customStyle="1" w:styleId="117">
    <w:name w:val="表格文字"/>
    <w:basedOn w:val="118"/>
    <w:next w:val="1"/>
    <w:qFormat/>
    <w:uiPriority w:val="0"/>
    <w:pPr>
      <w:adjustRightInd w:val="0"/>
      <w:jc w:val="center"/>
      <w:textAlignment w:val="baseline"/>
    </w:pPr>
    <w:rPr>
      <w:kern w:val="0"/>
      <w:sz w:val="24"/>
      <w:szCs w:val="20"/>
    </w:rPr>
  </w:style>
  <w:style w:type="paragraph" w:customStyle="1" w:styleId="118">
    <w:name w:val="小表文"/>
    <w:basedOn w:val="1"/>
    <w:qFormat/>
    <w:uiPriority w:val="99"/>
    <w:pPr>
      <w:autoSpaceDE w:val="0"/>
      <w:autoSpaceDN w:val="0"/>
      <w:spacing w:before="20"/>
      <w:ind w:left="200" w:leftChars="200"/>
      <w:jc w:val="left"/>
      <w:textAlignment w:val="baseline"/>
    </w:pPr>
    <w:rPr>
      <w:kern w:val="0"/>
      <w:sz w:val="18"/>
      <w:szCs w:val="20"/>
    </w:rPr>
  </w:style>
  <w:style w:type="paragraph" w:customStyle="1" w:styleId="119">
    <w:name w:val="表格内部—常用"/>
    <w:basedOn w:val="1"/>
    <w:next w:val="1"/>
    <w:qFormat/>
    <w:uiPriority w:val="0"/>
    <w:pPr>
      <w:jc w:val="center"/>
    </w:pPr>
    <w:rPr>
      <w:szCs w:val="21"/>
    </w:rPr>
  </w:style>
  <w:style w:type="paragraph" w:customStyle="1" w:styleId="120">
    <w:name w:val="图、表内容"/>
    <w:basedOn w:val="1"/>
    <w:qFormat/>
    <w:uiPriority w:val="0"/>
    <w:pPr>
      <w:spacing w:line="240" w:lineRule="auto"/>
      <w:ind w:firstLine="0" w:firstLineChars="0"/>
      <w:jc w:val="center"/>
    </w:pPr>
    <w:rPr>
      <w:sz w:val="21"/>
    </w:rPr>
  </w:style>
  <w:style w:type="paragraph" w:customStyle="1" w:styleId="121">
    <w:name w:val="表BT-zl"/>
    <w:basedOn w:val="1"/>
    <w:qFormat/>
    <w:uiPriority w:val="0"/>
    <w:pPr>
      <w:widowControl/>
      <w:spacing w:before="163" w:beforeLines="50" w:line="240" w:lineRule="auto"/>
      <w:ind w:firstLine="0" w:firstLineChars="0"/>
      <w:jc w:val="center"/>
    </w:pPr>
    <w:rPr>
      <w:b/>
      <w:bCs/>
      <w:kern w:val="0"/>
      <w:sz w:val="21"/>
      <w:szCs w:val="21"/>
    </w:rPr>
  </w:style>
  <w:style w:type="paragraph" w:customStyle="1" w:styleId="122">
    <w:name w:val="表格标题WWWWWWWWWWW"/>
    <w:basedOn w:val="1"/>
    <w:qFormat/>
    <w:uiPriority w:val="0"/>
    <w:pPr>
      <w:spacing w:before="156" w:beforeLines="50" w:line="400" w:lineRule="exact"/>
      <w:jc w:val="center"/>
    </w:pPr>
    <w:rPr>
      <w:rFonts w:ascii="宋体"/>
      <w:b/>
      <w:sz w:val="21"/>
    </w:rPr>
  </w:style>
  <w:style w:type="character" w:customStyle="1" w:styleId="123">
    <w:name w:val="fontstyle01"/>
    <w:qFormat/>
    <w:uiPriority w:val="0"/>
    <w:rPr>
      <w:rFonts w:hint="eastAsia" w:ascii="宋体" w:hAnsi="宋体" w:eastAsia="宋体"/>
      <w:color w:val="000000"/>
      <w:sz w:val="24"/>
      <w:szCs w:val="24"/>
    </w:rPr>
  </w:style>
  <w:style w:type="paragraph" w:customStyle="1" w:styleId="124">
    <w:name w:val="样式 小四 黑色 行距: 固定值 26 磅"/>
    <w:basedOn w:val="1"/>
    <w:qFormat/>
    <w:uiPriority w:val="0"/>
    <w:pPr>
      <w:spacing w:line="520" w:lineRule="exact"/>
      <w:ind w:firstLine="504" w:firstLineChars="200"/>
    </w:pPr>
    <w:rPr>
      <w:rFonts w:cs="宋体"/>
      <w:color w:val="000000"/>
      <w:spacing w:val="6"/>
      <w:sz w:val="24"/>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footer" Target="footer2.xml"/><Relationship Id="rId39" Type="http://schemas.openxmlformats.org/officeDocument/2006/relationships/image" Target="media/image26.wmf"/><Relationship Id="rId38" Type="http://schemas.openxmlformats.org/officeDocument/2006/relationships/oleObject" Target="embeddings/oleObject6.bin"/><Relationship Id="rId37" Type="http://schemas.openxmlformats.org/officeDocument/2006/relationships/image" Target="media/image25.wmf"/><Relationship Id="rId36" Type="http://schemas.openxmlformats.org/officeDocument/2006/relationships/oleObject" Target="embeddings/oleObject5.bin"/><Relationship Id="rId35" Type="http://schemas.openxmlformats.org/officeDocument/2006/relationships/image" Target="media/image24.wmf"/><Relationship Id="rId34" Type="http://schemas.openxmlformats.org/officeDocument/2006/relationships/oleObject" Target="embeddings/oleObject4.bin"/><Relationship Id="rId33" Type="http://schemas.openxmlformats.org/officeDocument/2006/relationships/image" Target="media/image23.wmf"/><Relationship Id="rId32" Type="http://schemas.openxmlformats.org/officeDocument/2006/relationships/oleObject" Target="embeddings/oleObject3.bin"/><Relationship Id="rId31" Type="http://schemas.openxmlformats.org/officeDocument/2006/relationships/image" Target="media/image22.wmf"/><Relationship Id="rId30" Type="http://schemas.openxmlformats.org/officeDocument/2006/relationships/oleObject" Target="embeddings/oleObject2.bin"/><Relationship Id="rId3" Type="http://schemas.openxmlformats.org/officeDocument/2006/relationships/footer" Target="footer1.xml"/><Relationship Id="rId29" Type="http://schemas.openxmlformats.org/officeDocument/2006/relationships/image" Target="media/image21.wmf"/><Relationship Id="rId28" Type="http://schemas.openxmlformats.org/officeDocument/2006/relationships/oleObject" Target="embeddings/oleObject1.bin"/><Relationship Id="rId27" Type="http://schemas.openxmlformats.org/officeDocument/2006/relationships/image" Target="media/image20.pn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emf"/><Relationship Id="rId2" Type="http://schemas.openxmlformats.org/officeDocument/2006/relationships/settings" Target="settings.xml"/><Relationship Id="rId19" Type="http://schemas.openxmlformats.org/officeDocument/2006/relationships/image" Target="media/image12.jpe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jpeg"/><Relationship Id="rId12" Type="http://schemas.openxmlformats.org/officeDocument/2006/relationships/image" Target="media/image5.png"/><Relationship Id="rId11" Type="http://schemas.openxmlformats.org/officeDocument/2006/relationships/image" Target="media/image4.jpe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Info spid="_x0000_s1030" textRotate="1"/>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84</Pages>
  <Words>144</Words>
  <Characters>170</Characters>
  <Lines>359</Lines>
  <Paragraphs>101</Paragraphs>
  <TotalTime>26</TotalTime>
  <ScaleCrop>false</ScaleCrop>
  <LinksUpToDate>false</LinksUpToDate>
  <CharactersWithSpaces>170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2024-08-16T03:02:00Z</dcterms:created>
  <dc:creator>lhj</dc:creator>
  <cp:lastModifiedBy>小猛哥</cp:lastModifiedBy>
  <cp:lastPrinted>2025-05-29T08:20:00Z</cp:lastPrinted>
  <dcterms:modified xsi:type="dcterms:W3CDTF">2026-03-02T03:07:45Z</dcterms:modified>
  <dc:title>附件2</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FFFFF93CAEAD49B19137343499081853_13</vt:lpwstr>
  </property>
  <property fmtid="{D5CDD505-2E9C-101B-9397-08002B2CF9AE}" pid="4" name="KSOTemplateDocerSaveRecord">
    <vt:lpwstr>eyJoZGlkIjoiZDNiNTY5MWM3OGFiNWQ2YTMzZWIwODNhYWE3NmJiODEiLCJ1c2VySWQiOiIyNTM5MTU4NzIifQ==</vt:lpwstr>
  </property>
</Properties>
</file>